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28" w:rsidRPr="00366094" w:rsidRDefault="00511A28" w:rsidP="00511A28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</w:t>
      </w:r>
    </w:p>
    <w:p w:rsidR="00511A28" w:rsidRPr="00C20A26" w:rsidRDefault="00511A28" w:rsidP="00511A28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6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0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публичных слушаний по проекту решения Совета депутатов Талдомского</w:t>
      </w:r>
    </w:p>
    <w:p w:rsidR="00511A28" w:rsidRPr="00C20A26" w:rsidRDefault="00511A28" w:rsidP="00511A28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городского округа «О бюджете Талдомского  городского округа  на 2019 год и на плановый период 2020 и 2021 годов»</w:t>
      </w:r>
    </w:p>
    <w:p w:rsidR="00511A28" w:rsidRPr="00C20A26" w:rsidRDefault="00511A28" w:rsidP="00511A28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28" w:rsidRPr="00C20A26" w:rsidRDefault="00511A28" w:rsidP="00511A28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28" w:rsidRPr="00C20A26" w:rsidRDefault="00511A28" w:rsidP="00511A28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алдом</w:t>
      </w:r>
      <w:proofErr w:type="spellEnd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пл.К.Маркса</w:t>
      </w:r>
      <w:proofErr w:type="spellEnd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д.12                                             от 6 декабря 2018 года</w:t>
      </w:r>
    </w:p>
    <w:p w:rsidR="00511A28" w:rsidRPr="00C20A26" w:rsidRDefault="00511A28" w:rsidP="00511A28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заседаний администрации</w:t>
      </w:r>
    </w:p>
    <w:p w:rsidR="00511A28" w:rsidRPr="00C20A26" w:rsidRDefault="00511A28" w:rsidP="00511A28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часов 00 минут</w:t>
      </w:r>
    </w:p>
    <w:p w:rsidR="00511A28" w:rsidRPr="00C20A26" w:rsidRDefault="00511A28" w:rsidP="00511A28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28" w:rsidRPr="00C20A26" w:rsidRDefault="00511A28" w:rsidP="00511A28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511A28" w:rsidRPr="00C20A26" w:rsidTr="00E63DED">
        <w:tc>
          <w:tcPr>
            <w:tcW w:w="4773" w:type="dxa"/>
            <w:shd w:val="clear" w:color="auto" w:fill="auto"/>
          </w:tcPr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4798" w:type="dxa"/>
            <w:shd w:val="clear" w:color="auto" w:fill="auto"/>
          </w:tcPr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Гришина Лидия Михайловна, заместитель главы администрации Талдомского городского округа</w:t>
            </w:r>
          </w:p>
        </w:tc>
      </w:tr>
      <w:tr w:rsidR="00511A28" w:rsidRPr="00C20A26" w:rsidTr="00E63DED">
        <w:tc>
          <w:tcPr>
            <w:tcW w:w="4773" w:type="dxa"/>
            <w:shd w:val="clear" w:color="auto" w:fill="auto"/>
          </w:tcPr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4798" w:type="dxa"/>
            <w:shd w:val="clear" w:color="auto" w:fill="auto"/>
          </w:tcPr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 Елена Викторовна, главный эксперт организационного отдела администрации</w:t>
            </w:r>
          </w:p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A28" w:rsidRPr="00C20A26" w:rsidTr="00E63DED">
        <w:tc>
          <w:tcPr>
            <w:tcW w:w="4773" w:type="dxa"/>
            <w:shd w:val="clear" w:color="auto" w:fill="auto"/>
          </w:tcPr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слушаний</w:t>
            </w:r>
          </w:p>
        </w:tc>
        <w:tc>
          <w:tcPr>
            <w:tcW w:w="4798" w:type="dxa"/>
            <w:shd w:val="clear" w:color="auto" w:fill="auto"/>
          </w:tcPr>
          <w:p w:rsidR="00511A28" w:rsidRPr="00C20A26" w:rsidRDefault="00511A28" w:rsidP="00E63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Зарегистрировалось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 </w:t>
            </w:r>
            <w:r w:rsidRPr="00C20A26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  <w:p w:rsidR="00511A28" w:rsidRPr="00C20A26" w:rsidRDefault="00511A28" w:rsidP="00E63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A26">
              <w:rPr>
                <w:rFonts w:ascii="Times New Roman" w:eastAsia="Calibri" w:hAnsi="Times New Roman" w:cs="Times New Roman"/>
                <w:sz w:val="28"/>
                <w:szCs w:val="28"/>
              </w:rPr>
              <w:t>(список прилагается)</w:t>
            </w:r>
          </w:p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1A28" w:rsidRPr="00C20A26" w:rsidRDefault="00511A28" w:rsidP="00511A2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28" w:rsidRPr="00C20A26" w:rsidRDefault="00511A28" w:rsidP="00511A2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Информирование о публичных слушаниях проведено следующими способами:</w:t>
      </w:r>
    </w:p>
    <w:p w:rsidR="00511A28" w:rsidRPr="00C20A26" w:rsidRDefault="00511A28" w:rsidP="00511A28">
      <w:pPr>
        <w:tabs>
          <w:tab w:val="left" w:pos="1701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i/>
          <w:sz w:val="28"/>
          <w:szCs w:val="28"/>
        </w:rPr>
        <w:tab/>
        <w:t>-</w:t>
      </w:r>
      <w:r w:rsidRPr="00C20A26">
        <w:rPr>
          <w:rFonts w:ascii="Times New Roman" w:hAnsi="Times New Roman" w:cs="Times New Roman"/>
          <w:sz w:val="28"/>
          <w:szCs w:val="28"/>
        </w:rPr>
        <w:t>информационное сообщение в общественно-политич</w:t>
      </w:r>
      <w:r>
        <w:rPr>
          <w:rFonts w:ascii="Times New Roman" w:hAnsi="Times New Roman" w:cs="Times New Roman"/>
          <w:sz w:val="28"/>
          <w:szCs w:val="28"/>
        </w:rPr>
        <w:t>еской газете «Заря»№ 49 от 5.12.</w:t>
      </w:r>
      <w:r w:rsidRPr="00C20A26">
        <w:rPr>
          <w:rFonts w:ascii="Times New Roman" w:hAnsi="Times New Roman" w:cs="Times New Roman"/>
          <w:sz w:val="28"/>
          <w:szCs w:val="28"/>
        </w:rPr>
        <w:t>2018г.</w:t>
      </w:r>
    </w:p>
    <w:p w:rsidR="00511A28" w:rsidRPr="00C20A26" w:rsidRDefault="00511A28" w:rsidP="00511A28">
      <w:pPr>
        <w:tabs>
          <w:tab w:val="left" w:pos="1701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-информационное сообщение на сайте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в сети интернет    </w:t>
      </w:r>
    </w:p>
    <w:p w:rsidR="00511A28" w:rsidRPr="00C20A26" w:rsidRDefault="00511A28" w:rsidP="00511A28">
      <w:pPr>
        <w:keepNext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Повестка дня</w:t>
      </w:r>
    </w:p>
    <w:p w:rsidR="00511A28" w:rsidRPr="00C20A26" w:rsidRDefault="00511A28" w:rsidP="00511A28">
      <w:pPr>
        <w:keepNext/>
        <w:numPr>
          <w:ilvl w:val="2"/>
          <w:numId w:val="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регламенте публичных слушаний.</w:t>
      </w:r>
    </w:p>
    <w:p w:rsidR="00511A28" w:rsidRPr="00C20A26" w:rsidRDefault="00511A28" w:rsidP="00511A28">
      <w:pPr>
        <w:keepNext/>
        <w:numPr>
          <w:ilvl w:val="2"/>
          <w:numId w:val="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по проекту решения «</w:t>
      </w:r>
      <w:r w:rsidRPr="00C20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Талдомского  городского округа  на 2019 год и на плановый период 2020 и 2021 годов</w:t>
      </w: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1A28" w:rsidRPr="00C20A26" w:rsidRDefault="00511A28" w:rsidP="00511A28">
      <w:pPr>
        <w:keepNext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proofErr w:type="spellStart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Плюта</w:t>
      </w:r>
      <w:proofErr w:type="spellEnd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Павлович, начальник финансового управления.</w:t>
      </w:r>
    </w:p>
    <w:p w:rsidR="00511A28" w:rsidRPr="00C20A26" w:rsidRDefault="00511A28" w:rsidP="00511A28">
      <w:pPr>
        <w:keepNext/>
        <w:numPr>
          <w:ilvl w:val="2"/>
          <w:numId w:val="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участников публичных слушаний</w:t>
      </w:r>
    </w:p>
    <w:p w:rsidR="00511A28" w:rsidRPr="00C20A26" w:rsidRDefault="00511A28" w:rsidP="00511A28">
      <w:pPr>
        <w:keepNext/>
        <w:numPr>
          <w:ilvl w:val="2"/>
          <w:numId w:val="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публичных слушаний</w:t>
      </w:r>
    </w:p>
    <w:p w:rsidR="00511A28" w:rsidRPr="00C20A26" w:rsidRDefault="00511A28" w:rsidP="00511A28">
      <w:pPr>
        <w:keepNext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28" w:rsidRPr="00C20A26" w:rsidRDefault="00511A28" w:rsidP="00511A28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Слушали:</w:t>
      </w:r>
    </w:p>
    <w:p w:rsidR="00511A28" w:rsidRPr="00C20A26" w:rsidRDefault="00511A28" w:rsidP="00511A28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1.Гришина Л.М..: ознакомила </w:t>
      </w:r>
      <w:r>
        <w:rPr>
          <w:rFonts w:ascii="Times New Roman" w:hAnsi="Times New Roman" w:cs="Times New Roman"/>
          <w:sz w:val="28"/>
          <w:szCs w:val="28"/>
        </w:rPr>
        <w:t>присутствующих с</w:t>
      </w:r>
      <w:r w:rsidRPr="00C20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C20A26">
        <w:rPr>
          <w:rFonts w:ascii="Times New Roman" w:hAnsi="Times New Roman" w:cs="Times New Roman"/>
          <w:sz w:val="28"/>
          <w:szCs w:val="28"/>
        </w:rPr>
        <w:t xml:space="preserve"> публичных слушаний: время для доклада 20 минут, время для вопросов 10 минут, выступления в прениях 10 минут: каждый участник имеет право выступить, задать вопрос, внести предложения. Итог слушаний - рекомендаций по проекту решения; планируемое время работы 45 минут. </w:t>
      </w:r>
    </w:p>
    <w:p w:rsidR="00511A28" w:rsidRPr="00C20A26" w:rsidRDefault="00511A28" w:rsidP="00511A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2.Доклад начальника финансового управления </w:t>
      </w:r>
      <w:proofErr w:type="spellStart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Плюты</w:t>
      </w:r>
      <w:proofErr w:type="spellEnd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Павловича по проекту решения «</w:t>
      </w:r>
      <w:r w:rsidRPr="00C20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Талдомского  городского округа  на 2019 год и на плановый период 2020 и 2021 годов».</w:t>
      </w:r>
    </w:p>
    <w:p w:rsidR="00511A28" w:rsidRPr="00C20A26" w:rsidRDefault="00511A28" w:rsidP="00511A28">
      <w:pPr>
        <w:pStyle w:val="a6"/>
        <w:ind w:firstLine="709"/>
        <w:rPr>
          <w:rFonts w:ascii="Times New Roman" w:hAnsi="Times New Roman" w:cs="Times New Roman"/>
          <w:szCs w:val="28"/>
        </w:rPr>
      </w:pPr>
      <w:r w:rsidRPr="00C20A26">
        <w:rPr>
          <w:rFonts w:ascii="Times New Roman" w:hAnsi="Times New Roman" w:cs="Times New Roman"/>
          <w:szCs w:val="28"/>
        </w:rPr>
        <w:t xml:space="preserve">Доходы бюджета Талдомского  городского округа, рассчитанные на основе параметров прогноза социально-экономического развития Талдомского городского округа на 2019 год и на плановый период 2020 и 2021 годов, в соответствии с законодательством Российской Федерации и Московской области, а также с учетом принимаемых администрацией округа мер по наращиванию налогового потенциала прогнозируются в объеме на 2019 год –  2474056,06 </w:t>
      </w:r>
      <w:proofErr w:type="spellStart"/>
      <w:r w:rsidRPr="00C20A26">
        <w:rPr>
          <w:rFonts w:ascii="Times New Roman" w:hAnsi="Times New Roman" w:cs="Times New Roman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Cs w:val="28"/>
        </w:rPr>
        <w:t>ублей</w:t>
      </w:r>
      <w:proofErr w:type="spellEnd"/>
      <w:r w:rsidRPr="00C20A26">
        <w:rPr>
          <w:rFonts w:ascii="Times New Roman" w:hAnsi="Times New Roman" w:cs="Times New Roman"/>
          <w:szCs w:val="28"/>
        </w:rPr>
        <w:t xml:space="preserve">, на 2020 год – 1941539,0 </w:t>
      </w:r>
      <w:proofErr w:type="spellStart"/>
      <w:r w:rsidRPr="00C20A26">
        <w:rPr>
          <w:rFonts w:ascii="Times New Roman" w:hAnsi="Times New Roman" w:cs="Times New Roman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Cs w:val="28"/>
        </w:rPr>
        <w:t>ублей</w:t>
      </w:r>
      <w:proofErr w:type="spellEnd"/>
      <w:r w:rsidRPr="00C20A26">
        <w:rPr>
          <w:rFonts w:ascii="Times New Roman" w:hAnsi="Times New Roman" w:cs="Times New Roman"/>
          <w:szCs w:val="28"/>
        </w:rPr>
        <w:t xml:space="preserve">, на </w:t>
      </w:r>
      <w:r>
        <w:rPr>
          <w:rFonts w:ascii="Times New Roman" w:hAnsi="Times New Roman" w:cs="Times New Roman"/>
          <w:szCs w:val="28"/>
        </w:rPr>
        <w:t xml:space="preserve">2021 год –  1997156,0 </w:t>
      </w:r>
      <w:proofErr w:type="spellStart"/>
      <w:r>
        <w:rPr>
          <w:rFonts w:ascii="Times New Roman" w:hAnsi="Times New Roman" w:cs="Times New Roman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Cs w:val="28"/>
        </w:rPr>
        <w:t>.</w:t>
      </w:r>
    </w:p>
    <w:p w:rsidR="00511A28" w:rsidRPr="00C20A26" w:rsidRDefault="00511A28" w:rsidP="00511A28">
      <w:pPr>
        <w:pStyle w:val="2"/>
        <w:spacing w:after="0" w:line="240" w:lineRule="auto"/>
        <w:ind w:left="0" w:firstLine="992"/>
        <w:rPr>
          <w:rFonts w:ascii="Times New Roman" w:hAnsi="Times New Roman"/>
          <w:sz w:val="28"/>
          <w:szCs w:val="28"/>
        </w:rPr>
      </w:pPr>
      <w:r w:rsidRPr="00C20A26">
        <w:rPr>
          <w:rFonts w:ascii="Times New Roman" w:hAnsi="Times New Roman"/>
          <w:sz w:val="28"/>
          <w:szCs w:val="28"/>
        </w:rPr>
        <w:t xml:space="preserve">Общий объем доходов (налоговых и неналоговых)  бюджета Талдомского городского округа Московской области на 2019 год прогнозируются в сумме 1029900,0 </w:t>
      </w:r>
      <w:proofErr w:type="spellStart"/>
      <w:r w:rsidRPr="00C20A26">
        <w:rPr>
          <w:rFonts w:ascii="Times New Roman" w:hAnsi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/>
          <w:sz w:val="28"/>
          <w:szCs w:val="28"/>
        </w:rPr>
        <w:t xml:space="preserve">., на 2020 год – 983600,0 </w:t>
      </w:r>
      <w:proofErr w:type="spellStart"/>
      <w:r w:rsidRPr="00C20A26">
        <w:rPr>
          <w:rFonts w:ascii="Times New Roman" w:hAnsi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/>
          <w:sz w:val="28"/>
          <w:szCs w:val="28"/>
        </w:rPr>
        <w:t xml:space="preserve">., на 2021 год – 1065000,0 </w:t>
      </w:r>
      <w:proofErr w:type="spellStart"/>
      <w:r w:rsidRPr="00C20A26">
        <w:rPr>
          <w:rFonts w:ascii="Times New Roman" w:hAnsi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/>
          <w:sz w:val="28"/>
          <w:szCs w:val="28"/>
        </w:rPr>
        <w:t>. В структуре доходов бюджета Талдомского муниципального района лидирующее место занимают налог на доходы физических лиц, земельный налог, налоги на совокупный доход, доходы от использования имущества.</w:t>
      </w:r>
    </w:p>
    <w:p w:rsidR="00511A28" w:rsidRPr="00C20A26" w:rsidRDefault="00511A28" w:rsidP="00511A28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20A26">
        <w:rPr>
          <w:rFonts w:ascii="Times New Roman" w:hAnsi="Times New Roman"/>
          <w:sz w:val="28"/>
          <w:szCs w:val="28"/>
        </w:rPr>
        <w:t xml:space="preserve">Прогноз поступлений налога на доходы физических лиц в бюджет Талдомского городского округа определен на 2019 год в сумме   640000,0 тыс. рублей, исходя из прогноза объемов совокупных доходов налогоплательщиков в 2018 году, с учетом ожидаемого поступления налога в 2018 году и темпом роста фонда заработной платы, предусмотренного  прогнозом социально-экономического развития Талдомского городского округа Московской области. </w:t>
      </w:r>
      <w:proofErr w:type="gramEnd"/>
    </w:p>
    <w:p w:rsidR="00511A28" w:rsidRPr="00C20A26" w:rsidRDefault="00511A28" w:rsidP="00511A28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20A26">
        <w:rPr>
          <w:rFonts w:ascii="Times New Roman" w:hAnsi="Times New Roman"/>
          <w:sz w:val="28"/>
          <w:szCs w:val="28"/>
        </w:rPr>
        <w:t>Налоговые поступления по доходам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20A26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C20A26">
        <w:rPr>
          <w:rFonts w:ascii="Times New Roman" w:hAnsi="Times New Roman"/>
          <w:sz w:val="28"/>
          <w:szCs w:val="28"/>
        </w:rPr>
        <w:t>) двигателей определены по нормативу отчислений от уплаты акцизов  в бюджет Талдомского городского округа, установленных  законом о бюджете Московской области на 2019 год и плановый период  2020 и 2021 годов, и приняты к поступлению в бюджет Талдомского городского округа</w:t>
      </w:r>
      <w:proofErr w:type="gramEnd"/>
      <w:r w:rsidRPr="00C20A26">
        <w:rPr>
          <w:rFonts w:ascii="Times New Roman" w:hAnsi="Times New Roman"/>
          <w:sz w:val="28"/>
          <w:szCs w:val="28"/>
        </w:rPr>
        <w:t xml:space="preserve"> на 2019 г</w:t>
      </w:r>
      <w:r>
        <w:rPr>
          <w:rFonts w:ascii="Times New Roman" w:hAnsi="Times New Roman"/>
          <w:sz w:val="28"/>
          <w:szCs w:val="28"/>
        </w:rPr>
        <w:t>од в размере 42000,0 тыс. руб</w:t>
      </w:r>
      <w:r w:rsidRPr="00C20A26">
        <w:rPr>
          <w:rFonts w:ascii="Times New Roman" w:hAnsi="Times New Roman"/>
          <w:sz w:val="28"/>
          <w:szCs w:val="28"/>
        </w:rPr>
        <w:t>.</w:t>
      </w:r>
    </w:p>
    <w:p w:rsidR="00511A28" w:rsidRPr="00C20A26" w:rsidRDefault="00511A28" w:rsidP="00511A28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C20A26">
        <w:rPr>
          <w:rFonts w:ascii="Times New Roman" w:hAnsi="Times New Roman"/>
          <w:sz w:val="28"/>
          <w:szCs w:val="28"/>
        </w:rPr>
        <w:t xml:space="preserve">Поступления налога на имущество физических лиц рассчитаны на основании динамики поступления налога за предыдущие годы и спрогнозированы на 2019 год в сумме 16500,0 </w:t>
      </w:r>
      <w:proofErr w:type="spellStart"/>
      <w:r w:rsidRPr="00C20A26">
        <w:rPr>
          <w:rFonts w:ascii="Times New Roman" w:hAnsi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/>
          <w:sz w:val="28"/>
          <w:szCs w:val="28"/>
        </w:rPr>
        <w:t>.</w:t>
      </w:r>
    </w:p>
    <w:p w:rsidR="00511A28" w:rsidRPr="00C20A26" w:rsidRDefault="00511A28" w:rsidP="00511A28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C20A26">
        <w:rPr>
          <w:rFonts w:ascii="Times New Roman" w:hAnsi="Times New Roman"/>
          <w:sz w:val="28"/>
          <w:szCs w:val="28"/>
        </w:rPr>
        <w:t xml:space="preserve">Поступления земельного налога рассчитаны на основании динамики поступления налога за предыдущие годы в бюджеты поселений, уточненных данных по кадастровой стоимости земельных участков и спрогнозированы на 2019 год в сумме 177800,0 </w:t>
      </w:r>
      <w:proofErr w:type="spellStart"/>
      <w:r w:rsidRPr="00C20A26">
        <w:rPr>
          <w:rFonts w:ascii="Times New Roman" w:hAnsi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/>
          <w:sz w:val="28"/>
          <w:szCs w:val="28"/>
        </w:rPr>
        <w:t xml:space="preserve">., на 2020 – 2021 годы в сумме 185000,0 </w:t>
      </w:r>
      <w:proofErr w:type="spellStart"/>
      <w:r w:rsidRPr="00C20A26">
        <w:rPr>
          <w:rFonts w:ascii="Times New Roman" w:hAnsi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/>
          <w:sz w:val="28"/>
          <w:szCs w:val="28"/>
        </w:rPr>
        <w:t>. ежегодно.</w:t>
      </w:r>
    </w:p>
    <w:p w:rsidR="00511A28" w:rsidRPr="00C20A26" w:rsidRDefault="00511A28" w:rsidP="00511A28">
      <w:pPr>
        <w:pStyle w:val="a7"/>
        <w:ind w:firstLine="709"/>
        <w:jc w:val="both"/>
        <w:rPr>
          <w:b w:val="0"/>
          <w:bCs w:val="0"/>
          <w:i w:val="0"/>
          <w:szCs w:val="28"/>
        </w:rPr>
      </w:pPr>
      <w:r w:rsidRPr="00C20A26">
        <w:rPr>
          <w:b w:val="0"/>
          <w:bCs w:val="0"/>
          <w:i w:val="0"/>
          <w:szCs w:val="28"/>
        </w:rPr>
        <w:t xml:space="preserve">Единый налог на вмененный доход для отдельных видов деятельности на 2019 год определен по данным налоговой инспекции, с  учетом  изменений  налоговой  базы  в  связи с  постепенным  сокращением  применения  налогового  режима,  в  размере </w:t>
      </w:r>
    </w:p>
    <w:p w:rsidR="00511A28" w:rsidRPr="00C20A26" w:rsidRDefault="00511A28" w:rsidP="00511A28">
      <w:pPr>
        <w:pStyle w:val="a7"/>
        <w:jc w:val="both"/>
        <w:rPr>
          <w:b w:val="0"/>
          <w:bCs w:val="0"/>
          <w:i w:val="0"/>
          <w:szCs w:val="28"/>
        </w:rPr>
      </w:pPr>
      <w:r w:rsidRPr="00C20A26">
        <w:rPr>
          <w:b w:val="0"/>
          <w:bCs w:val="0"/>
          <w:i w:val="0"/>
          <w:szCs w:val="28"/>
        </w:rPr>
        <w:t>15 000,0 тыс. рублей, на 2020 год – 14 000,0 тыс. рублей, на 2021 год – 13 000,0 тыс. рублей, по нормативу зачисления в бюджет округа 100 процентов.</w:t>
      </w:r>
    </w:p>
    <w:p w:rsidR="00511A28" w:rsidRPr="00C20A26" w:rsidRDefault="00511A28" w:rsidP="00511A28">
      <w:pPr>
        <w:pStyle w:val="a7"/>
        <w:ind w:firstLine="709"/>
        <w:jc w:val="both"/>
        <w:rPr>
          <w:b w:val="0"/>
          <w:bCs w:val="0"/>
          <w:i w:val="0"/>
          <w:szCs w:val="28"/>
        </w:rPr>
      </w:pPr>
      <w:r w:rsidRPr="00C20A26">
        <w:rPr>
          <w:b w:val="0"/>
          <w:bCs w:val="0"/>
          <w:i w:val="0"/>
          <w:szCs w:val="28"/>
        </w:rPr>
        <w:lastRenderedPageBreak/>
        <w:t xml:space="preserve">Поступления в бюджет по налогу, взимаемому  в связи  с применением упрощенной системы налогообложения (УСН) определены с учетом данных налоговой инспекции и динамики поступления налога в предыдущие годы и спрогнозированы на 2019 год в сумме 56 000,0 </w:t>
      </w:r>
      <w:proofErr w:type="spellStart"/>
      <w:r w:rsidRPr="00C20A26">
        <w:rPr>
          <w:b w:val="0"/>
          <w:bCs w:val="0"/>
          <w:i w:val="0"/>
          <w:szCs w:val="28"/>
        </w:rPr>
        <w:t>тыс</w:t>
      </w:r>
      <w:proofErr w:type="gramStart"/>
      <w:r w:rsidRPr="00C20A26">
        <w:rPr>
          <w:b w:val="0"/>
          <w:bCs w:val="0"/>
          <w:i w:val="0"/>
          <w:szCs w:val="28"/>
        </w:rPr>
        <w:t>.р</w:t>
      </w:r>
      <w:proofErr w:type="gramEnd"/>
      <w:r w:rsidRPr="00C20A26">
        <w:rPr>
          <w:b w:val="0"/>
          <w:bCs w:val="0"/>
          <w:i w:val="0"/>
          <w:szCs w:val="28"/>
        </w:rPr>
        <w:t>ублей</w:t>
      </w:r>
      <w:proofErr w:type="spellEnd"/>
      <w:r w:rsidRPr="00C20A26">
        <w:rPr>
          <w:b w:val="0"/>
          <w:bCs w:val="0"/>
          <w:i w:val="0"/>
          <w:szCs w:val="28"/>
        </w:rPr>
        <w:t xml:space="preserve">, на 2020 год – 56 500,0 </w:t>
      </w:r>
      <w:proofErr w:type="spellStart"/>
      <w:r w:rsidRPr="00C20A26">
        <w:rPr>
          <w:b w:val="0"/>
          <w:bCs w:val="0"/>
          <w:i w:val="0"/>
          <w:szCs w:val="28"/>
        </w:rPr>
        <w:t>тыс.рублей</w:t>
      </w:r>
      <w:proofErr w:type="spellEnd"/>
      <w:r w:rsidRPr="00C20A26">
        <w:rPr>
          <w:b w:val="0"/>
          <w:bCs w:val="0"/>
          <w:i w:val="0"/>
          <w:szCs w:val="28"/>
        </w:rPr>
        <w:t xml:space="preserve">, на 2021 год -  56 500,0 </w:t>
      </w:r>
      <w:proofErr w:type="spellStart"/>
      <w:r w:rsidRPr="00C20A26">
        <w:rPr>
          <w:b w:val="0"/>
          <w:bCs w:val="0"/>
          <w:i w:val="0"/>
          <w:szCs w:val="28"/>
        </w:rPr>
        <w:t>тыс.рублей</w:t>
      </w:r>
      <w:proofErr w:type="spellEnd"/>
      <w:r w:rsidRPr="00C20A26">
        <w:rPr>
          <w:b w:val="0"/>
          <w:bCs w:val="0"/>
          <w:i w:val="0"/>
          <w:szCs w:val="28"/>
        </w:rPr>
        <w:t>, по нормативу зачисления в бюджет округа 50 процентов.</w:t>
      </w:r>
    </w:p>
    <w:p w:rsidR="00511A28" w:rsidRPr="00C20A26" w:rsidRDefault="00511A28" w:rsidP="00511A28">
      <w:pPr>
        <w:pStyle w:val="a6"/>
        <w:ind w:firstLine="709"/>
        <w:rPr>
          <w:rFonts w:ascii="Times New Roman" w:hAnsi="Times New Roman" w:cs="Times New Roman"/>
          <w:color w:val="000000"/>
          <w:szCs w:val="28"/>
        </w:rPr>
      </w:pPr>
      <w:r w:rsidRPr="00C20A26">
        <w:rPr>
          <w:rFonts w:ascii="Times New Roman" w:hAnsi="Times New Roman" w:cs="Times New Roman"/>
          <w:color w:val="000000"/>
          <w:szCs w:val="28"/>
        </w:rPr>
        <w:t xml:space="preserve">Прогнозные показатели поступления  в бюджет Талдомского </w:t>
      </w:r>
      <w:r w:rsidRPr="00C20A26">
        <w:rPr>
          <w:rFonts w:ascii="Times New Roman" w:hAnsi="Times New Roman" w:cs="Times New Roman"/>
          <w:szCs w:val="28"/>
        </w:rPr>
        <w:t xml:space="preserve">городского округа </w:t>
      </w:r>
      <w:r w:rsidRPr="00C20A26">
        <w:rPr>
          <w:rFonts w:ascii="Times New Roman" w:hAnsi="Times New Roman" w:cs="Times New Roman"/>
          <w:color w:val="000000"/>
          <w:szCs w:val="28"/>
        </w:rPr>
        <w:t xml:space="preserve">государственной пошлины определены на 2019 год в размере 6000,0 тыс. рублей и  рассчитаны исходя из динамики поступлений прошлых лет, на 2020 год – приняты в размере 6200,0 </w:t>
      </w:r>
      <w:proofErr w:type="spellStart"/>
      <w:r w:rsidRPr="00C20A26">
        <w:rPr>
          <w:rFonts w:ascii="Times New Roman" w:hAnsi="Times New Roman" w:cs="Times New Roman"/>
          <w:color w:val="000000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color w:val="000000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color w:val="000000"/>
          <w:szCs w:val="28"/>
        </w:rPr>
        <w:t>ублей</w:t>
      </w:r>
      <w:proofErr w:type="spellEnd"/>
      <w:r w:rsidRPr="00C20A26">
        <w:rPr>
          <w:rFonts w:ascii="Times New Roman" w:hAnsi="Times New Roman" w:cs="Times New Roman"/>
          <w:color w:val="000000"/>
          <w:szCs w:val="28"/>
        </w:rPr>
        <w:t xml:space="preserve">, на 2021 год – в размере 6 200,0 </w:t>
      </w:r>
      <w:proofErr w:type="spellStart"/>
      <w:r w:rsidRPr="00C20A26">
        <w:rPr>
          <w:rFonts w:ascii="Times New Roman" w:hAnsi="Times New Roman" w:cs="Times New Roman"/>
          <w:color w:val="000000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color w:val="000000"/>
          <w:szCs w:val="28"/>
        </w:rPr>
        <w:t>.</w:t>
      </w:r>
    </w:p>
    <w:p w:rsidR="00511A28" w:rsidRPr="00C20A26" w:rsidRDefault="00511A28" w:rsidP="00511A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 муниципальной собственности, прогнозируются в бюджет Талдомского городского округа на 2019 год в сумме 39800,0 тыс. рублей.</w:t>
      </w:r>
    </w:p>
    <w:p w:rsidR="00511A28" w:rsidRPr="00C20A26" w:rsidRDefault="00511A28" w:rsidP="00511A28">
      <w:pPr>
        <w:pStyle w:val="a6"/>
        <w:ind w:firstLine="709"/>
        <w:rPr>
          <w:rFonts w:ascii="Times New Roman" w:hAnsi="Times New Roman" w:cs="Times New Roman"/>
          <w:szCs w:val="28"/>
        </w:rPr>
      </w:pPr>
      <w:r w:rsidRPr="00C20A26">
        <w:rPr>
          <w:rFonts w:ascii="Times New Roman" w:hAnsi="Times New Roman" w:cs="Times New Roman"/>
          <w:szCs w:val="28"/>
        </w:rPr>
        <w:t>Поступления в бюджет Талдомского городского округа арендной платы за земельные участки, государственная собственность на которые не разграничена, и участки после разграничения государственной собственности на землю, средств от продажи права на заключение договоров аренды  указанных  земельных  участков</w:t>
      </w:r>
      <w:proofErr w:type="gramStart"/>
      <w:r w:rsidRPr="00C20A26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C20A26">
        <w:rPr>
          <w:rFonts w:ascii="Times New Roman" w:hAnsi="Times New Roman" w:cs="Times New Roman"/>
          <w:szCs w:val="28"/>
        </w:rPr>
        <w:t xml:space="preserve"> а также платы за увеличение площади земельных участков, находящихся в частной собственности определены  на  2019  год в размере 22000,0 тыс. рублей, на 2020 год – 21000,0 </w:t>
      </w:r>
      <w:proofErr w:type="spellStart"/>
      <w:r w:rsidRPr="00C20A26">
        <w:rPr>
          <w:rFonts w:ascii="Times New Roman" w:hAnsi="Times New Roman" w:cs="Times New Roman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Cs w:val="28"/>
        </w:rPr>
        <w:t>ублей</w:t>
      </w:r>
      <w:proofErr w:type="spellEnd"/>
      <w:r w:rsidRPr="00C20A26">
        <w:rPr>
          <w:rFonts w:ascii="Times New Roman" w:hAnsi="Times New Roman" w:cs="Times New Roman"/>
          <w:szCs w:val="28"/>
        </w:rPr>
        <w:t xml:space="preserve">, на 2021 год -20000,0 </w:t>
      </w:r>
      <w:proofErr w:type="spellStart"/>
      <w:r w:rsidRPr="00C20A26">
        <w:rPr>
          <w:rFonts w:ascii="Times New Roman" w:hAnsi="Times New Roman" w:cs="Times New Roman"/>
          <w:szCs w:val="28"/>
        </w:rPr>
        <w:t>тыс.рублей</w:t>
      </w:r>
      <w:proofErr w:type="spellEnd"/>
      <w:r w:rsidRPr="00C20A26">
        <w:rPr>
          <w:rFonts w:ascii="Times New Roman" w:hAnsi="Times New Roman" w:cs="Times New Roman"/>
          <w:szCs w:val="28"/>
        </w:rPr>
        <w:t>.</w:t>
      </w:r>
    </w:p>
    <w:p w:rsidR="00511A28" w:rsidRDefault="00511A28" w:rsidP="00511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A26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городского округа и созданных им учреждений рассчитаны по начисленным договорам за 2018 год с учетом оценки выпадающих (дополнительных) доходов от сдачи в аренду имущества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др.), и прогнозируются на 2019 год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 xml:space="preserve"> в размере 11000,0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Прочие поступления от использования имущества, находящегося в собственности городского округа, состоят из платы за наем жилого помещения муниципального жилищного фонда на 2019 год  в размере 5800,0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 и доходов от эксплуатации рекламных конструкций в сумме 1000,0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 Поступления по  доходным источникам произведены   по данным Комитета по управлению имуществом администрации Талдомского городского округа .</w:t>
      </w:r>
      <w:r w:rsidRPr="00C20A26">
        <w:rPr>
          <w:rFonts w:ascii="Times New Roman" w:hAnsi="Times New Roman" w:cs="Times New Roman"/>
          <w:sz w:val="28"/>
          <w:szCs w:val="28"/>
        </w:rPr>
        <w:tab/>
      </w:r>
    </w:p>
    <w:p w:rsidR="00511A28" w:rsidRPr="00C20A26" w:rsidRDefault="00511A28" w:rsidP="00511A28">
      <w:pPr>
        <w:pStyle w:val="a6"/>
        <w:ind w:firstLine="709"/>
        <w:rPr>
          <w:rFonts w:ascii="Times New Roman" w:hAnsi="Times New Roman" w:cs="Times New Roman"/>
          <w:szCs w:val="28"/>
        </w:rPr>
      </w:pPr>
      <w:r w:rsidRPr="00C20A26">
        <w:rPr>
          <w:rFonts w:ascii="Times New Roman" w:hAnsi="Times New Roman" w:cs="Times New Roman"/>
          <w:szCs w:val="28"/>
        </w:rPr>
        <w:t xml:space="preserve">Доходы от продажи материальных и нематериальных активов прогнозируются к поступлению в бюджет Талдомского городского округа в 2019 году в сумме 20300,0 тыс. рублей, в том числе за продажу земельных участков в сумме  16800,0 </w:t>
      </w:r>
      <w:proofErr w:type="spellStart"/>
      <w:r w:rsidRPr="00C20A26">
        <w:rPr>
          <w:rFonts w:ascii="Times New Roman" w:hAnsi="Times New Roman" w:cs="Times New Roman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Cs w:val="28"/>
        </w:rPr>
        <w:t>., плановые показатели определены на основании данных администраторов доходов бюджета и фактических поступлениях доходов за 2018 год.</w:t>
      </w:r>
    </w:p>
    <w:p w:rsidR="00511A28" w:rsidRPr="00C20A26" w:rsidRDefault="00511A28" w:rsidP="00511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и  компенсации затрат государства планируются в бюджет Талдомского городского округа на 2019 год в сумме 3700,0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, на плановый период 2020 г. – 3800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2021 г. – 3800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A28" w:rsidRPr="00C20A26" w:rsidRDefault="00511A28" w:rsidP="00511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0A26">
        <w:rPr>
          <w:rFonts w:ascii="Times New Roman" w:hAnsi="Times New Roman" w:cs="Times New Roman"/>
          <w:sz w:val="28"/>
          <w:szCs w:val="28"/>
        </w:rPr>
        <w:lastRenderedPageBreak/>
        <w:t xml:space="preserve">Расчет платы за негативное воздействие на окружающую среду составлен на основе данных администратора доходов 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 xml:space="preserve">едеральной службы по надзору в сфере природопользования. Прогнозные показатели бюджета Талдомского городского округа по этому виду доходов на 2019 год определены в объеме 800,0 тыс. рублей, на 2020 год – 1 000,0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, на 2021 год – 1000,0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, по нормативу зачисления в районный бюджет в размере 55 процентов.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определены на 2019 год в сумме 8000,0 тыс. рублей, исходя из ожидаемых поступлений 2018 года и с учетом прогнозных показателей администраторов данных платежей, на 2020 год – 8500,0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, на 2021 год – 9000,0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2019 г. в сумме  1444156,06 тыс. руб., в том числе: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- дотация  на выравнивание бюджетной обеспеченности городского округа из бюджета Московской области  запланирована в сумме 237768,0 тыс. руб.;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- субсидии  из бюджета Московской области предусмотрены в сумме 306969,06 тыс. руб.;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- субвенции из бюджета Московской области на исполнение переданных государственных полномочий предусматриваются в сумме 699419,0 тыс. руб.;</w:t>
      </w:r>
    </w:p>
    <w:p w:rsidR="00511A28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200000,0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Общий объем расходов бюджета Талдомского городского округа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 составит: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в 2019 году – 2489982,0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 в том числе на реализацию муниципальных программ Талдомского городского округа 2483288,0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в 2020 году – 1951772,4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 в том числе на реализацию муниципальных программ Талдомского городского округа 1945247,4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в 2021 году – 2003507,4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 в том числе на реализацию муниципальных программ Талдомского городского округа – 1996957,4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b/>
          <w:sz w:val="28"/>
          <w:szCs w:val="28"/>
        </w:rPr>
        <w:tab/>
      </w:r>
      <w:r w:rsidRPr="00C20A26">
        <w:rPr>
          <w:rFonts w:ascii="Times New Roman" w:hAnsi="Times New Roman" w:cs="Times New Roman"/>
          <w:sz w:val="28"/>
          <w:szCs w:val="28"/>
        </w:rPr>
        <w:t>Расходы бюджета Талдомского муниципального района на 2019 год и плановый период 2020 и 2021 годов сформированы по разделам и подразделам  классификации расходов бюджетов.</w:t>
      </w:r>
    </w:p>
    <w:p w:rsidR="00511A28" w:rsidRPr="00BE55AE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>«Муниципальное управление</w:t>
      </w:r>
      <w:r w:rsidRPr="00C20A2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20A26">
        <w:rPr>
          <w:rFonts w:ascii="Times New Roman" w:hAnsi="Times New Roman" w:cs="Times New Roman"/>
          <w:sz w:val="28"/>
          <w:szCs w:val="28"/>
        </w:rPr>
        <w:t>предусматриваются средства: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2019 году в сумме  188283,0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2020 году в сумме  173470,0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2021 году в сумме  173330,0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..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>Муниципальная программа Талдомского городского округа «Муниципальное управление» включает в себя 5 подпрограмм, финансовое обеспечение которых отражается по разделам (подразделам) расходов бюджета.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«Развитие муниципальной службы» предусмотрены расходы: в  2019 году –  10263,0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., в 2020 году и в 2021 году  соответственно  723</w:t>
      </w:r>
      <w:r>
        <w:rPr>
          <w:rFonts w:ascii="Times New Roman" w:hAnsi="Times New Roman" w:cs="Times New Roman"/>
          <w:sz w:val="28"/>
          <w:szCs w:val="28"/>
        </w:rPr>
        <w:t xml:space="preserve">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и 7249,0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«Управление муниципальными финансами  Талдомского городского округа» предусмотрены расходы на обслуживание </w:t>
      </w:r>
      <w:r w:rsidRPr="00C20A2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долга Талдомского городского округа в сумме: в 2019 году – 300,0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 в 2020  году - 200,0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«Развитие имущественного комплекса Талдомского городского округа» предусмотрены расходы: в 2019 году – 11334,0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– 1100,0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– 1125,0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«Развитие архивного дела в Талдомском городского округе» на хранение, комплектование, учет и использование документов архивного фонда Московской области и Талдомского района предусмотрены расходы в сумме в 2019 году - 6151,0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-  4624,0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– 4621,0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«Обеспечивающая подпрограмма» предусмотрены расходы: в  2019 году –  160235,0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- 160312,0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– 160335,0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Default="00511A28" w:rsidP="00511A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системы информирования населения </w:t>
      </w:r>
      <w:r w:rsidRPr="00BE55AE">
        <w:rPr>
          <w:rFonts w:ascii="Times New Roman" w:hAnsi="Times New Roman" w:cs="Times New Roman"/>
          <w:sz w:val="28"/>
          <w:szCs w:val="28"/>
        </w:rPr>
        <w:t>Талдомского городского округа о деятельности органов местного самоуправления»</w:t>
      </w:r>
      <w:r w:rsidRPr="00C20A26">
        <w:rPr>
          <w:rFonts w:ascii="Times New Roman" w:hAnsi="Times New Roman" w:cs="Times New Roman"/>
          <w:sz w:val="28"/>
          <w:szCs w:val="28"/>
        </w:rPr>
        <w:t xml:space="preserve"> из бюджета Талдомского городского округа предусматриваются средства в сумме: в 2019 году    5210,0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– 4850,0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– 4860,0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>«Культура и спорт Талдомского городского округа»</w:t>
      </w:r>
      <w:r w:rsidRPr="00C20A26">
        <w:rPr>
          <w:rFonts w:ascii="Times New Roman" w:hAnsi="Times New Roman" w:cs="Times New Roman"/>
          <w:sz w:val="28"/>
          <w:szCs w:val="28"/>
        </w:rPr>
        <w:t xml:space="preserve"> предусматриваются средства в сумме: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2019 году –  404780,5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2020 году –  341156,0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2021 году –   345184,0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>Муниципальная программа «Культура и спорт Талдомского городского округа» включает в себя 4 подпрограммы, финансовое обеспечение которых отражается по разделам (подразделам) бюджета.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По подпрограмме «Культура и туризм Талдомского края» Комитету по культуре, физической культуре, спорту, туризму и работе с молодежью предусмотрены расходы: в 2019 году – 254820,0 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– 226935,0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2021 году – 229060,0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«Молодое поколение Талдомского городского округа»  предусмотрены расходы в 2019 году в сумме 2675,0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– 2725,0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–2790,0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 Комитету по культуре, физической культуре, спорту, туризму и работе с молодежью и Комитету по образованию Талдомского городского округа на реализацию основных мероприятий для детей и молодежи. </w:t>
      </w:r>
      <w:r w:rsidRPr="00C20A26">
        <w:rPr>
          <w:rFonts w:ascii="Times New Roman" w:hAnsi="Times New Roman" w:cs="Times New Roman"/>
          <w:sz w:val="28"/>
          <w:szCs w:val="28"/>
        </w:rPr>
        <w:tab/>
        <w:t>Реализация мероприятий в 2019-2021 годах позволит увеличить долю молодых граждан, принимающих участие в добровольческой деятельности и участвующих в деятельности общественных организаций и объединений.</w:t>
      </w:r>
    </w:p>
    <w:p w:rsidR="00511A28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«Развитие физической культуры и спорта, формирование здорового образа жизни в Талдомском городском округе» расходы предусматриваются в сумме: в 2019 году – 122655,5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– 87690,0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– 89348,0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На реализацию муниципальной программы Талдомского городского округа «Развитие образования Талдомского городского округа» предусматриваются средства в сумме: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2019 году –  1057339,5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2020 году  - 1026008,0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2021 году –  1031648,4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включает в себя 4 подпрограммы, финансовое обеспечение которых отражается по разделам (подразделам) бюджета.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«Дошкольное образование» предусмотрены расходы в сумме: в 2019 году – 425967,5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– 419132,0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–423322,0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«Общее образование» предусмотрены расходы в сумме: в 2019 году – 509653,4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– 484077,0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– 488076,0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данной подпрограмме финансируется 14 общеобразовательных школ различных типов,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Запрудненская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школа-интернат,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Запрудненская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 гимназия; гимназия «Школа искусств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им.А.А.Цветкова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».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«Дополнительное образование, воспитание и психолого-социальное сопровождение детей» предусмотрены расходы: в 2019 году – 97624,2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–98705,0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–96156,0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обеспечивающей  подпрограмме предусматриваются расходы: в 2019 году – 24094,4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2020-2021 годах ежегодно по 24094,4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 на обеспечение деятельности Комитета по образованию.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«Доступная среда» предусмотрено: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             на 2019 год- 36665,0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             на 2020 год- 38153,0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             на 2021 год- 39725,0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Основными задачами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 xml:space="preserve"> «Сельское хозяйство Талдомского городского округа»</w:t>
      </w:r>
      <w:r w:rsidRPr="00C20A26">
        <w:rPr>
          <w:rFonts w:ascii="Times New Roman" w:hAnsi="Times New Roman" w:cs="Times New Roman"/>
          <w:sz w:val="28"/>
          <w:szCs w:val="28"/>
        </w:rPr>
        <w:t xml:space="preserve"> являются: повышение конкурентоспособности продукции отраслей сельского хозяйства,  развитие социальной и инженерной инфраструктуры населенных пунктов, расположенных в сельской местности.</w:t>
      </w:r>
    </w:p>
    <w:p w:rsidR="00511A28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>На реализацию муниципальной программы предусматриваются средства:</w:t>
      </w: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2019 году –  4528,0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1A28" w:rsidRDefault="00511A28" w:rsidP="00511A2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в 2020 году – 4364,0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511A28" w:rsidRDefault="00511A28" w:rsidP="00511A2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в 2021 году – 4504,0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Default="00511A28" w:rsidP="00511A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Pr="00BE55AE">
        <w:rPr>
          <w:rFonts w:ascii="Times New Roman" w:hAnsi="Times New Roman" w:cs="Times New Roman"/>
          <w:sz w:val="28"/>
          <w:szCs w:val="28"/>
        </w:rPr>
        <w:t xml:space="preserve"> «Экология и окружающая среда Талдомского городского округа»</w:t>
      </w:r>
      <w:r w:rsidRPr="00C20A26">
        <w:rPr>
          <w:rFonts w:ascii="Times New Roman" w:hAnsi="Times New Roman" w:cs="Times New Roman"/>
          <w:sz w:val="28"/>
          <w:szCs w:val="28"/>
        </w:rPr>
        <w:t xml:space="preserve"> предусматриваются средства:</w:t>
      </w:r>
      <w:r w:rsidRPr="00C20A26">
        <w:rPr>
          <w:rFonts w:ascii="Times New Roman" w:hAnsi="Times New Roman" w:cs="Times New Roman"/>
          <w:sz w:val="28"/>
          <w:szCs w:val="28"/>
        </w:rPr>
        <w:tab/>
      </w:r>
    </w:p>
    <w:p w:rsidR="00511A28" w:rsidRPr="00C20A26" w:rsidRDefault="00511A28" w:rsidP="00511A2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в 2019 году – 4461,5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511A28" w:rsidRPr="00C20A26" w:rsidRDefault="00511A28" w:rsidP="00511A2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в 2020 году –1410,0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Default="00511A28" w:rsidP="00511A2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в 2021 году - 1410,0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BE55AE" w:rsidRDefault="00511A28" w:rsidP="00511A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Pr="00BE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5AE">
        <w:rPr>
          <w:rFonts w:ascii="Times New Roman" w:hAnsi="Times New Roman" w:cs="Times New Roman"/>
          <w:sz w:val="28"/>
          <w:szCs w:val="28"/>
        </w:rPr>
        <w:t>Безопасность населения Талдомского городского округа»</w:t>
      </w:r>
      <w:r w:rsidRPr="00C20A26">
        <w:rPr>
          <w:rFonts w:ascii="Times New Roman" w:hAnsi="Times New Roman" w:cs="Times New Roman"/>
          <w:sz w:val="28"/>
          <w:szCs w:val="28"/>
        </w:rPr>
        <w:t xml:space="preserve"> предусматриваются средства в 2019 году - 19994,0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– 20349,0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-  20464,0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Основными задачами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>«Жилище»</w:t>
      </w:r>
      <w:r w:rsidRPr="00C20A26">
        <w:rPr>
          <w:rFonts w:ascii="Times New Roman" w:hAnsi="Times New Roman" w:cs="Times New Roman"/>
          <w:sz w:val="28"/>
          <w:szCs w:val="28"/>
        </w:rPr>
        <w:t xml:space="preserve"> являются комплексное освоение и развитие территорий в целях жилищного строительства, улучшение жилищных условий отдельных категорий граждан,  решение вопросов по обеспечению жилыми помещениями детей-сирот, предоставление мер социальной поддержки по обеспечению жилыми помещениями молодых семей.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lastRenderedPageBreak/>
        <w:t>На реализацию муниципальной программы из бюджета Талдомского городского округа  предусматриваются средства в сумме: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2019 году –  144289,88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2020 году –  10490,0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2021 году –   9510,0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В числе приоритетных задач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>«Содержание и развитие инженерной инфраструктуры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5A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BE55AE"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округа»</w:t>
      </w:r>
      <w:r w:rsidRPr="00C20A26">
        <w:rPr>
          <w:rFonts w:ascii="Times New Roman" w:hAnsi="Times New Roman" w:cs="Times New Roman"/>
          <w:sz w:val="28"/>
          <w:szCs w:val="28"/>
        </w:rPr>
        <w:t xml:space="preserve"> – повышение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 и надежности функционирования объектов коммунальной инфраструктуры, развитие систем и объектов теплоснабжения, водоснабжения и водоотведения.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На реализацию мероприятий программы предусматриваются средства в сумме: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2019 году –  92457,82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2020 году –  6005,0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2021 году –   6155,0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BE55AE">
        <w:rPr>
          <w:rFonts w:ascii="Times New Roman" w:hAnsi="Times New Roman" w:cs="Times New Roman"/>
          <w:sz w:val="28"/>
          <w:szCs w:val="28"/>
        </w:rPr>
        <w:t>«Предпринимательство Талдомского городского округа»</w:t>
      </w:r>
      <w:r w:rsidRPr="00C20A26">
        <w:rPr>
          <w:rFonts w:ascii="Times New Roman" w:hAnsi="Times New Roman" w:cs="Times New Roman"/>
          <w:sz w:val="28"/>
          <w:szCs w:val="28"/>
        </w:rPr>
        <w:t xml:space="preserve"> содержит комплекс задач, имеющих первостепенное значение для развития предпринимательства в приоритетных отраслях экономики Талдомского городского округа, создание условий для свободы  предпринимательства и конкуренции, повышение качества трудовых ресурсов, стимулирование развития высокотехнологичных отраслей экономики, совершенствование современных форматов торговли, общественного питания и бытовых услуг.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«Предпринимательство Талдомского городского округа» предусматриваются средства в сумме: 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2019 году –  28047,0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2020 году – 29130,0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ab/>
        <w:t xml:space="preserve">в 2021 году – 30372,0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«Развитие малого и среднего предпринимательства в Талдомском городском округе» предусматриваются расходы в сумме: в 2019 году – 2675,0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– 2700,0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– 2810,0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«Развитие потребительского рынка и услуг в Талдомском городском округе» расходы предусматриваются в сумме: в 2019 году – 25372,0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 году – 26430,0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2021 году –27562,0 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BE55AE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BE55AE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BE55AE">
        <w:rPr>
          <w:rFonts w:ascii="Times New Roman" w:hAnsi="Times New Roman" w:cs="Times New Roman"/>
          <w:sz w:val="28"/>
          <w:szCs w:val="28"/>
        </w:rPr>
        <w:t xml:space="preserve"> и функционирование дорожно-транспортного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 xml:space="preserve">комплекса Талдомского городского </w:t>
      </w:r>
      <w:proofErr w:type="spellStart"/>
      <w:r w:rsidRPr="00BE55AE">
        <w:rPr>
          <w:rFonts w:ascii="Times New Roman" w:hAnsi="Times New Roman" w:cs="Times New Roman"/>
          <w:sz w:val="28"/>
          <w:szCs w:val="28"/>
        </w:rPr>
        <w:t>округа»</w:t>
      </w:r>
      <w:r w:rsidRPr="00C20A26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: развитие пассажирского транспорта общего пользования; увеличение пропускной способности и улучшение параметров транспортной инфраструктуры; обеспечение развития и устойчивого функционирования сети автомобильных дорог; обеспечение безопасности дорожного движения, снижение смертности от дорожно-транспортных происшествий.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предусматриваются средства в сумме 135222,0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  в 2019 году, в 2020 году – 135288,0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 в 2021 году – 137086,0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По подпрограмме «Дороги Талдомского городского округа» предусмотрены расходы: в 2019 году  в сумме 88700,0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из них за </w:t>
      </w:r>
      <w:r w:rsidRPr="00C20A26">
        <w:rPr>
          <w:rFonts w:ascii="Times New Roman" w:hAnsi="Times New Roman" w:cs="Times New Roman"/>
          <w:sz w:val="28"/>
          <w:szCs w:val="28"/>
        </w:rPr>
        <w:lastRenderedPageBreak/>
        <w:t xml:space="preserve">счет доходов Дорожного фонда Талдомского городского округа 42000,0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По подпрограмме «Пассажирский транспорт общего пользования»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предусмотрены расходы в  2019 году – 46422,0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2020 году – 42948,0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2021 году – 41116,0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из них средства областного бюджета соответственно – 45958,0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42519,0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40705,0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На реализацию мероприятий программы </w:t>
      </w:r>
      <w:r w:rsidRPr="00BE55AE">
        <w:rPr>
          <w:rFonts w:ascii="Times New Roman" w:hAnsi="Times New Roman" w:cs="Times New Roman"/>
          <w:sz w:val="28"/>
          <w:szCs w:val="28"/>
        </w:rPr>
        <w:t xml:space="preserve">«Развитие информационно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55AE">
        <w:rPr>
          <w:rFonts w:ascii="Times New Roman" w:hAnsi="Times New Roman" w:cs="Times New Roman"/>
          <w:sz w:val="28"/>
          <w:szCs w:val="28"/>
        </w:rPr>
        <w:t xml:space="preserve"> 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 xml:space="preserve">технологий и повышение эффективности предоставления государственных и муниципальных </w:t>
      </w:r>
      <w:proofErr w:type="spellStart"/>
      <w:r w:rsidRPr="00BE55AE">
        <w:rPr>
          <w:rFonts w:ascii="Times New Roman" w:hAnsi="Times New Roman" w:cs="Times New Roman"/>
          <w:sz w:val="28"/>
          <w:szCs w:val="28"/>
        </w:rPr>
        <w:t>услуг</w:t>
      </w:r>
      <w:proofErr w:type="gramStart"/>
      <w:r w:rsidRPr="00BE55AE">
        <w:rPr>
          <w:rFonts w:ascii="Times New Roman" w:hAnsi="Times New Roman" w:cs="Times New Roman"/>
          <w:sz w:val="28"/>
          <w:szCs w:val="28"/>
        </w:rPr>
        <w:t>»</w:t>
      </w:r>
      <w:r w:rsidRPr="00C20A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редусмотрены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 средства: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20A26">
        <w:rPr>
          <w:rFonts w:ascii="Times New Roman" w:hAnsi="Times New Roman" w:cs="Times New Roman"/>
          <w:sz w:val="28"/>
          <w:szCs w:val="28"/>
        </w:rPr>
        <w:t xml:space="preserve">в 2019 году- 26843,0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20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20A26">
        <w:rPr>
          <w:rFonts w:ascii="Times New Roman" w:hAnsi="Times New Roman" w:cs="Times New Roman"/>
          <w:sz w:val="28"/>
          <w:szCs w:val="28"/>
        </w:rPr>
        <w:t xml:space="preserve">в 2020 году- 23134,0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0A26">
        <w:rPr>
          <w:rFonts w:ascii="Times New Roman" w:hAnsi="Times New Roman" w:cs="Times New Roman"/>
          <w:sz w:val="28"/>
          <w:szCs w:val="28"/>
        </w:rPr>
        <w:t xml:space="preserve"> в 2021 году- 23254,0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20A26">
        <w:rPr>
          <w:rFonts w:ascii="Times New Roman" w:hAnsi="Times New Roman" w:cs="Times New Roman"/>
          <w:sz w:val="28"/>
          <w:szCs w:val="28"/>
        </w:rPr>
        <w:t xml:space="preserve">а финансовое обеспечение деятельности МФЦ по предоставлению государственных и муниципальных услуг, включая удаленные рабочие места в поселениях в сумме 24913,0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том числе из областного бюджета для организации предоставления государственных услуг по регистрации рождения и смерти 260,0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BE55AE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BE55AE">
        <w:rPr>
          <w:rFonts w:ascii="Times New Roman" w:hAnsi="Times New Roman" w:cs="Times New Roman"/>
          <w:sz w:val="28"/>
          <w:szCs w:val="28"/>
        </w:rPr>
        <w:t>«Архитектура и градостроительство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>Талдомского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A26">
        <w:rPr>
          <w:rFonts w:ascii="Times New Roman" w:hAnsi="Times New Roman" w:cs="Times New Roman"/>
          <w:sz w:val="28"/>
          <w:szCs w:val="28"/>
        </w:rPr>
        <w:t xml:space="preserve">из бюджета Талдомского городского округа предусматриваются средства в 2019 году 5948,0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0A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A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 xml:space="preserve">., в 2020-2021 годах  ежегодно по   1300,0 </w:t>
      </w:r>
      <w:proofErr w:type="spellStart"/>
      <w:r w:rsidRPr="00C20A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0A26">
        <w:rPr>
          <w:rFonts w:ascii="Times New Roman" w:hAnsi="Times New Roman" w:cs="Times New Roman"/>
          <w:sz w:val="28"/>
          <w:szCs w:val="28"/>
        </w:rPr>
        <w:t>.</w:t>
      </w:r>
    </w:p>
    <w:p w:rsidR="00511A28" w:rsidRPr="00BE55AE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proofErr w:type="spellStart"/>
      <w:r w:rsidRPr="00BE55AE">
        <w:rPr>
          <w:rFonts w:ascii="Times New Roman" w:hAnsi="Times New Roman" w:cs="Times New Roman"/>
          <w:sz w:val="28"/>
          <w:szCs w:val="28"/>
        </w:rPr>
        <w:t>программа</w:t>
      </w:r>
      <w:proofErr w:type="gramStart"/>
      <w:r w:rsidRPr="00BE55AE">
        <w:rPr>
          <w:rFonts w:ascii="Times New Roman" w:hAnsi="Times New Roman" w:cs="Times New Roman"/>
          <w:sz w:val="28"/>
          <w:szCs w:val="28"/>
        </w:rPr>
        <w:t>«Ф</w:t>
      </w:r>
      <w:proofErr w:type="gramEnd"/>
      <w:r w:rsidRPr="00BE55AE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BE55AE">
        <w:rPr>
          <w:rFonts w:ascii="Times New Roman" w:hAnsi="Times New Roman" w:cs="Times New Roman"/>
          <w:sz w:val="28"/>
          <w:szCs w:val="28"/>
        </w:rPr>
        <w:t xml:space="preserve"> современной комфортной среды проживания»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 xml:space="preserve"> включает в себя 3 подпрограммы, финансовое обеспечение которых отражается по разделам (подразделам) бюджета.</w:t>
      </w:r>
    </w:p>
    <w:p w:rsidR="00511A28" w:rsidRPr="00BE55AE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>На реализацию программы предусматриваются средства в сумме:</w:t>
      </w:r>
    </w:p>
    <w:p w:rsidR="00511A28" w:rsidRPr="00BE55AE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 xml:space="preserve">      2019 год- 329218,8 </w:t>
      </w:r>
      <w:proofErr w:type="spellStart"/>
      <w:r w:rsidRPr="00BE55A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E55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55A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E55AE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BE55AE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 xml:space="preserve">      2020 год- 99940,0 </w:t>
      </w:r>
      <w:proofErr w:type="spellStart"/>
      <w:r w:rsidRPr="00BE55A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E55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55A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E55AE">
        <w:rPr>
          <w:rFonts w:ascii="Times New Roman" w:hAnsi="Times New Roman" w:cs="Times New Roman"/>
          <w:sz w:val="28"/>
          <w:szCs w:val="28"/>
        </w:rPr>
        <w:t>.;</w:t>
      </w:r>
    </w:p>
    <w:p w:rsidR="00511A28" w:rsidRPr="00BE55AE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 xml:space="preserve">      2021 год- 104855,0 </w:t>
      </w:r>
      <w:proofErr w:type="spellStart"/>
      <w:r w:rsidRPr="00BE55A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E55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55A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E55AE">
        <w:rPr>
          <w:rFonts w:ascii="Times New Roman" w:hAnsi="Times New Roman" w:cs="Times New Roman"/>
          <w:sz w:val="28"/>
          <w:szCs w:val="28"/>
        </w:rPr>
        <w:t>.</w:t>
      </w:r>
    </w:p>
    <w:p w:rsidR="00511A28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 xml:space="preserve">Непрограммные расходы бюджета Талдомского городского округа предусматриваются в объемах: в 2019 году – 6694,0 </w:t>
      </w:r>
      <w:proofErr w:type="spellStart"/>
      <w:r w:rsidRPr="00BE55A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E55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55A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E55AE">
        <w:rPr>
          <w:rFonts w:ascii="Times New Roman" w:hAnsi="Times New Roman" w:cs="Times New Roman"/>
          <w:sz w:val="28"/>
          <w:szCs w:val="28"/>
        </w:rPr>
        <w:t xml:space="preserve">., в 2020 году – 6525,0 </w:t>
      </w:r>
      <w:proofErr w:type="spellStart"/>
      <w:r w:rsidRPr="00BE55A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E55AE">
        <w:rPr>
          <w:rFonts w:ascii="Times New Roman" w:hAnsi="Times New Roman" w:cs="Times New Roman"/>
          <w:sz w:val="28"/>
          <w:szCs w:val="28"/>
        </w:rPr>
        <w:t xml:space="preserve">., в 2021 году – 6550,0 </w:t>
      </w:r>
      <w:proofErr w:type="spellStart"/>
      <w:r w:rsidRPr="00BE55A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E55AE">
        <w:rPr>
          <w:rFonts w:ascii="Times New Roman" w:hAnsi="Times New Roman" w:cs="Times New Roman"/>
          <w:sz w:val="28"/>
          <w:szCs w:val="28"/>
        </w:rPr>
        <w:t>. и отражаются по разделам</w:t>
      </w:r>
      <w:r w:rsidRPr="00C20A26">
        <w:rPr>
          <w:rFonts w:ascii="Times New Roman" w:hAnsi="Times New Roman" w:cs="Times New Roman"/>
          <w:sz w:val="28"/>
          <w:szCs w:val="28"/>
        </w:rPr>
        <w:t xml:space="preserve"> (подразделам) классификации расходов бюджета:</w:t>
      </w:r>
    </w:p>
    <w:p w:rsidR="00511A28" w:rsidRPr="00C20A26" w:rsidRDefault="00511A28" w:rsidP="0051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Гришина Л.М.: предложила задавать вопросы докладчику.</w:t>
      </w:r>
    </w:p>
    <w:p w:rsidR="00511A28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Аникеева М</w:t>
      </w:r>
      <w:r w:rsidRPr="00C20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 председателя Совета депутатов: как отличается финансирование аппарата управления в консолидированном бюджете в 2018 году и в проекте бюджета округа на 2019 год.</w:t>
      </w:r>
    </w:p>
    <w:p w:rsidR="00511A28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В связи с образованием городского округа примерно на 34 % уменьшится численность аппарата управления с 215 человек в 2018 году до 139 человек в 2019 году. Соответственно,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уменьшатся и расходы на управление и в бюджете на 2019 год их доля составит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8,1 % от всех расходов бюджета.</w:t>
      </w:r>
    </w:p>
    <w:p w:rsidR="00511A28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Малышева Н.А., возможна ли корректировка расходов бюджета в связи с юбилеем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Запрудненской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1.</w:t>
      </w:r>
    </w:p>
    <w:p w:rsidR="00511A28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корректировка расходов бюджета в процессе исполнения возможна, в том числе и на юбилей школы.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20A26">
        <w:rPr>
          <w:rFonts w:ascii="Times New Roman" w:hAnsi="Times New Roman" w:cs="Times New Roman"/>
          <w:sz w:val="28"/>
          <w:szCs w:val="28"/>
        </w:rPr>
        <w:t>Гришина Л.М.: предложила выступить участникам публичных слушаний по проекту решения о бюджете на 2019 год и на 2020-2021 годы.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Желающих выступить участников публичных слушаний не было.</w:t>
      </w: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28" w:rsidRPr="00C20A26" w:rsidRDefault="00511A28" w:rsidP="00511A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28" w:rsidRPr="00C20A26" w:rsidRDefault="00511A28" w:rsidP="00511A2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C20A26">
        <w:rPr>
          <w:b/>
          <w:sz w:val="28"/>
          <w:szCs w:val="28"/>
        </w:rPr>
        <w:t>Решили:</w:t>
      </w:r>
    </w:p>
    <w:p w:rsidR="00511A28" w:rsidRPr="00212215" w:rsidRDefault="00511A28" w:rsidP="00511A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12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Совету депутатов Талдомского городского округа Московской области принять проект решения Совета депутатов Талдомского городского округа Московской области «О бюджете Талдомского городского округа на 2019 год и на плановый период 2020-2021 годов» в целом.</w:t>
      </w:r>
    </w:p>
    <w:p w:rsidR="00511A28" w:rsidRDefault="00511A28" w:rsidP="00511A28">
      <w:pPr>
        <w:tabs>
          <w:tab w:val="left" w:pos="1134"/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протокол публичных слушаний главе Талдомского городского округа.</w:t>
      </w:r>
    </w:p>
    <w:p w:rsidR="00511A28" w:rsidRDefault="00511A28" w:rsidP="00511A28">
      <w:pPr>
        <w:tabs>
          <w:tab w:val="left" w:pos="1134"/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proofErr w:type="gramStart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протокол</w:t>
      </w:r>
      <w:proofErr w:type="gramEnd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на официальном сайте администрации Талдомского городского округа Московской области.</w:t>
      </w:r>
    </w:p>
    <w:p w:rsidR="00511A28" w:rsidRPr="00C20A26" w:rsidRDefault="00511A28" w:rsidP="00511A28">
      <w:pPr>
        <w:tabs>
          <w:tab w:val="left" w:pos="1134"/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28" w:rsidRPr="00C20A26" w:rsidRDefault="00511A28" w:rsidP="00511A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          Гришина Л.М. поблагодарила всех присутствующих за участие в публичных слушаниях и объявила слушания закрытыми.</w:t>
      </w:r>
    </w:p>
    <w:p w:rsidR="00511A28" w:rsidRPr="00C20A26" w:rsidRDefault="00511A28" w:rsidP="00511A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28" w:rsidRPr="00C20A26" w:rsidRDefault="00511A28" w:rsidP="00511A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28" w:rsidRPr="00C20A26" w:rsidRDefault="00511A28" w:rsidP="00511A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28" w:rsidRPr="00C20A26" w:rsidRDefault="00511A28" w:rsidP="00511A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Гришина Л.М.</w:t>
      </w:r>
    </w:p>
    <w:p w:rsidR="00511A28" w:rsidRPr="00C20A26" w:rsidRDefault="00511A28" w:rsidP="00511A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28" w:rsidRPr="00C20A26" w:rsidRDefault="00511A28" w:rsidP="00511A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26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Ефимова Е.В.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184"/>
        <w:gridCol w:w="3185"/>
      </w:tblGrid>
      <w:tr w:rsidR="00511A28" w:rsidRPr="00C20A26" w:rsidTr="00E63DED">
        <w:trPr>
          <w:trHeight w:val="1000"/>
        </w:trPr>
        <w:tc>
          <w:tcPr>
            <w:tcW w:w="3184" w:type="dxa"/>
          </w:tcPr>
          <w:p w:rsidR="00511A28" w:rsidRPr="00C20A26" w:rsidRDefault="00511A28" w:rsidP="00E63DE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A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3184" w:type="dxa"/>
            <w:vAlign w:val="bottom"/>
          </w:tcPr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vAlign w:val="bottom"/>
          </w:tcPr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11A28" w:rsidRPr="00C20A26" w:rsidTr="00E63DED">
        <w:tc>
          <w:tcPr>
            <w:tcW w:w="3184" w:type="dxa"/>
          </w:tcPr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Align w:val="bottom"/>
          </w:tcPr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vAlign w:val="bottom"/>
          </w:tcPr>
          <w:p w:rsidR="00511A28" w:rsidRPr="00C20A26" w:rsidRDefault="00511A28" w:rsidP="00E63DE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Список зарегистрированных участников слушаний:</w:t>
      </w:r>
    </w:p>
    <w:p w:rsidR="00511A28" w:rsidRPr="00490FEF" w:rsidRDefault="00511A28" w:rsidP="00511A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FEF">
        <w:rPr>
          <w:rFonts w:ascii="Times New Roman" w:hAnsi="Times New Roman" w:cs="Times New Roman"/>
          <w:sz w:val="28"/>
          <w:szCs w:val="28"/>
        </w:rPr>
        <w:t>Аникеев М.И.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Малышева 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Гудкова Ю.С.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FEF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Иванова Н.Н.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Быкович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Шаронова Т.Б.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Л.К.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Маркина Ж.С.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Часов Н.И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490FEF">
        <w:rPr>
          <w:rFonts w:ascii="Times New Roman" w:hAnsi="Times New Roman" w:cs="Times New Roman"/>
          <w:sz w:val="28"/>
          <w:szCs w:val="28"/>
        </w:rPr>
        <w:t>Якушева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Александрова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Цыганаш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Фабричева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О.Ж.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Карпова Н.С.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Мартьянова А.Ю.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Баурин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Турчанинова Н.В.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0FEF">
        <w:rPr>
          <w:rFonts w:ascii="Times New Roman" w:hAnsi="Times New Roman" w:cs="Times New Roman"/>
          <w:sz w:val="28"/>
          <w:szCs w:val="28"/>
        </w:rPr>
        <w:t>Зубкова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Погребная 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Бахметьева Е.И.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Гурова 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Лушпенко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Иксанова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Сильковская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Титова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Шмелева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Мошкина 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Копырина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Громова Н.Н.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Иванова 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Лапшова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Бутенко Ю.В.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Полозова Ю.Н.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Белякова Н.А.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0FEF">
        <w:rPr>
          <w:rFonts w:ascii="Times New Roman" w:hAnsi="Times New Roman" w:cs="Times New Roman"/>
          <w:sz w:val="28"/>
          <w:szCs w:val="28"/>
        </w:rPr>
        <w:t>Грушина Н.С.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Тульских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Иванова И.А.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Кузнецова В.А.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Белюстин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 xml:space="preserve">, Куликова Т.В., </w:t>
      </w:r>
      <w:r w:rsidRPr="00490FEF">
        <w:rPr>
          <w:rFonts w:ascii="Times New Roman" w:hAnsi="Times New Roman" w:cs="Times New Roman"/>
          <w:sz w:val="28"/>
          <w:szCs w:val="28"/>
        </w:rPr>
        <w:t>Шарапова Т.А.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Гудкова О.И.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Волкова 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Самсонова Ю.В.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Полканова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Семенова 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Долгов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Е.К.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Быкова Е.Б.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Бородавкина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Давыдова Е.А.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Прудникова 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Карпейчик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Шаврова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EF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Pr="00490FEF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FEF">
        <w:rPr>
          <w:rFonts w:ascii="Times New Roman" w:hAnsi="Times New Roman" w:cs="Times New Roman"/>
          <w:sz w:val="28"/>
          <w:szCs w:val="28"/>
        </w:rPr>
        <w:t>Коноплева Н.Ю.</w:t>
      </w:r>
    </w:p>
    <w:p w:rsidR="00511A28" w:rsidRPr="00490FEF" w:rsidRDefault="00511A28" w:rsidP="00511A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A28" w:rsidRPr="00490FEF" w:rsidRDefault="00511A28" w:rsidP="00511A28">
      <w:pPr>
        <w:rPr>
          <w:rFonts w:ascii="Times New Roman" w:hAnsi="Times New Roman" w:cs="Times New Roman"/>
          <w:sz w:val="28"/>
          <w:szCs w:val="28"/>
        </w:rPr>
      </w:pPr>
    </w:p>
    <w:p w:rsidR="00511A28" w:rsidRPr="00C20A26" w:rsidRDefault="00511A28" w:rsidP="0051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B2" w:rsidRDefault="00FF31B2">
      <w:bookmarkStart w:id="0" w:name="_GoBack"/>
      <w:bookmarkEnd w:id="0"/>
    </w:p>
    <w:sectPr w:rsidR="00FF31B2" w:rsidSect="00C712C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332BC"/>
    <w:multiLevelType w:val="hybridMultilevel"/>
    <w:tmpl w:val="45EA7038"/>
    <w:lvl w:ilvl="0" w:tplc="3198E18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color w:val="auto"/>
        <w:sz w:val="28"/>
      </w:rPr>
    </w:lvl>
    <w:lvl w:ilvl="1" w:tplc="77206BEC">
      <w:start w:val="1"/>
      <w:numFmt w:val="decimal"/>
      <w:lvlText w:val="%2)"/>
      <w:lvlJc w:val="left"/>
      <w:pPr>
        <w:ind w:left="1979" w:hanging="360"/>
      </w:pPr>
      <w:rPr>
        <w:rFonts w:hint="default"/>
        <w:color w:val="000000" w:themeColor="text1"/>
        <w:sz w:val="26"/>
      </w:rPr>
    </w:lvl>
    <w:lvl w:ilvl="2" w:tplc="868623EE">
      <w:start w:val="1"/>
      <w:numFmt w:val="decimal"/>
      <w:lvlText w:val="%3."/>
      <w:lvlJc w:val="left"/>
      <w:pPr>
        <w:ind w:left="287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8"/>
    <w:rsid w:val="00044D17"/>
    <w:rsid w:val="00511A28"/>
    <w:rsid w:val="006B5107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51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511A28"/>
    <w:rPr>
      <w:sz w:val="28"/>
      <w:szCs w:val="24"/>
    </w:rPr>
  </w:style>
  <w:style w:type="paragraph" w:styleId="a6">
    <w:name w:val="Body Text Indent"/>
    <w:basedOn w:val="a"/>
    <w:link w:val="a5"/>
    <w:rsid w:val="00511A28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511A28"/>
  </w:style>
  <w:style w:type="paragraph" w:styleId="2">
    <w:name w:val="Body Text Indent 2"/>
    <w:basedOn w:val="a"/>
    <w:link w:val="20"/>
    <w:uiPriority w:val="99"/>
    <w:unhideWhenUsed/>
    <w:rsid w:val="00511A28"/>
    <w:pPr>
      <w:spacing w:after="120" w:line="480" w:lineRule="auto"/>
      <w:ind w:left="283" w:right="57" w:firstLine="709"/>
      <w:jc w:val="both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1A28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11A28"/>
    <w:pPr>
      <w:spacing w:after="120" w:line="480" w:lineRule="auto"/>
      <w:ind w:left="57" w:right="57" w:firstLine="709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11A28"/>
    <w:rPr>
      <w:rFonts w:ascii="Calibri" w:eastAsia="Calibri" w:hAnsi="Calibri" w:cs="Times New Roman"/>
    </w:rPr>
  </w:style>
  <w:style w:type="paragraph" w:styleId="a7">
    <w:name w:val="Subtitle"/>
    <w:basedOn w:val="a"/>
    <w:link w:val="a8"/>
    <w:qFormat/>
    <w:rsid w:val="00511A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8">
    <w:name w:val="Подзаголовок Знак"/>
    <w:basedOn w:val="a0"/>
    <w:link w:val="a7"/>
    <w:rsid w:val="00511A28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table" w:styleId="a3">
    <w:name w:val="Table Grid"/>
    <w:basedOn w:val="a1"/>
    <w:uiPriority w:val="59"/>
    <w:rsid w:val="0051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51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511A28"/>
    <w:rPr>
      <w:sz w:val="28"/>
      <w:szCs w:val="24"/>
    </w:rPr>
  </w:style>
  <w:style w:type="paragraph" w:styleId="a6">
    <w:name w:val="Body Text Indent"/>
    <w:basedOn w:val="a"/>
    <w:link w:val="a5"/>
    <w:rsid w:val="00511A28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511A28"/>
  </w:style>
  <w:style w:type="paragraph" w:styleId="2">
    <w:name w:val="Body Text Indent 2"/>
    <w:basedOn w:val="a"/>
    <w:link w:val="20"/>
    <w:uiPriority w:val="99"/>
    <w:unhideWhenUsed/>
    <w:rsid w:val="00511A28"/>
    <w:pPr>
      <w:spacing w:after="120" w:line="480" w:lineRule="auto"/>
      <w:ind w:left="283" w:right="57" w:firstLine="709"/>
      <w:jc w:val="both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1A28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11A28"/>
    <w:pPr>
      <w:spacing w:after="120" w:line="480" w:lineRule="auto"/>
      <w:ind w:left="57" w:right="57" w:firstLine="709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11A28"/>
    <w:rPr>
      <w:rFonts w:ascii="Calibri" w:eastAsia="Calibri" w:hAnsi="Calibri" w:cs="Times New Roman"/>
    </w:rPr>
  </w:style>
  <w:style w:type="paragraph" w:styleId="a7">
    <w:name w:val="Subtitle"/>
    <w:basedOn w:val="a"/>
    <w:link w:val="a8"/>
    <w:qFormat/>
    <w:rsid w:val="00511A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8">
    <w:name w:val="Подзаголовок Знак"/>
    <w:basedOn w:val="a0"/>
    <w:link w:val="a7"/>
    <w:rsid w:val="00511A28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table" w:styleId="a3">
    <w:name w:val="Table Grid"/>
    <w:basedOn w:val="a1"/>
    <w:uiPriority w:val="59"/>
    <w:rsid w:val="0051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2019-01-16T13:59:00Z</dcterms:created>
  <dcterms:modified xsi:type="dcterms:W3CDTF">2019-01-16T14:02:00Z</dcterms:modified>
</cp:coreProperties>
</file>