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МО от 04.10.2022 N 1074/35</w:t>
              <w:br/>
              <w:t xml:space="preserve">(ред. от 25.12.2024)</w:t>
              <w:br/>
              <w:t xml:space="preserve">"О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br/>
              <w:t xml:space="preserve">(вместе с "Перечнем признаваемых утратившими силу постановлений Правительства Московской области")</w:t>
              <w:br/>
              <w:t xml:space="preserve">(с изм. и доп., вступающими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МОСКОВСКОЙ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октября 2022 г. N 1074/35</w:t>
      </w:r>
    </w:p>
    <w:p>
      <w:pPr>
        <w:pStyle w:val="2"/>
        <w:jc w:val="both"/>
      </w:pPr>
      <w:r>
        <w:rPr>
          <w:sz w:val="20"/>
        </w:rPr>
      </w:r>
    </w:p>
    <w:p>
      <w:pPr>
        <w:pStyle w:val="2"/>
        <w:jc w:val="center"/>
      </w:pPr>
      <w:r>
        <w:rPr>
          <w:sz w:val="20"/>
        </w:rPr>
        <w:t xml:space="preserve">О ДОСРОЧНОМ ПРЕКРАЩЕНИИ РЕАЛИЗАЦИИ ГОСУДАРСТВЕННОЙ ПРОГРАММЫ</w:t>
      </w:r>
    </w:p>
    <w:p>
      <w:pPr>
        <w:pStyle w:val="2"/>
        <w:jc w:val="center"/>
      </w:pPr>
      <w:r>
        <w:rPr>
          <w:sz w:val="20"/>
        </w:rPr>
        <w:t xml:space="preserve">МОСКОВСКОЙ ОБЛАСТИ "ПРЕДПРИНИМАТЕЛЬСТВО ПОДМОСКОВЬЯ"</w:t>
      </w:r>
    </w:p>
    <w:p>
      <w:pPr>
        <w:pStyle w:val="2"/>
        <w:jc w:val="center"/>
      </w:pPr>
      <w:r>
        <w:rPr>
          <w:sz w:val="20"/>
        </w:rPr>
        <w:t xml:space="preserve">НА 2017-2024 ГОДЫ И УТВЕРЖДЕНИИ ГОСУДАРСТВЕННОЙ ПРОГРАММЫ</w:t>
      </w:r>
    </w:p>
    <w:p>
      <w:pPr>
        <w:pStyle w:val="2"/>
        <w:jc w:val="center"/>
      </w:pPr>
      <w:r>
        <w:rPr>
          <w:sz w:val="20"/>
        </w:rPr>
        <w:t xml:space="preserve">МОСКОВСКОЙ ОБЛАСТИ "ПРЕДПРИНИМАТЕЛЬСТВО ПОДМОСКОВЬЯ"</w:t>
      </w:r>
    </w:p>
    <w:p>
      <w:pPr>
        <w:pStyle w:val="2"/>
        <w:jc w:val="center"/>
      </w:pPr>
      <w:r>
        <w:rPr>
          <w:sz w:val="20"/>
        </w:rPr>
        <w:t xml:space="preserve">НА 2023-2027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 от 13.03.2023 </w:t>
            </w:r>
            <w:hyperlink w:history="0" r:id="rId7" w:tooltip="Постановление Правительства МО от 13.03.2023 N 10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101-ПП</w:t>
              </w:r>
            </w:hyperlink>
            <w:r>
              <w:rPr>
                <w:sz w:val="20"/>
                <w:color w:val="392c69"/>
              </w:rPr>
              <w:t xml:space="preserve">,</w:t>
            </w:r>
          </w:p>
          <w:p>
            <w:pPr>
              <w:pStyle w:val="0"/>
              <w:jc w:val="center"/>
            </w:pPr>
            <w:r>
              <w:rPr>
                <w:sz w:val="20"/>
                <w:color w:val="392c69"/>
              </w:rPr>
              <w:t xml:space="preserve">от 22.05.2023 </w:t>
            </w:r>
            <w:hyperlink w:history="0" r:id="rId8"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315-ПП</w:t>
              </w:r>
            </w:hyperlink>
            <w:r>
              <w:rPr>
                <w:sz w:val="20"/>
                <w:color w:val="392c69"/>
              </w:rPr>
              <w:t xml:space="preserve">, от 25.05.2023 </w:t>
            </w:r>
            <w:hyperlink w:history="0" r:id="rId9" w:tooltip="Постановление Правительства МО от 25.05.2023 N 328-ПП &quot;О распределении бюджетных ассигнований бюджета Московской области,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 в сфере предпринимательства&quot; {КонсультантПлюс}">
              <w:r>
                <w:rPr>
                  <w:sz w:val="20"/>
                  <w:color w:val="0000ff"/>
                </w:rPr>
                <w:t xml:space="preserve">N 328-ПП</w:t>
              </w:r>
            </w:hyperlink>
            <w:r>
              <w:rPr>
                <w:sz w:val="20"/>
                <w:color w:val="392c69"/>
              </w:rPr>
              <w:t xml:space="preserve">, от 21.06.2023 </w:t>
            </w:r>
            <w:hyperlink w:history="0" r:id="rId10" w:tooltip="Постановление Правительства МО от 21.06.2023 N 41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410-ПП</w:t>
              </w:r>
            </w:hyperlink>
            <w:r>
              <w:rPr>
                <w:sz w:val="20"/>
                <w:color w:val="392c69"/>
              </w:rPr>
              <w:t xml:space="preserve">,</w:t>
            </w:r>
          </w:p>
          <w:p>
            <w:pPr>
              <w:pStyle w:val="0"/>
              <w:jc w:val="center"/>
            </w:pPr>
            <w:r>
              <w:rPr>
                <w:sz w:val="20"/>
                <w:color w:val="392c69"/>
              </w:rPr>
              <w:t xml:space="preserve">от 23.06.2023 </w:t>
            </w:r>
            <w:hyperlink w:history="0" r:id="rId11" w:tooltip="Постановление Правительства МО от 23.06.2023 N 43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430-ПП</w:t>
              </w:r>
            </w:hyperlink>
            <w:r>
              <w:rPr>
                <w:sz w:val="20"/>
                <w:color w:val="392c69"/>
              </w:rPr>
              <w:t xml:space="preserve">, от 07.07.2023 </w:t>
            </w:r>
            <w:hyperlink w:history="0" r:id="rId12" w:tooltip="Постановление Правительства МО от 07.07.2023 N 48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485-ПП</w:t>
              </w:r>
            </w:hyperlink>
            <w:r>
              <w:rPr>
                <w:sz w:val="20"/>
                <w:color w:val="392c69"/>
              </w:rPr>
              <w:t xml:space="preserve">, от 01.08.2023 </w:t>
            </w:r>
            <w:hyperlink w:history="0" r:id="rId13" w:tooltip="Постановление Правительства МО от 01.08.2023 N 58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585-ПП</w:t>
              </w:r>
            </w:hyperlink>
            <w:r>
              <w:rPr>
                <w:sz w:val="20"/>
                <w:color w:val="392c69"/>
              </w:rPr>
              <w:t xml:space="preserve">,</w:t>
            </w:r>
          </w:p>
          <w:p>
            <w:pPr>
              <w:pStyle w:val="0"/>
              <w:jc w:val="center"/>
            </w:pPr>
            <w:r>
              <w:rPr>
                <w:sz w:val="20"/>
                <w:color w:val="392c69"/>
              </w:rPr>
              <w:t xml:space="preserve">от 11.08.2023 </w:t>
            </w:r>
            <w:hyperlink w:history="0" r:id="rId14" w:tooltip="Постановление Правительства МО от 11.08.2023 N 63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631-ПП</w:t>
              </w:r>
            </w:hyperlink>
            <w:r>
              <w:rPr>
                <w:sz w:val="20"/>
                <w:color w:val="392c69"/>
              </w:rPr>
              <w:t xml:space="preserve">, от 07.09.2023 </w:t>
            </w:r>
            <w:hyperlink w:history="0" r:id="rId15" w:tooltip="Постановление Правительства МО от 07.09.2023 N 7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714-ПП</w:t>
              </w:r>
            </w:hyperlink>
            <w:r>
              <w:rPr>
                <w:sz w:val="20"/>
                <w:color w:val="392c69"/>
              </w:rPr>
              <w:t xml:space="preserve">, от 11.09.2023 </w:t>
            </w:r>
            <w:hyperlink w:history="0" r:id="rId16" w:tooltip="Постановление Правительства МО от 11.09.2023 N 72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726-ПП</w:t>
              </w:r>
            </w:hyperlink>
            <w:r>
              <w:rPr>
                <w:sz w:val="20"/>
                <w:color w:val="392c69"/>
              </w:rPr>
              <w:t xml:space="preserve">,</w:t>
            </w:r>
          </w:p>
          <w:p>
            <w:pPr>
              <w:pStyle w:val="0"/>
              <w:jc w:val="center"/>
            </w:pPr>
            <w:r>
              <w:rPr>
                <w:sz w:val="20"/>
                <w:color w:val="392c69"/>
              </w:rPr>
              <w:t xml:space="preserve">от 26.09.2023 </w:t>
            </w:r>
            <w:hyperlink w:history="0" r:id="rId17" w:tooltip="Постановление Правительства МО от 26.09.2023 N 776-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776-ПП</w:t>
              </w:r>
            </w:hyperlink>
            <w:r>
              <w:rPr>
                <w:sz w:val="20"/>
                <w:color w:val="392c69"/>
              </w:rPr>
              <w:t xml:space="preserve">, от 09.10.2023 </w:t>
            </w:r>
            <w:hyperlink w:history="0" r:id="rId18" w:tooltip="Постановление Правительства МО от 09.10.2023 N 8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833-ПП</w:t>
              </w:r>
            </w:hyperlink>
            <w:r>
              <w:rPr>
                <w:sz w:val="20"/>
                <w:color w:val="392c69"/>
              </w:rPr>
              <w:t xml:space="preserve">, от 31.10.2023 </w:t>
            </w:r>
            <w:hyperlink w:history="0" r:id="rId19"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1003-ПП</w:t>
              </w:r>
            </w:hyperlink>
            <w:r>
              <w:rPr>
                <w:sz w:val="20"/>
                <w:color w:val="392c69"/>
              </w:rPr>
              <w:t xml:space="preserve">,</w:t>
            </w:r>
          </w:p>
          <w:p>
            <w:pPr>
              <w:pStyle w:val="0"/>
              <w:jc w:val="center"/>
            </w:pPr>
            <w:r>
              <w:rPr>
                <w:sz w:val="20"/>
                <w:color w:val="392c69"/>
              </w:rPr>
              <w:t xml:space="preserve">от 31.10.2023 </w:t>
            </w:r>
            <w:hyperlink w:history="0" r:id="rId20" w:tooltip="Постановление Правительства МО от 31.10.2023 N 101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1010-ПП</w:t>
              </w:r>
            </w:hyperlink>
            <w:r>
              <w:rPr>
                <w:sz w:val="20"/>
                <w:color w:val="392c69"/>
              </w:rPr>
              <w:t xml:space="preserve">, от 03.11.2023 </w:t>
            </w:r>
            <w:hyperlink w:history="0" r:id="rId21" w:tooltip="Постановление Правительства МО от 03.11.2023 N 1017-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1017-ПП</w:t>
              </w:r>
            </w:hyperlink>
            <w:r>
              <w:rPr>
                <w:sz w:val="20"/>
                <w:color w:val="392c69"/>
              </w:rPr>
              <w:t xml:space="preserve">, от 03.11.2023 </w:t>
            </w:r>
            <w:hyperlink w:history="0" r:id="rId22" w:tooltip="Постановление Правительства МО от 03.11.2023 N 101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1018-ПП</w:t>
              </w:r>
            </w:hyperlink>
            <w:r>
              <w:rPr>
                <w:sz w:val="20"/>
                <w:color w:val="392c69"/>
              </w:rPr>
              <w:t xml:space="preserve">,</w:t>
            </w:r>
          </w:p>
          <w:p>
            <w:pPr>
              <w:pStyle w:val="0"/>
              <w:jc w:val="center"/>
            </w:pPr>
            <w:r>
              <w:rPr>
                <w:sz w:val="20"/>
                <w:color w:val="392c69"/>
              </w:rPr>
              <w:t xml:space="preserve">от 10.11.2023 </w:t>
            </w:r>
            <w:hyperlink w:history="0" r:id="rId23" w:tooltip="Постановление Правительства МО от 10.11.2023 N 105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1058-ПП</w:t>
              </w:r>
            </w:hyperlink>
            <w:r>
              <w:rPr>
                <w:sz w:val="20"/>
                <w:color w:val="392c69"/>
              </w:rPr>
              <w:t xml:space="preserve">, от 13.11.2023 </w:t>
            </w:r>
            <w:hyperlink w:history="0" r:id="rId24" w:tooltip="Постановление Правительства МО от 13.11.2023 N 108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1082-ПП</w:t>
              </w:r>
            </w:hyperlink>
            <w:r>
              <w:rPr>
                <w:sz w:val="20"/>
                <w:color w:val="392c69"/>
              </w:rPr>
              <w:t xml:space="preserve">, от 15.12.2023 </w:t>
            </w:r>
            <w:hyperlink w:history="0" r:id="rId25" w:tooltip="Постановление Правительства МО от 15.12.2023 N 122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1227-ПП</w:t>
              </w:r>
            </w:hyperlink>
            <w:r>
              <w:rPr>
                <w:sz w:val="20"/>
                <w:color w:val="392c69"/>
              </w:rPr>
              <w:t xml:space="preserve">,</w:t>
            </w:r>
          </w:p>
          <w:p>
            <w:pPr>
              <w:pStyle w:val="0"/>
              <w:jc w:val="center"/>
            </w:pPr>
            <w:r>
              <w:rPr>
                <w:sz w:val="20"/>
                <w:color w:val="392c69"/>
              </w:rPr>
              <w:t xml:space="preserve">от 15.12.2023 </w:t>
            </w:r>
            <w:hyperlink w:history="0" r:id="rId26" w:tooltip="Постановление Правительства МО от 15.12.2023 N 1228-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1228-ПП</w:t>
              </w:r>
            </w:hyperlink>
            <w:r>
              <w:rPr>
                <w:sz w:val="20"/>
                <w:color w:val="392c69"/>
              </w:rPr>
              <w:t xml:space="preserve">, от 26.12.2023 </w:t>
            </w:r>
            <w:hyperlink w:history="0" r:id="rId27" w:tooltip="Постановление Правительства МО от 26.12.2023 N 130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1301-ПП</w:t>
              </w:r>
            </w:hyperlink>
            <w:r>
              <w:rPr>
                <w:sz w:val="20"/>
                <w:color w:val="392c69"/>
              </w:rPr>
              <w:t xml:space="preserve">, от 15.01.2024 </w:t>
            </w:r>
            <w:hyperlink w:history="0" r:id="rId28"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16-ПП</w:t>
              </w:r>
            </w:hyperlink>
            <w:r>
              <w:rPr>
                <w:sz w:val="20"/>
                <w:color w:val="392c69"/>
              </w:rPr>
              <w:t xml:space="preserve">,</w:t>
            </w:r>
          </w:p>
          <w:p>
            <w:pPr>
              <w:pStyle w:val="0"/>
              <w:jc w:val="center"/>
            </w:pPr>
            <w:r>
              <w:rPr>
                <w:sz w:val="20"/>
                <w:color w:val="392c69"/>
              </w:rPr>
              <w:t xml:space="preserve">от 05.02.2024 </w:t>
            </w:r>
            <w:hyperlink w:history="0" r:id="rId29" w:tooltip="Постановление Правительства МО от 05.02.2024 N 8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81-ПП</w:t>
              </w:r>
            </w:hyperlink>
            <w:r>
              <w:rPr>
                <w:sz w:val="20"/>
                <w:color w:val="392c69"/>
              </w:rPr>
              <w:t xml:space="preserve">, от 12.02.2024 </w:t>
            </w:r>
            <w:hyperlink w:history="0" r:id="rId30" w:tooltip="Постановление Правительства МО от 12.02.2024 N 10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104-ПП</w:t>
              </w:r>
            </w:hyperlink>
            <w:r>
              <w:rPr>
                <w:sz w:val="20"/>
                <w:color w:val="392c69"/>
              </w:rPr>
              <w:t xml:space="preserve">, от 25.03.2024 </w:t>
            </w:r>
            <w:hyperlink w:history="0" r:id="rId31" w:tooltip="Постановление Правительства МО от 25.03.2024 N 26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264-ПП</w:t>
              </w:r>
            </w:hyperlink>
            <w:r>
              <w:rPr>
                <w:sz w:val="20"/>
                <w:color w:val="392c69"/>
              </w:rPr>
              <w:t xml:space="preserve">,</w:t>
            </w:r>
          </w:p>
          <w:p>
            <w:pPr>
              <w:pStyle w:val="0"/>
              <w:jc w:val="center"/>
            </w:pPr>
            <w:r>
              <w:rPr>
                <w:sz w:val="20"/>
                <w:color w:val="392c69"/>
              </w:rPr>
              <w:t xml:space="preserve">от 28.03.2024 </w:t>
            </w:r>
            <w:hyperlink w:history="0" r:id="rId32" w:tooltip="Постановление Правительства МО от 28.03.2024 N 299-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299-ПП</w:t>
              </w:r>
            </w:hyperlink>
            <w:r>
              <w:rPr>
                <w:sz w:val="20"/>
                <w:color w:val="392c69"/>
              </w:rPr>
              <w:t xml:space="preserve">, от 28.03.2024 </w:t>
            </w:r>
            <w:hyperlink w:history="0" r:id="rId33" w:tooltip="Постановление Правительства МО от 28.03.2024 N 30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300-ПП</w:t>
              </w:r>
            </w:hyperlink>
            <w:r>
              <w:rPr>
                <w:sz w:val="20"/>
                <w:color w:val="392c69"/>
              </w:rPr>
              <w:t xml:space="preserve">, от 07.05.2024 </w:t>
            </w:r>
            <w:hyperlink w:history="0" r:id="rId34" w:tooltip="Постановление Правительства МО от 07.05.2024 N 43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437-ПП</w:t>
              </w:r>
            </w:hyperlink>
            <w:r>
              <w:rPr>
                <w:sz w:val="20"/>
                <w:color w:val="392c69"/>
              </w:rPr>
              <w:t xml:space="preserve">,</w:t>
            </w:r>
          </w:p>
          <w:p>
            <w:pPr>
              <w:pStyle w:val="0"/>
              <w:jc w:val="center"/>
            </w:pPr>
            <w:r>
              <w:rPr>
                <w:sz w:val="20"/>
                <w:color w:val="392c69"/>
              </w:rPr>
              <w:t xml:space="preserve">от 16.05.2024 </w:t>
            </w:r>
            <w:hyperlink w:history="0" r:id="rId35" w:tooltip="Постановление Правительства МО от 16.05.2024 N 454-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454-ПП</w:t>
              </w:r>
            </w:hyperlink>
            <w:r>
              <w:rPr>
                <w:sz w:val="20"/>
                <w:color w:val="392c69"/>
              </w:rPr>
              <w:t xml:space="preserve">, от 23.05.2024 </w:t>
            </w:r>
            <w:hyperlink w:history="0" r:id="rId36" w:tooltip="Постановление Правительства МО от 23.05.2024 N 485-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485-ПП</w:t>
              </w:r>
            </w:hyperlink>
            <w:r>
              <w:rPr>
                <w:sz w:val="20"/>
                <w:color w:val="392c69"/>
              </w:rPr>
              <w:t xml:space="preserve">, от 27.05.2024 </w:t>
            </w:r>
            <w:hyperlink w:history="0" r:id="rId37" w:tooltip="Постановление Правительства МО от 27.05.2024 N 49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496-ПП</w:t>
              </w:r>
            </w:hyperlink>
            <w:r>
              <w:rPr>
                <w:sz w:val="20"/>
                <w:color w:val="392c69"/>
              </w:rPr>
              <w:t xml:space="preserve">,</w:t>
            </w:r>
          </w:p>
          <w:p>
            <w:pPr>
              <w:pStyle w:val="0"/>
              <w:jc w:val="center"/>
            </w:pPr>
            <w:r>
              <w:rPr>
                <w:sz w:val="20"/>
                <w:color w:val="392c69"/>
              </w:rPr>
              <w:t xml:space="preserve">от 21.06.2024 </w:t>
            </w:r>
            <w:hyperlink w:history="0" r:id="rId38" w:tooltip="Постановление Правительства МО от 21.06.2024 N 62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628-ПП</w:t>
              </w:r>
            </w:hyperlink>
            <w:r>
              <w:rPr>
                <w:sz w:val="20"/>
                <w:color w:val="392c69"/>
              </w:rPr>
              <w:t xml:space="preserve">, от 27.06.2024 </w:t>
            </w:r>
            <w:hyperlink w:history="0" r:id="rId39" w:tooltip="Постановление Правительства МО от 27.06.2024 N 64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648-ПП</w:t>
              </w:r>
            </w:hyperlink>
            <w:r>
              <w:rPr>
                <w:sz w:val="20"/>
                <w:color w:val="392c69"/>
              </w:rPr>
              <w:t xml:space="preserve">, от 28.06.2024 </w:t>
            </w:r>
            <w:hyperlink w:history="0" r:id="rId40" w:tooltip="Постановление Правительства МО от 28.06.2024 N 66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660-ПП</w:t>
              </w:r>
            </w:hyperlink>
            <w:r>
              <w:rPr>
                <w:sz w:val="20"/>
                <w:color w:val="392c69"/>
              </w:rPr>
              <w:t xml:space="preserve">,</w:t>
            </w:r>
          </w:p>
          <w:p>
            <w:pPr>
              <w:pStyle w:val="0"/>
              <w:jc w:val="center"/>
            </w:pPr>
            <w:r>
              <w:rPr>
                <w:sz w:val="20"/>
                <w:color w:val="392c69"/>
              </w:rPr>
              <w:t xml:space="preserve">от 08.07.2024 </w:t>
            </w:r>
            <w:hyperlink w:history="0" r:id="rId41" w:tooltip="Постановление Правительства МО от 08.07.2024 N 69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690-ПП</w:t>
              </w:r>
            </w:hyperlink>
            <w:r>
              <w:rPr>
                <w:sz w:val="20"/>
                <w:color w:val="392c69"/>
              </w:rPr>
              <w:t xml:space="preserve">, от 18.07.2024 </w:t>
            </w:r>
            <w:hyperlink w:history="0" r:id="rId42" w:tooltip="Постановление Правительства МО от 18.07.2024 N 7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733-ПП</w:t>
              </w:r>
            </w:hyperlink>
            <w:r>
              <w:rPr>
                <w:sz w:val="20"/>
                <w:color w:val="392c69"/>
              </w:rPr>
              <w:t xml:space="preserve">, от 26.07.2024 </w:t>
            </w:r>
            <w:hyperlink w:history="0" r:id="rId43" w:tooltip="Постановление Правительства МО от 26.07.2024 N 76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767-ПП</w:t>
              </w:r>
            </w:hyperlink>
            <w:r>
              <w:rPr>
                <w:sz w:val="20"/>
                <w:color w:val="392c69"/>
              </w:rPr>
              <w:t xml:space="preserve">,</w:t>
            </w:r>
          </w:p>
          <w:p>
            <w:pPr>
              <w:pStyle w:val="0"/>
              <w:jc w:val="center"/>
            </w:pPr>
            <w:r>
              <w:rPr>
                <w:sz w:val="20"/>
                <w:color w:val="392c69"/>
              </w:rPr>
              <w:t xml:space="preserve">от 31.07.2024 </w:t>
            </w:r>
            <w:hyperlink w:history="0" r:id="rId44" w:tooltip="Постановление Правительства МО от 31.07.2024 N 78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782-ПП</w:t>
              </w:r>
            </w:hyperlink>
            <w:r>
              <w:rPr>
                <w:sz w:val="20"/>
                <w:color w:val="392c69"/>
              </w:rPr>
              <w:t xml:space="preserve">, от 06.08.2024 </w:t>
            </w:r>
            <w:hyperlink w:history="0" r:id="rId45" w:tooltip="Постановление Правительства МО от 06.08.2024 N 8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814-ПП</w:t>
              </w:r>
            </w:hyperlink>
            <w:r>
              <w:rPr>
                <w:sz w:val="20"/>
                <w:color w:val="392c69"/>
              </w:rPr>
              <w:t xml:space="preserve">, от 12.08.2024 </w:t>
            </w:r>
            <w:hyperlink w:history="0" r:id="rId46" w:tooltip="Постановление Правительства МО от 12.08.2024 N 84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845-ПП</w:t>
              </w:r>
            </w:hyperlink>
            <w:r>
              <w:rPr>
                <w:sz w:val="20"/>
                <w:color w:val="392c69"/>
              </w:rPr>
              <w:t xml:space="preserve">,</w:t>
            </w:r>
          </w:p>
          <w:p>
            <w:pPr>
              <w:pStyle w:val="0"/>
              <w:jc w:val="center"/>
            </w:pPr>
            <w:r>
              <w:rPr>
                <w:sz w:val="20"/>
                <w:color w:val="392c69"/>
              </w:rPr>
              <w:t xml:space="preserve">от 16.08.2024 </w:t>
            </w:r>
            <w:hyperlink w:history="0" r:id="rId47" w:tooltip="Постановление Правительства МО от 16.08.2024 N 87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872-ПП</w:t>
              </w:r>
            </w:hyperlink>
            <w:r>
              <w:rPr>
                <w:sz w:val="20"/>
                <w:color w:val="392c69"/>
              </w:rPr>
              <w:t xml:space="preserve">, от 19.08.2024 </w:t>
            </w:r>
            <w:hyperlink w:history="0" r:id="rId48" w:tooltip="Постановление Правительства МО от 19.08.2024 N 89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890-ПП</w:t>
              </w:r>
            </w:hyperlink>
            <w:r>
              <w:rPr>
                <w:sz w:val="20"/>
                <w:color w:val="392c69"/>
              </w:rPr>
              <w:t xml:space="preserve">, от 30.08.2024 </w:t>
            </w:r>
            <w:hyperlink w:history="0" r:id="rId49" w:tooltip="Постановление Правительства МО от 30.08.2024 N 936-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936-ПП</w:t>
              </w:r>
            </w:hyperlink>
            <w:r>
              <w:rPr>
                <w:sz w:val="20"/>
                <w:color w:val="392c69"/>
              </w:rPr>
              <w:t xml:space="preserve">,</w:t>
            </w:r>
          </w:p>
          <w:p>
            <w:pPr>
              <w:pStyle w:val="0"/>
              <w:jc w:val="center"/>
            </w:pPr>
            <w:r>
              <w:rPr>
                <w:sz w:val="20"/>
                <w:color w:val="392c69"/>
              </w:rPr>
              <w:t xml:space="preserve">от 23.09.2024 </w:t>
            </w:r>
            <w:hyperlink w:history="0" r:id="rId50"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1033-ПП</w:t>
              </w:r>
            </w:hyperlink>
            <w:r>
              <w:rPr>
                <w:sz w:val="20"/>
                <w:color w:val="392c69"/>
              </w:rPr>
              <w:t xml:space="preserve">, от 23.09.2024 </w:t>
            </w:r>
            <w:hyperlink w:history="0" r:id="rId51" w:tooltip="Постановление Правительства МО от 23.09.2024 N 103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1034-ПП</w:t>
              </w:r>
            </w:hyperlink>
            <w:r>
              <w:rPr>
                <w:sz w:val="20"/>
                <w:color w:val="392c69"/>
              </w:rPr>
              <w:t xml:space="preserve">, от 08.10.2024 </w:t>
            </w:r>
            <w:hyperlink w:history="0" r:id="rId52" w:tooltip="Постановление Правительства МО от 08.10.2024 N 119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1193-ПП</w:t>
              </w:r>
            </w:hyperlink>
            <w:r>
              <w:rPr>
                <w:sz w:val="20"/>
                <w:color w:val="392c69"/>
              </w:rPr>
              <w:t xml:space="preserve">,</w:t>
            </w:r>
          </w:p>
          <w:p>
            <w:pPr>
              <w:pStyle w:val="0"/>
              <w:jc w:val="center"/>
            </w:pPr>
            <w:r>
              <w:rPr>
                <w:sz w:val="20"/>
                <w:color w:val="392c69"/>
              </w:rPr>
              <w:t xml:space="preserve">от 08.10.2024 </w:t>
            </w:r>
            <w:hyperlink w:history="0" r:id="rId53"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от 22.10.2024 </w:t>
            </w:r>
            <w:hyperlink w:history="0" r:id="rId54" w:tooltip="Постановление Правительства МО от 22.10.2024 N 126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1265-ПП</w:t>
              </w:r>
            </w:hyperlink>
            <w:r>
              <w:rPr>
                <w:sz w:val="20"/>
                <w:color w:val="392c69"/>
              </w:rPr>
              <w:t xml:space="preserve">, от 01.11.2024 </w:t>
            </w:r>
            <w:hyperlink w:history="0" r:id="rId55" w:tooltip="Постановление Правительства МО от 01.11.2024 N 1323-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1323-ПП</w:t>
              </w:r>
            </w:hyperlink>
            <w:r>
              <w:rPr>
                <w:sz w:val="20"/>
                <w:color w:val="392c69"/>
              </w:rPr>
              <w:t xml:space="preserve">,</w:t>
            </w:r>
          </w:p>
          <w:p>
            <w:pPr>
              <w:pStyle w:val="0"/>
              <w:jc w:val="center"/>
            </w:pPr>
            <w:r>
              <w:rPr>
                <w:sz w:val="20"/>
                <w:color w:val="392c69"/>
              </w:rPr>
              <w:t xml:space="preserve">от 11.11.2024 </w:t>
            </w:r>
            <w:hyperlink w:history="0" r:id="rId56" w:tooltip="Постановление Правительства МО от 11.11.2024 N 135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1356-ПП</w:t>
              </w:r>
            </w:hyperlink>
            <w:r>
              <w:rPr>
                <w:sz w:val="20"/>
                <w:color w:val="392c69"/>
              </w:rPr>
              <w:t xml:space="preserve">, от 19.11.2024 </w:t>
            </w:r>
            <w:hyperlink w:history="0" r:id="rId57"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1384-ПП</w:t>
              </w:r>
            </w:hyperlink>
            <w:r>
              <w:rPr>
                <w:sz w:val="20"/>
                <w:color w:val="392c69"/>
              </w:rPr>
              <w:t xml:space="preserve">, от 21.11.2024 </w:t>
            </w:r>
            <w:hyperlink w:history="0" r:id="rId58" w:tooltip="Постановление Правительства МО от 21.11.2024 N 140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1406-ПП</w:t>
              </w:r>
            </w:hyperlink>
            <w:r>
              <w:rPr>
                <w:sz w:val="20"/>
                <w:color w:val="392c69"/>
              </w:rPr>
              <w:t xml:space="preserve">,</w:t>
            </w:r>
          </w:p>
          <w:p>
            <w:pPr>
              <w:pStyle w:val="0"/>
              <w:jc w:val="center"/>
            </w:pPr>
            <w:r>
              <w:rPr>
                <w:sz w:val="20"/>
                <w:color w:val="392c69"/>
              </w:rPr>
              <w:t xml:space="preserve">от 21.11.2024 </w:t>
            </w:r>
            <w:hyperlink w:history="0" r:id="rId59" w:tooltip="Постановление Правительства МО от 21.11.2024 N 140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1407-ПП</w:t>
              </w:r>
            </w:hyperlink>
            <w:r>
              <w:rPr>
                <w:sz w:val="20"/>
                <w:color w:val="392c69"/>
              </w:rPr>
              <w:t xml:space="preserve">, от 06.12.2024 </w:t>
            </w:r>
            <w:hyperlink w:history="0" r:id="rId60" w:tooltip="Постановление Правительства МО от 06.12.2024 N 149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1492-ПП</w:t>
              </w:r>
            </w:hyperlink>
            <w:r>
              <w:rPr>
                <w:sz w:val="20"/>
                <w:color w:val="392c69"/>
              </w:rPr>
              <w:t xml:space="preserve">, от 09.12.2024 </w:t>
            </w:r>
            <w:hyperlink w:history="0" r:id="rId61" w:tooltip="Постановление Правительства МО от 09.12.2024 N 1514-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1514-ПП</w:t>
              </w:r>
            </w:hyperlink>
            <w:r>
              <w:rPr>
                <w:sz w:val="20"/>
                <w:color w:val="392c69"/>
              </w:rPr>
              <w:t xml:space="preserve">,</w:t>
            </w:r>
          </w:p>
          <w:p>
            <w:pPr>
              <w:pStyle w:val="0"/>
              <w:jc w:val="center"/>
            </w:pPr>
            <w:r>
              <w:rPr>
                <w:sz w:val="20"/>
                <w:color w:val="392c69"/>
              </w:rPr>
              <w:t xml:space="preserve">от 16.12.2024 </w:t>
            </w:r>
            <w:hyperlink w:history="0" r:id="rId62" w:tooltip="Постановление Правительства МО от 16.12.2024 N 1569-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1569-ПП</w:t>
              </w:r>
            </w:hyperlink>
            <w:r>
              <w:rPr>
                <w:sz w:val="20"/>
                <w:color w:val="392c69"/>
              </w:rPr>
              <w:t xml:space="preserve">, от 25.12.2024 </w:t>
            </w:r>
            <w:hyperlink w:history="0" r:id="rId6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Московской области постановляет:</w:t>
      </w:r>
    </w:p>
    <w:p>
      <w:pPr>
        <w:pStyle w:val="0"/>
        <w:spacing w:before="200" w:line-rule="auto"/>
        <w:ind w:firstLine="540"/>
        <w:jc w:val="both"/>
      </w:pPr>
      <w:r>
        <w:rPr>
          <w:sz w:val="20"/>
        </w:rPr>
        <w:t xml:space="preserve">1. Досрочно прекратить реализацию государственной </w:t>
      </w:r>
      <w:hyperlink w:history="0" r:id="rId64" w:tooltip="Постановление Правительства МО от 25.10.2016 N 788/39 (ред. от 13.12.2022) &quot;Об утверждении государственной программы Московской области &quot;Предпринимательство Подмосковья&quot; на 2017-2024 годы&quot; ------------ Утратил силу или отменен {КонсультантПлюс}">
        <w:r>
          <w:rPr>
            <w:sz w:val="20"/>
            <w:color w:val="0000ff"/>
          </w:rPr>
          <w:t xml:space="preserve">программы</w:t>
        </w:r>
      </w:hyperlink>
      <w:r>
        <w:rPr>
          <w:sz w:val="20"/>
        </w:rPr>
        <w:t xml:space="preserve"> Московской области "Предпринимательство Подмосковья" на 2017-2024 годы, утвержденную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pPr>
        <w:pStyle w:val="0"/>
        <w:spacing w:before="200" w:line-rule="auto"/>
        <w:ind w:firstLine="540"/>
        <w:jc w:val="both"/>
      </w:pPr>
      <w:r>
        <w:rPr>
          <w:sz w:val="20"/>
        </w:rPr>
        <w:t xml:space="preserve">2. Утвердить прилагаемую государственную </w:t>
      </w:r>
      <w:hyperlink w:history="0" w:anchor="P54" w:tooltip="ГОСУДАРСТВЕННАЯ ПРОГРАММА">
        <w:r>
          <w:rPr>
            <w:sz w:val="20"/>
            <w:color w:val="0000ff"/>
          </w:rPr>
          <w:t xml:space="preserve">программу</w:t>
        </w:r>
      </w:hyperlink>
      <w:r>
        <w:rPr>
          <w:sz w:val="20"/>
        </w:rPr>
        <w:t xml:space="preserve"> Московской области "Предпринимательство Подмосковья" на 2023-2027 годы.</w:t>
      </w:r>
    </w:p>
    <w:p>
      <w:pPr>
        <w:pStyle w:val="0"/>
        <w:spacing w:before="200" w:line-rule="auto"/>
        <w:ind w:firstLine="540"/>
        <w:jc w:val="both"/>
      </w:pPr>
      <w:r>
        <w:rPr>
          <w:sz w:val="20"/>
        </w:rPr>
        <w:t xml:space="preserve">3. Признать утратившими силу постановления Правительства Московской области по </w:t>
      </w:r>
      <w:hyperlink w:history="0" w:anchor="P18207" w:tooltip="ПЕРЕЧЕНЬ">
        <w:r>
          <w:rPr>
            <w:sz w:val="20"/>
            <w:color w:val="0000ff"/>
          </w:rPr>
          <w:t xml:space="preserve">перечню</w:t>
        </w:r>
      </w:hyperlink>
      <w:r>
        <w:rPr>
          <w:sz w:val="20"/>
        </w:rPr>
        <w:t xml:space="preserve"> согласно приложению к настоящему постановлению.</w:t>
      </w:r>
    </w:p>
    <w:p>
      <w:pPr>
        <w:pStyle w:val="0"/>
        <w:spacing w:before="200" w:line-rule="auto"/>
        <w:ind w:firstLine="540"/>
        <w:jc w:val="both"/>
      </w:pPr>
      <w:r>
        <w:rPr>
          <w:sz w:val="20"/>
        </w:rPr>
        <w:t xml:space="preserve">4. Министерству информационных и социальных коммуникаций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t>
      </w:r>
      <w:hyperlink w:history="0" r:id="rId65">
        <w:r>
          <w:rPr>
            <w:sz w:val="20"/>
            <w:color w:val="0000ff"/>
          </w:rPr>
          <w:t xml:space="preserve">www.pravo.gov.ru</w:t>
        </w:r>
      </w:hyperlink>
      <w:r>
        <w:rPr>
          <w:sz w:val="20"/>
        </w:rPr>
        <w:t xml:space="preserve">).</w:t>
      </w:r>
    </w:p>
    <w:p>
      <w:pPr>
        <w:pStyle w:val="0"/>
        <w:spacing w:before="200" w:line-rule="auto"/>
        <w:ind w:firstLine="540"/>
        <w:jc w:val="both"/>
      </w:pPr>
      <w:r>
        <w:rPr>
          <w:sz w:val="20"/>
        </w:rPr>
        <w:t xml:space="preserve">5. Настоящее постановление вступает в силу с 1 января 2023 года и применяется к правоотношениям, возникающим в связи с составлением, рассмотрением, утверждением и исполнением бюджета Московской области, начиная с </w:t>
      </w:r>
      <w:hyperlink w:history="0" r:id="rId66" w:tooltip="Закон Московской области от 07.12.2022 N 220/2022-ОЗ (ред. от 13.12.2023) &quot;О бюджете Московской области на 2023 год и на плановый период 2024 и 2025 годов&quot; (принят постановлением Мособлдумы от 24.11.2022 N 9/39-П) (вместе с &quot;Дополнительными нормативами отчислений в бюджеты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 выравнивание бюджетной обеспеченности г {КонсультантПлюс}">
        <w:r>
          <w:rPr>
            <w:sz w:val="20"/>
            <w:color w:val="0000ff"/>
          </w:rPr>
          <w:t xml:space="preserve">бюджета</w:t>
        </w:r>
      </w:hyperlink>
      <w:r>
        <w:rPr>
          <w:sz w:val="20"/>
        </w:rPr>
        <w:t xml:space="preserve"> Московской области на 2023 год и плановый период 2024 и 2025 годов.</w:t>
      </w:r>
    </w:p>
    <w:p>
      <w:pPr>
        <w:pStyle w:val="0"/>
        <w:spacing w:before="200" w:line-rule="auto"/>
        <w:ind w:firstLine="540"/>
        <w:jc w:val="both"/>
      </w:pPr>
      <w:r>
        <w:rPr>
          <w:sz w:val="20"/>
        </w:rPr>
        <w:t xml:space="preserve">6. Контроль за выполнением настоящего постановления возложить на заместителя Председателя Правительства Московской области - министра инвестиций, промышленности и науки Московской области Зиновьеву Е.А.</w:t>
      </w:r>
    </w:p>
    <w:p>
      <w:pPr>
        <w:pStyle w:val="0"/>
        <w:jc w:val="both"/>
      </w:pPr>
      <w:r>
        <w:rPr>
          <w:sz w:val="20"/>
        </w:rPr>
      </w:r>
    </w:p>
    <w:p>
      <w:pPr>
        <w:pStyle w:val="0"/>
        <w:jc w:val="right"/>
      </w:pPr>
      <w:r>
        <w:rPr>
          <w:sz w:val="20"/>
        </w:rPr>
        <w:t xml:space="preserve">Первый Вице-губернатор Московской области -</w:t>
      </w:r>
    </w:p>
    <w:p>
      <w:pPr>
        <w:pStyle w:val="0"/>
        <w:jc w:val="right"/>
      </w:pPr>
      <w:r>
        <w:rPr>
          <w:sz w:val="20"/>
        </w:rPr>
        <w:t xml:space="preserve">Председатель Правительства Московской области</w:t>
      </w:r>
    </w:p>
    <w:p>
      <w:pPr>
        <w:pStyle w:val="0"/>
        <w:jc w:val="right"/>
      </w:pPr>
      <w:r>
        <w:rPr>
          <w:sz w:val="20"/>
        </w:rPr>
        <w:t xml:space="preserve">И.Н. Габдрахманов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Московской области</w:t>
      </w:r>
    </w:p>
    <w:p>
      <w:pPr>
        <w:pStyle w:val="0"/>
        <w:jc w:val="right"/>
      </w:pPr>
      <w:r>
        <w:rPr>
          <w:sz w:val="20"/>
        </w:rPr>
        <w:t xml:space="preserve">от 4 октября 2022 г. N 1074/35</w:t>
      </w:r>
    </w:p>
    <w:p>
      <w:pPr>
        <w:pStyle w:val="0"/>
        <w:jc w:val="both"/>
      </w:pPr>
      <w:r>
        <w:rPr>
          <w:sz w:val="20"/>
        </w:rPr>
      </w:r>
    </w:p>
    <w:bookmarkStart w:id="54" w:name="P54"/>
    <w:bookmarkEnd w:id="54"/>
    <w:p>
      <w:pPr>
        <w:pStyle w:val="2"/>
        <w:jc w:val="center"/>
      </w:pPr>
      <w:r>
        <w:rPr>
          <w:sz w:val="20"/>
        </w:rPr>
        <w:t xml:space="preserve">ГОСУДАРСТВЕННАЯ ПРОГРАММА</w:t>
      </w:r>
    </w:p>
    <w:p>
      <w:pPr>
        <w:pStyle w:val="2"/>
        <w:jc w:val="center"/>
      </w:pPr>
      <w:r>
        <w:rPr>
          <w:sz w:val="20"/>
        </w:rPr>
        <w:t xml:space="preserve">МОСКОВСКОЙ ОБЛАСТИ "ПРЕДПРИНИМАТЕЛЬСТВО ПОДМОСКОВЬЯ"</w:t>
      </w:r>
    </w:p>
    <w:p>
      <w:pPr>
        <w:pStyle w:val="2"/>
        <w:jc w:val="center"/>
      </w:pPr>
      <w:r>
        <w:rPr>
          <w:sz w:val="20"/>
        </w:rPr>
        <w:t xml:space="preserve">НА 2023-2027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 от 13.03.2023 </w:t>
            </w:r>
            <w:hyperlink w:history="0" r:id="rId67" w:tooltip="Постановление Правительства МО от 13.03.2023 N 10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101-ПП</w:t>
              </w:r>
            </w:hyperlink>
            <w:r>
              <w:rPr>
                <w:sz w:val="20"/>
                <w:color w:val="392c69"/>
              </w:rPr>
              <w:t xml:space="preserve">,</w:t>
            </w:r>
          </w:p>
          <w:p>
            <w:pPr>
              <w:pStyle w:val="0"/>
              <w:jc w:val="center"/>
            </w:pPr>
            <w:r>
              <w:rPr>
                <w:sz w:val="20"/>
                <w:color w:val="392c69"/>
              </w:rPr>
              <w:t xml:space="preserve">от 22.05.2023 </w:t>
            </w:r>
            <w:hyperlink w:history="0" r:id="rId68"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315-ПП</w:t>
              </w:r>
            </w:hyperlink>
            <w:r>
              <w:rPr>
                <w:sz w:val="20"/>
                <w:color w:val="392c69"/>
              </w:rPr>
              <w:t xml:space="preserve">, от 25.05.2023 </w:t>
            </w:r>
            <w:hyperlink w:history="0" r:id="rId69" w:tooltip="Постановление Правительства МО от 25.05.2023 N 328-ПП &quot;О распределении бюджетных ассигнований бюджета Московской области,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 в сфере предпринимательства&quot; {КонсультантПлюс}">
              <w:r>
                <w:rPr>
                  <w:sz w:val="20"/>
                  <w:color w:val="0000ff"/>
                </w:rPr>
                <w:t xml:space="preserve">N 328-ПП</w:t>
              </w:r>
            </w:hyperlink>
            <w:r>
              <w:rPr>
                <w:sz w:val="20"/>
                <w:color w:val="392c69"/>
              </w:rPr>
              <w:t xml:space="preserve">, от 21.06.2023 </w:t>
            </w:r>
            <w:hyperlink w:history="0" r:id="rId70" w:tooltip="Постановление Правительства МО от 21.06.2023 N 41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410-ПП</w:t>
              </w:r>
            </w:hyperlink>
            <w:r>
              <w:rPr>
                <w:sz w:val="20"/>
                <w:color w:val="392c69"/>
              </w:rPr>
              <w:t xml:space="preserve">,</w:t>
            </w:r>
          </w:p>
          <w:p>
            <w:pPr>
              <w:pStyle w:val="0"/>
              <w:jc w:val="center"/>
            </w:pPr>
            <w:r>
              <w:rPr>
                <w:sz w:val="20"/>
                <w:color w:val="392c69"/>
              </w:rPr>
              <w:t xml:space="preserve">от 23.06.2023 </w:t>
            </w:r>
            <w:hyperlink w:history="0" r:id="rId71" w:tooltip="Постановление Правительства МО от 23.06.2023 N 43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430-ПП</w:t>
              </w:r>
            </w:hyperlink>
            <w:r>
              <w:rPr>
                <w:sz w:val="20"/>
                <w:color w:val="392c69"/>
              </w:rPr>
              <w:t xml:space="preserve">, от 07.07.2023 </w:t>
            </w:r>
            <w:hyperlink w:history="0" r:id="rId72" w:tooltip="Постановление Правительства МО от 07.07.2023 N 48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485-ПП</w:t>
              </w:r>
            </w:hyperlink>
            <w:r>
              <w:rPr>
                <w:sz w:val="20"/>
                <w:color w:val="392c69"/>
              </w:rPr>
              <w:t xml:space="preserve">, от 01.08.2023 </w:t>
            </w:r>
            <w:hyperlink w:history="0" r:id="rId73" w:tooltip="Постановление Правительства МО от 01.08.2023 N 58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585-ПП</w:t>
              </w:r>
            </w:hyperlink>
            <w:r>
              <w:rPr>
                <w:sz w:val="20"/>
                <w:color w:val="392c69"/>
              </w:rPr>
              <w:t xml:space="preserve">,</w:t>
            </w:r>
          </w:p>
          <w:p>
            <w:pPr>
              <w:pStyle w:val="0"/>
              <w:jc w:val="center"/>
            </w:pPr>
            <w:r>
              <w:rPr>
                <w:sz w:val="20"/>
                <w:color w:val="392c69"/>
              </w:rPr>
              <w:t xml:space="preserve">от 11.08.2023 </w:t>
            </w:r>
            <w:hyperlink w:history="0" r:id="rId74" w:tooltip="Постановление Правительства МО от 11.08.2023 N 63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631-ПП</w:t>
              </w:r>
            </w:hyperlink>
            <w:r>
              <w:rPr>
                <w:sz w:val="20"/>
                <w:color w:val="392c69"/>
              </w:rPr>
              <w:t xml:space="preserve">, от 07.09.2023 </w:t>
            </w:r>
            <w:hyperlink w:history="0" r:id="rId75" w:tooltip="Постановление Правительства МО от 07.09.2023 N 7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714-ПП</w:t>
              </w:r>
            </w:hyperlink>
            <w:r>
              <w:rPr>
                <w:sz w:val="20"/>
                <w:color w:val="392c69"/>
              </w:rPr>
              <w:t xml:space="preserve">, от 11.09.2023 </w:t>
            </w:r>
            <w:hyperlink w:history="0" r:id="rId76" w:tooltip="Постановление Правительства МО от 11.09.2023 N 72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726-ПП</w:t>
              </w:r>
            </w:hyperlink>
            <w:r>
              <w:rPr>
                <w:sz w:val="20"/>
                <w:color w:val="392c69"/>
              </w:rPr>
              <w:t xml:space="preserve">,</w:t>
            </w:r>
          </w:p>
          <w:p>
            <w:pPr>
              <w:pStyle w:val="0"/>
              <w:jc w:val="center"/>
            </w:pPr>
            <w:r>
              <w:rPr>
                <w:sz w:val="20"/>
                <w:color w:val="392c69"/>
              </w:rPr>
              <w:t xml:space="preserve">от 26.09.2023 </w:t>
            </w:r>
            <w:hyperlink w:history="0" r:id="rId77" w:tooltip="Постановление Правительства МО от 26.09.2023 N 776-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776-ПП</w:t>
              </w:r>
            </w:hyperlink>
            <w:r>
              <w:rPr>
                <w:sz w:val="20"/>
                <w:color w:val="392c69"/>
              </w:rPr>
              <w:t xml:space="preserve">, от 09.10.2023 </w:t>
            </w:r>
            <w:hyperlink w:history="0" r:id="rId78" w:tooltip="Постановление Правительства МО от 09.10.2023 N 8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833-ПП</w:t>
              </w:r>
            </w:hyperlink>
            <w:r>
              <w:rPr>
                <w:sz w:val="20"/>
                <w:color w:val="392c69"/>
              </w:rPr>
              <w:t xml:space="preserve">, от 31.10.2023 </w:t>
            </w:r>
            <w:hyperlink w:history="0" r:id="rId79"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1003-ПП</w:t>
              </w:r>
            </w:hyperlink>
            <w:r>
              <w:rPr>
                <w:sz w:val="20"/>
                <w:color w:val="392c69"/>
              </w:rPr>
              <w:t xml:space="preserve">,</w:t>
            </w:r>
          </w:p>
          <w:p>
            <w:pPr>
              <w:pStyle w:val="0"/>
              <w:jc w:val="center"/>
            </w:pPr>
            <w:r>
              <w:rPr>
                <w:sz w:val="20"/>
                <w:color w:val="392c69"/>
              </w:rPr>
              <w:t xml:space="preserve">от 31.10.2023 </w:t>
            </w:r>
            <w:hyperlink w:history="0" r:id="rId80" w:tooltip="Постановление Правительства МО от 31.10.2023 N 101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1010-ПП</w:t>
              </w:r>
            </w:hyperlink>
            <w:r>
              <w:rPr>
                <w:sz w:val="20"/>
                <w:color w:val="392c69"/>
              </w:rPr>
              <w:t xml:space="preserve">, от 03.11.2023 </w:t>
            </w:r>
            <w:hyperlink w:history="0" r:id="rId81" w:tooltip="Постановление Правительства МО от 03.11.2023 N 1017-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1017-ПП</w:t>
              </w:r>
            </w:hyperlink>
            <w:r>
              <w:rPr>
                <w:sz w:val="20"/>
                <w:color w:val="392c69"/>
              </w:rPr>
              <w:t xml:space="preserve">, от 03.11.2023 </w:t>
            </w:r>
            <w:hyperlink w:history="0" r:id="rId82" w:tooltip="Постановление Правительства МО от 03.11.2023 N 101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1018-ПП</w:t>
              </w:r>
            </w:hyperlink>
            <w:r>
              <w:rPr>
                <w:sz w:val="20"/>
                <w:color w:val="392c69"/>
              </w:rPr>
              <w:t xml:space="preserve">,</w:t>
            </w:r>
          </w:p>
          <w:p>
            <w:pPr>
              <w:pStyle w:val="0"/>
              <w:jc w:val="center"/>
            </w:pPr>
            <w:r>
              <w:rPr>
                <w:sz w:val="20"/>
                <w:color w:val="392c69"/>
              </w:rPr>
              <w:t xml:space="preserve">от 10.11.2023 </w:t>
            </w:r>
            <w:hyperlink w:history="0" r:id="rId83" w:tooltip="Постановление Правительства МО от 10.11.2023 N 105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1058-ПП</w:t>
              </w:r>
            </w:hyperlink>
            <w:r>
              <w:rPr>
                <w:sz w:val="20"/>
                <w:color w:val="392c69"/>
              </w:rPr>
              <w:t xml:space="preserve">, от 13.11.2023 </w:t>
            </w:r>
            <w:hyperlink w:history="0" r:id="rId84" w:tooltip="Постановление Правительства МО от 13.11.2023 N 108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1082-ПП</w:t>
              </w:r>
            </w:hyperlink>
            <w:r>
              <w:rPr>
                <w:sz w:val="20"/>
                <w:color w:val="392c69"/>
              </w:rPr>
              <w:t xml:space="preserve">, от 15.12.2023 </w:t>
            </w:r>
            <w:hyperlink w:history="0" r:id="rId85" w:tooltip="Постановление Правительства МО от 15.12.2023 N 122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1227-ПП</w:t>
              </w:r>
            </w:hyperlink>
            <w:r>
              <w:rPr>
                <w:sz w:val="20"/>
                <w:color w:val="392c69"/>
              </w:rPr>
              <w:t xml:space="preserve">,</w:t>
            </w:r>
          </w:p>
          <w:p>
            <w:pPr>
              <w:pStyle w:val="0"/>
              <w:jc w:val="center"/>
            </w:pPr>
            <w:r>
              <w:rPr>
                <w:sz w:val="20"/>
                <w:color w:val="392c69"/>
              </w:rPr>
              <w:t xml:space="preserve">от 15.12.2023 </w:t>
            </w:r>
            <w:hyperlink w:history="0" r:id="rId86" w:tooltip="Постановление Правительства МО от 15.12.2023 N 1228-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1228-ПП</w:t>
              </w:r>
            </w:hyperlink>
            <w:r>
              <w:rPr>
                <w:sz w:val="20"/>
                <w:color w:val="392c69"/>
              </w:rPr>
              <w:t xml:space="preserve">, от 26.12.2023 </w:t>
            </w:r>
            <w:hyperlink w:history="0" r:id="rId87" w:tooltip="Постановление Правительства МО от 26.12.2023 N 130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1301-ПП</w:t>
              </w:r>
            </w:hyperlink>
            <w:r>
              <w:rPr>
                <w:sz w:val="20"/>
                <w:color w:val="392c69"/>
              </w:rPr>
              <w:t xml:space="preserve">, от 15.01.2024 </w:t>
            </w:r>
            <w:hyperlink w:history="0" r:id="rId88"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16-ПП</w:t>
              </w:r>
            </w:hyperlink>
            <w:r>
              <w:rPr>
                <w:sz w:val="20"/>
                <w:color w:val="392c69"/>
              </w:rPr>
              <w:t xml:space="preserve">,</w:t>
            </w:r>
          </w:p>
          <w:p>
            <w:pPr>
              <w:pStyle w:val="0"/>
              <w:jc w:val="center"/>
            </w:pPr>
            <w:r>
              <w:rPr>
                <w:sz w:val="20"/>
                <w:color w:val="392c69"/>
              </w:rPr>
              <w:t xml:space="preserve">от 05.02.2024 </w:t>
            </w:r>
            <w:hyperlink w:history="0" r:id="rId89" w:tooltip="Постановление Правительства МО от 05.02.2024 N 8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81-ПП</w:t>
              </w:r>
            </w:hyperlink>
            <w:r>
              <w:rPr>
                <w:sz w:val="20"/>
                <w:color w:val="392c69"/>
              </w:rPr>
              <w:t xml:space="preserve">, от 12.02.2024 </w:t>
            </w:r>
            <w:hyperlink w:history="0" r:id="rId90" w:tooltip="Постановление Правительства МО от 12.02.2024 N 10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104-ПП</w:t>
              </w:r>
            </w:hyperlink>
            <w:r>
              <w:rPr>
                <w:sz w:val="20"/>
                <w:color w:val="392c69"/>
              </w:rPr>
              <w:t xml:space="preserve">, от 25.03.2024 </w:t>
            </w:r>
            <w:hyperlink w:history="0" r:id="rId91" w:tooltip="Постановление Правительства МО от 25.03.2024 N 26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264-ПП</w:t>
              </w:r>
            </w:hyperlink>
            <w:r>
              <w:rPr>
                <w:sz w:val="20"/>
                <w:color w:val="392c69"/>
              </w:rPr>
              <w:t xml:space="preserve">,</w:t>
            </w:r>
          </w:p>
          <w:p>
            <w:pPr>
              <w:pStyle w:val="0"/>
              <w:jc w:val="center"/>
            </w:pPr>
            <w:r>
              <w:rPr>
                <w:sz w:val="20"/>
                <w:color w:val="392c69"/>
              </w:rPr>
              <w:t xml:space="preserve">от 28.03.2024 </w:t>
            </w:r>
            <w:hyperlink w:history="0" r:id="rId92" w:tooltip="Постановление Правительства МО от 28.03.2024 N 299-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299-ПП</w:t>
              </w:r>
            </w:hyperlink>
            <w:r>
              <w:rPr>
                <w:sz w:val="20"/>
                <w:color w:val="392c69"/>
              </w:rPr>
              <w:t xml:space="preserve">, от 28.03.2024 </w:t>
            </w:r>
            <w:hyperlink w:history="0" r:id="rId93" w:tooltip="Постановление Правительства МО от 28.03.2024 N 30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300-ПП</w:t>
              </w:r>
            </w:hyperlink>
            <w:r>
              <w:rPr>
                <w:sz w:val="20"/>
                <w:color w:val="392c69"/>
              </w:rPr>
              <w:t xml:space="preserve">, от 07.05.2024 </w:t>
            </w:r>
            <w:hyperlink w:history="0" r:id="rId94" w:tooltip="Постановление Правительства МО от 07.05.2024 N 43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437-ПП</w:t>
              </w:r>
            </w:hyperlink>
            <w:r>
              <w:rPr>
                <w:sz w:val="20"/>
                <w:color w:val="392c69"/>
              </w:rPr>
              <w:t xml:space="preserve">,</w:t>
            </w:r>
          </w:p>
          <w:p>
            <w:pPr>
              <w:pStyle w:val="0"/>
              <w:jc w:val="center"/>
            </w:pPr>
            <w:r>
              <w:rPr>
                <w:sz w:val="20"/>
                <w:color w:val="392c69"/>
              </w:rPr>
              <w:t xml:space="preserve">от 16.05.2024 </w:t>
            </w:r>
            <w:hyperlink w:history="0" r:id="rId95" w:tooltip="Постановление Правительства МО от 16.05.2024 N 454-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454-ПП</w:t>
              </w:r>
            </w:hyperlink>
            <w:r>
              <w:rPr>
                <w:sz w:val="20"/>
                <w:color w:val="392c69"/>
              </w:rPr>
              <w:t xml:space="preserve">, от 23.05.2024 </w:t>
            </w:r>
            <w:hyperlink w:history="0" r:id="rId96" w:tooltip="Постановление Правительства МО от 23.05.2024 N 485-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485-ПП</w:t>
              </w:r>
            </w:hyperlink>
            <w:r>
              <w:rPr>
                <w:sz w:val="20"/>
                <w:color w:val="392c69"/>
              </w:rPr>
              <w:t xml:space="preserve">, от 27.05.2024 </w:t>
            </w:r>
            <w:hyperlink w:history="0" r:id="rId97" w:tooltip="Постановление Правительства МО от 27.05.2024 N 49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496-ПП</w:t>
              </w:r>
            </w:hyperlink>
            <w:r>
              <w:rPr>
                <w:sz w:val="20"/>
                <w:color w:val="392c69"/>
              </w:rPr>
              <w:t xml:space="preserve">,</w:t>
            </w:r>
          </w:p>
          <w:p>
            <w:pPr>
              <w:pStyle w:val="0"/>
              <w:jc w:val="center"/>
            </w:pPr>
            <w:r>
              <w:rPr>
                <w:sz w:val="20"/>
                <w:color w:val="392c69"/>
              </w:rPr>
              <w:t xml:space="preserve">от 21.06.2024 </w:t>
            </w:r>
            <w:hyperlink w:history="0" r:id="rId98" w:tooltip="Постановление Правительства МО от 21.06.2024 N 62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628-ПП</w:t>
              </w:r>
            </w:hyperlink>
            <w:r>
              <w:rPr>
                <w:sz w:val="20"/>
                <w:color w:val="392c69"/>
              </w:rPr>
              <w:t xml:space="preserve">, от 27.06.2024 </w:t>
            </w:r>
            <w:hyperlink w:history="0" r:id="rId99" w:tooltip="Постановление Правительства МО от 27.06.2024 N 648-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648-ПП</w:t>
              </w:r>
            </w:hyperlink>
            <w:r>
              <w:rPr>
                <w:sz w:val="20"/>
                <w:color w:val="392c69"/>
              </w:rPr>
              <w:t xml:space="preserve">, от 28.06.2024 </w:t>
            </w:r>
            <w:hyperlink w:history="0" r:id="rId100" w:tooltip="Постановление Правительства МО от 28.06.2024 N 66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660-ПП</w:t>
              </w:r>
            </w:hyperlink>
            <w:r>
              <w:rPr>
                <w:sz w:val="20"/>
                <w:color w:val="392c69"/>
              </w:rPr>
              <w:t xml:space="preserve">,</w:t>
            </w:r>
          </w:p>
          <w:p>
            <w:pPr>
              <w:pStyle w:val="0"/>
              <w:jc w:val="center"/>
            </w:pPr>
            <w:r>
              <w:rPr>
                <w:sz w:val="20"/>
                <w:color w:val="392c69"/>
              </w:rPr>
              <w:t xml:space="preserve">от 08.07.2024 </w:t>
            </w:r>
            <w:hyperlink w:history="0" r:id="rId101" w:tooltip="Постановление Правительства МО от 08.07.2024 N 69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690-ПП</w:t>
              </w:r>
            </w:hyperlink>
            <w:r>
              <w:rPr>
                <w:sz w:val="20"/>
                <w:color w:val="392c69"/>
              </w:rPr>
              <w:t xml:space="preserve">, от 18.07.2024 </w:t>
            </w:r>
            <w:hyperlink w:history="0" r:id="rId102" w:tooltip="Постановление Правительства МО от 18.07.2024 N 7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733-ПП</w:t>
              </w:r>
            </w:hyperlink>
            <w:r>
              <w:rPr>
                <w:sz w:val="20"/>
                <w:color w:val="392c69"/>
              </w:rPr>
              <w:t xml:space="preserve">, от 26.07.2024 </w:t>
            </w:r>
            <w:hyperlink w:history="0" r:id="rId103" w:tooltip="Постановление Правительства МО от 26.07.2024 N 76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767-ПП</w:t>
              </w:r>
            </w:hyperlink>
            <w:r>
              <w:rPr>
                <w:sz w:val="20"/>
                <w:color w:val="392c69"/>
              </w:rPr>
              <w:t xml:space="preserve">,</w:t>
            </w:r>
          </w:p>
          <w:p>
            <w:pPr>
              <w:pStyle w:val="0"/>
              <w:jc w:val="center"/>
            </w:pPr>
            <w:r>
              <w:rPr>
                <w:sz w:val="20"/>
                <w:color w:val="392c69"/>
              </w:rPr>
              <w:t xml:space="preserve">от 31.07.2024 </w:t>
            </w:r>
            <w:hyperlink w:history="0" r:id="rId104" w:tooltip="Постановление Правительства МО от 31.07.2024 N 78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782-ПП</w:t>
              </w:r>
            </w:hyperlink>
            <w:r>
              <w:rPr>
                <w:sz w:val="20"/>
                <w:color w:val="392c69"/>
              </w:rPr>
              <w:t xml:space="preserve">, от 06.08.2024 </w:t>
            </w:r>
            <w:hyperlink w:history="0" r:id="rId105" w:tooltip="Постановление Правительства МО от 06.08.2024 N 8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814-ПП</w:t>
              </w:r>
            </w:hyperlink>
            <w:r>
              <w:rPr>
                <w:sz w:val="20"/>
                <w:color w:val="392c69"/>
              </w:rPr>
              <w:t xml:space="preserve">, от 12.08.2024 </w:t>
            </w:r>
            <w:hyperlink w:history="0" r:id="rId106" w:tooltip="Постановление Правительства МО от 12.08.2024 N 84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845-ПП</w:t>
              </w:r>
            </w:hyperlink>
            <w:r>
              <w:rPr>
                <w:sz w:val="20"/>
                <w:color w:val="392c69"/>
              </w:rPr>
              <w:t xml:space="preserve">,</w:t>
            </w:r>
          </w:p>
          <w:p>
            <w:pPr>
              <w:pStyle w:val="0"/>
              <w:jc w:val="center"/>
            </w:pPr>
            <w:r>
              <w:rPr>
                <w:sz w:val="20"/>
                <w:color w:val="392c69"/>
              </w:rPr>
              <w:t xml:space="preserve">от 16.08.2024 </w:t>
            </w:r>
            <w:hyperlink w:history="0" r:id="rId107" w:tooltip="Постановление Правительства МО от 16.08.2024 N 87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872-ПП</w:t>
              </w:r>
            </w:hyperlink>
            <w:r>
              <w:rPr>
                <w:sz w:val="20"/>
                <w:color w:val="392c69"/>
              </w:rPr>
              <w:t xml:space="preserve">, от 19.08.2024 </w:t>
            </w:r>
            <w:hyperlink w:history="0" r:id="rId108" w:tooltip="Постановление Правительства МО от 19.08.2024 N 89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890-ПП</w:t>
              </w:r>
            </w:hyperlink>
            <w:r>
              <w:rPr>
                <w:sz w:val="20"/>
                <w:color w:val="392c69"/>
              </w:rPr>
              <w:t xml:space="preserve">, от 30.08.2024 </w:t>
            </w:r>
            <w:hyperlink w:history="0" r:id="rId109" w:tooltip="Постановление Правительства МО от 30.08.2024 N 936-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936-ПП</w:t>
              </w:r>
            </w:hyperlink>
            <w:r>
              <w:rPr>
                <w:sz w:val="20"/>
                <w:color w:val="392c69"/>
              </w:rPr>
              <w:t xml:space="preserve">,</w:t>
            </w:r>
          </w:p>
          <w:p>
            <w:pPr>
              <w:pStyle w:val="0"/>
              <w:jc w:val="center"/>
            </w:pPr>
            <w:r>
              <w:rPr>
                <w:sz w:val="20"/>
                <w:color w:val="392c69"/>
              </w:rPr>
              <w:t xml:space="preserve">от 23.09.2024 </w:t>
            </w:r>
            <w:hyperlink w:history="0" r:id="rId110"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1033-ПП</w:t>
              </w:r>
            </w:hyperlink>
            <w:r>
              <w:rPr>
                <w:sz w:val="20"/>
                <w:color w:val="392c69"/>
              </w:rPr>
              <w:t xml:space="preserve">, от 23.09.2024 </w:t>
            </w:r>
            <w:hyperlink w:history="0" r:id="rId111" w:tooltip="Постановление Правительства МО от 23.09.2024 N 103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1034-ПП</w:t>
              </w:r>
            </w:hyperlink>
            <w:r>
              <w:rPr>
                <w:sz w:val="20"/>
                <w:color w:val="392c69"/>
              </w:rPr>
              <w:t xml:space="preserve">, от 08.10.2024 </w:t>
            </w:r>
            <w:hyperlink w:history="0" r:id="rId112" w:tooltip="Постановление Правительства МО от 08.10.2024 N 119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1193-ПП</w:t>
              </w:r>
            </w:hyperlink>
            <w:r>
              <w:rPr>
                <w:sz w:val="20"/>
                <w:color w:val="392c69"/>
              </w:rPr>
              <w:t xml:space="preserve">,</w:t>
            </w:r>
          </w:p>
          <w:p>
            <w:pPr>
              <w:pStyle w:val="0"/>
              <w:jc w:val="center"/>
            </w:pPr>
            <w:r>
              <w:rPr>
                <w:sz w:val="20"/>
                <w:color w:val="392c69"/>
              </w:rPr>
              <w:t xml:space="preserve">от 08.10.2024 </w:t>
            </w:r>
            <w:hyperlink w:history="0" r:id="rId113"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от 22.10.2024 </w:t>
            </w:r>
            <w:hyperlink w:history="0" r:id="rId114" w:tooltip="Постановление Правительства МО от 22.10.2024 N 126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1265-ПП</w:t>
              </w:r>
            </w:hyperlink>
            <w:r>
              <w:rPr>
                <w:sz w:val="20"/>
                <w:color w:val="392c69"/>
              </w:rPr>
              <w:t xml:space="preserve">, от 01.11.2024 </w:t>
            </w:r>
            <w:hyperlink w:history="0" r:id="rId115" w:tooltip="Постановление Правительства МО от 01.11.2024 N 1323-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1323-ПП</w:t>
              </w:r>
            </w:hyperlink>
            <w:r>
              <w:rPr>
                <w:sz w:val="20"/>
                <w:color w:val="392c69"/>
              </w:rPr>
              <w:t xml:space="preserve">,</w:t>
            </w:r>
          </w:p>
          <w:p>
            <w:pPr>
              <w:pStyle w:val="0"/>
              <w:jc w:val="center"/>
            </w:pPr>
            <w:r>
              <w:rPr>
                <w:sz w:val="20"/>
                <w:color w:val="392c69"/>
              </w:rPr>
              <w:t xml:space="preserve">от 11.11.2024 </w:t>
            </w:r>
            <w:hyperlink w:history="0" r:id="rId116" w:tooltip="Постановление Правительства МО от 11.11.2024 N 135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1356-ПП</w:t>
              </w:r>
            </w:hyperlink>
            <w:r>
              <w:rPr>
                <w:sz w:val="20"/>
                <w:color w:val="392c69"/>
              </w:rPr>
              <w:t xml:space="preserve">, от 19.11.2024 </w:t>
            </w:r>
            <w:hyperlink w:history="0" r:id="rId117"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1384-ПП</w:t>
              </w:r>
            </w:hyperlink>
            <w:r>
              <w:rPr>
                <w:sz w:val="20"/>
                <w:color w:val="392c69"/>
              </w:rPr>
              <w:t xml:space="preserve">, от 21.11.2024 </w:t>
            </w:r>
            <w:hyperlink w:history="0" r:id="rId118" w:tooltip="Постановление Правительства МО от 21.11.2024 N 140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1406-ПП</w:t>
              </w:r>
            </w:hyperlink>
            <w:r>
              <w:rPr>
                <w:sz w:val="20"/>
                <w:color w:val="392c69"/>
              </w:rPr>
              <w:t xml:space="preserve">,</w:t>
            </w:r>
          </w:p>
          <w:p>
            <w:pPr>
              <w:pStyle w:val="0"/>
              <w:jc w:val="center"/>
            </w:pPr>
            <w:r>
              <w:rPr>
                <w:sz w:val="20"/>
                <w:color w:val="392c69"/>
              </w:rPr>
              <w:t xml:space="preserve">от 21.11.2024 </w:t>
            </w:r>
            <w:hyperlink w:history="0" r:id="rId119" w:tooltip="Постановление Правительства МО от 21.11.2024 N 140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1407-ПП</w:t>
              </w:r>
            </w:hyperlink>
            <w:r>
              <w:rPr>
                <w:sz w:val="20"/>
                <w:color w:val="392c69"/>
              </w:rPr>
              <w:t xml:space="preserve">, от 06.12.2024 </w:t>
            </w:r>
            <w:hyperlink w:history="0" r:id="rId120" w:tooltip="Постановление Правительства МО от 06.12.2024 N 149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1492-ПП</w:t>
              </w:r>
            </w:hyperlink>
            <w:r>
              <w:rPr>
                <w:sz w:val="20"/>
                <w:color w:val="392c69"/>
              </w:rPr>
              <w:t xml:space="preserve">, от 09.12.2024 </w:t>
            </w:r>
            <w:hyperlink w:history="0" r:id="rId121" w:tooltip="Постановление Правительства МО от 09.12.2024 N 1514-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1514-ПП</w:t>
              </w:r>
            </w:hyperlink>
            <w:r>
              <w:rPr>
                <w:sz w:val="20"/>
                <w:color w:val="392c69"/>
              </w:rPr>
              <w:t xml:space="preserve">,</w:t>
            </w:r>
          </w:p>
          <w:p>
            <w:pPr>
              <w:pStyle w:val="0"/>
              <w:jc w:val="center"/>
            </w:pPr>
            <w:r>
              <w:rPr>
                <w:sz w:val="20"/>
                <w:color w:val="392c69"/>
              </w:rPr>
              <w:t xml:space="preserve">от 16.12.2024 </w:t>
            </w:r>
            <w:hyperlink w:history="0" r:id="rId122" w:tooltip="Постановление Правительства МО от 16.12.2024 N 1569-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1569-ПП</w:t>
              </w:r>
            </w:hyperlink>
            <w:r>
              <w:rPr>
                <w:sz w:val="20"/>
                <w:color w:val="392c69"/>
              </w:rPr>
              <w:t xml:space="preserve">, от 25.12.2024 </w:t>
            </w:r>
            <w:hyperlink w:history="0" r:id="rId12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ПЕРЕЧЕНЬ</w:t>
      </w:r>
    </w:p>
    <w:p>
      <w:pPr>
        <w:pStyle w:val="2"/>
        <w:jc w:val="center"/>
      </w:pPr>
      <w:r>
        <w:rPr>
          <w:sz w:val="20"/>
        </w:rPr>
        <w:t xml:space="preserve">ОБОЗНАЧЕНИЙ И СОКРАЩЕНИЙ, ИСПОЛЬЗУЕМЫХ В ГОСУДАРСТВЕННОЙ</w:t>
      </w:r>
    </w:p>
    <w:p>
      <w:pPr>
        <w:pStyle w:val="2"/>
        <w:jc w:val="center"/>
      </w:pPr>
      <w:r>
        <w:rPr>
          <w:sz w:val="20"/>
        </w:rPr>
        <w:t xml:space="preserve">ПРОГРАММЕ МОСКОВСКОЙ ОБЛАСТИ "ПРЕДПРИНИМАТЕЛЬСТВО</w:t>
      </w:r>
    </w:p>
    <w:p>
      <w:pPr>
        <w:pStyle w:val="2"/>
        <w:jc w:val="center"/>
      </w:pPr>
      <w:r>
        <w:rPr>
          <w:sz w:val="20"/>
        </w:rPr>
        <w:t xml:space="preserve">ПОДМОСКОВЬЯ"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Обозначение</w:t>
            </w:r>
          </w:p>
        </w:tc>
        <w:tc>
          <w:tcPr>
            <w:tcW w:w="6236" w:type="dxa"/>
          </w:tcPr>
          <w:p>
            <w:pPr>
              <w:pStyle w:val="0"/>
              <w:jc w:val="center"/>
            </w:pPr>
            <w:r>
              <w:rPr>
                <w:sz w:val="20"/>
              </w:rPr>
              <w:t xml:space="preserve">Расшифровка</w:t>
            </w:r>
          </w:p>
        </w:tc>
      </w:tr>
      <w:tr>
        <w:tc>
          <w:tcPr>
            <w:tcW w:w="2835" w:type="dxa"/>
          </w:tcPr>
          <w:p>
            <w:pPr>
              <w:pStyle w:val="0"/>
              <w:jc w:val="center"/>
            </w:pPr>
            <w:r>
              <w:rPr>
                <w:sz w:val="20"/>
              </w:rPr>
              <w:t xml:space="preserve">1</w:t>
            </w:r>
          </w:p>
        </w:tc>
        <w:tc>
          <w:tcPr>
            <w:tcW w:w="6236" w:type="dxa"/>
          </w:tcPr>
          <w:p>
            <w:pPr>
              <w:pStyle w:val="0"/>
              <w:jc w:val="center"/>
            </w:pPr>
            <w:r>
              <w:rPr>
                <w:sz w:val="20"/>
              </w:rPr>
              <w:t xml:space="preserve">2</w:t>
            </w:r>
          </w:p>
        </w:tc>
      </w:tr>
      <w:tr>
        <w:tc>
          <w:tcPr>
            <w:tcW w:w="2835" w:type="dxa"/>
          </w:tcPr>
          <w:p>
            <w:pPr>
              <w:pStyle w:val="0"/>
            </w:pPr>
            <w:r>
              <w:rPr>
                <w:sz w:val="20"/>
              </w:rPr>
              <w:t xml:space="preserve">Минфин России</w:t>
            </w:r>
          </w:p>
        </w:tc>
        <w:tc>
          <w:tcPr>
            <w:tcW w:w="6236" w:type="dxa"/>
          </w:tcPr>
          <w:p>
            <w:pPr>
              <w:pStyle w:val="0"/>
            </w:pPr>
            <w:r>
              <w:rPr>
                <w:sz w:val="20"/>
              </w:rPr>
              <w:t xml:space="preserve">Министерство финансов Российской Федерации</w:t>
            </w:r>
          </w:p>
        </w:tc>
      </w:tr>
      <w:tr>
        <w:tc>
          <w:tcPr>
            <w:tcW w:w="2835" w:type="dxa"/>
          </w:tcPr>
          <w:p>
            <w:pPr>
              <w:pStyle w:val="0"/>
            </w:pPr>
            <w:r>
              <w:rPr>
                <w:sz w:val="20"/>
              </w:rPr>
              <w:t xml:space="preserve">Минобрнауки России</w:t>
            </w:r>
          </w:p>
        </w:tc>
        <w:tc>
          <w:tcPr>
            <w:tcW w:w="6236" w:type="dxa"/>
          </w:tcPr>
          <w:p>
            <w:pPr>
              <w:pStyle w:val="0"/>
            </w:pPr>
            <w:r>
              <w:rPr>
                <w:sz w:val="20"/>
              </w:rPr>
              <w:t xml:space="preserve">Министерство науки и высшего образования Российской Федерации</w:t>
            </w:r>
          </w:p>
        </w:tc>
      </w:tr>
      <w:tr>
        <w:tc>
          <w:tcPr>
            <w:tcW w:w="2835" w:type="dxa"/>
          </w:tcPr>
          <w:p>
            <w:pPr>
              <w:pStyle w:val="0"/>
            </w:pPr>
            <w:r>
              <w:rPr>
                <w:sz w:val="20"/>
              </w:rPr>
              <w:t xml:space="preserve">Минэкономразвития России</w:t>
            </w:r>
          </w:p>
        </w:tc>
        <w:tc>
          <w:tcPr>
            <w:tcW w:w="6236" w:type="dxa"/>
          </w:tcPr>
          <w:p>
            <w:pPr>
              <w:pStyle w:val="0"/>
            </w:pPr>
            <w:r>
              <w:rPr>
                <w:sz w:val="20"/>
              </w:rPr>
              <w:t xml:space="preserve">Министерство экономического развития Российской Федерации</w:t>
            </w:r>
          </w:p>
        </w:tc>
      </w:tr>
      <w:tr>
        <w:tc>
          <w:tcPr>
            <w:tcW w:w="2835" w:type="dxa"/>
          </w:tcPr>
          <w:p>
            <w:pPr>
              <w:pStyle w:val="0"/>
            </w:pPr>
            <w:r>
              <w:rPr>
                <w:sz w:val="20"/>
              </w:rPr>
              <w:t xml:space="preserve">ФНС России</w:t>
            </w:r>
          </w:p>
        </w:tc>
        <w:tc>
          <w:tcPr>
            <w:tcW w:w="6236" w:type="dxa"/>
          </w:tcPr>
          <w:p>
            <w:pPr>
              <w:pStyle w:val="0"/>
            </w:pPr>
            <w:r>
              <w:rPr>
                <w:sz w:val="20"/>
              </w:rPr>
              <w:t xml:space="preserve">Федеральная налоговая служба</w:t>
            </w:r>
          </w:p>
        </w:tc>
      </w:tr>
      <w:tr>
        <w:tc>
          <w:tcPr>
            <w:tcW w:w="2835" w:type="dxa"/>
          </w:tcPr>
          <w:p>
            <w:pPr>
              <w:pStyle w:val="0"/>
            </w:pPr>
            <w:r>
              <w:rPr>
                <w:sz w:val="20"/>
              </w:rPr>
              <w:t xml:space="preserve">Мининвест Московской области</w:t>
            </w:r>
          </w:p>
        </w:tc>
        <w:tc>
          <w:tcPr>
            <w:tcW w:w="6236" w:type="dxa"/>
          </w:tcPr>
          <w:p>
            <w:pPr>
              <w:pStyle w:val="0"/>
            </w:pPr>
            <w:r>
              <w:rPr>
                <w:sz w:val="20"/>
              </w:rPr>
              <w:t xml:space="preserve">Министерство инвестиций, промышленности и науки Московской области</w:t>
            </w:r>
          </w:p>
        </w:tc>
      </w:tr>
      <w:tr>
        <w:tc>
          <w:tcPr>
            <w:tcW w:w="2835" w:type="dxa"/>
          </w:tcPr>
          <w:p>
            <w:pPr>
              <w:pStyle w:val="0"/>
            </w:pPr>
            <w:r>
              <w:rPr>
                <w:sz w:val="20"/>
              </w:rPr>
              <w:t xml:space="preserve">Минсельхозпрод Московской области</w:t>
            </w:r>
          </w:p>
        </w:tc>
        <w:tc>
          <w:tcPr>
            <w:tcW w:w="6236" w:type="dxa"/>
          </w:tcPr>
          <w:p>
            <w:pPr>
              <w:pStyle w:val="0"/>
            </w:pPr>
            <w:r>
              <w:rPr>
                <w:sz w:val="20"/>
              </w:rPr>
              <w:t xml:space="preserve">Министерство сельского хозяйства и продовольствия Московской области</w:t>
            </w:r>
          </w:p>
        </w:tc>
      </w:tr>
      <w:tr>
        <w:tc>
          <w:tcPr>
            <w:tcW w:w="2835" w:type="dxa"/>
          </w:tcPr>
          <w:p>
            <w:pPr>
              <w:pStyle w:val="0"/>
            </w:pPr>
            <w:r>
              <w:rPr>
                <w:sz w:val="20"/>
              </w:rPr>
              <w:t xml:space="preserve">МЭФ Московской области</w:t>
            </w:r>
          </w:p>
        </w:tc>
        <w:tc>
          <w:tcPr>
            <w:tcW w:w="6236" w:type="dxa"/>
          </w:tcPr>
          <w:p>
            <w:pPr>
              <w:pStyle w:val="0"/>
            </w:pPr>
            <w:r>
              <w:rPr>
                <w:sz w:val="20"/>
              </w:rPr>
              <w:t xml:space="preserve">Министерство экономики и финансов Московской области</w:t>
            </w:r>
          </w:p>
        </w:tc>
      </w:tr>
      <w:tr>
        <w:tc>
          <w:tcPr>
            <w:tcW w:w="2835" w:type="dxa"/>
          </w:tcPr>
          <w:p>
            <w:pPr>
              <w:pStyle w:val="0"/>
            </w:pPr>
            <w:r>
              <w:rPr>
                <w:sz w:val="20"/>
              </w:rPr>
              <w:t xml:space="preserve">МТДи Московской области</w:t>
            </w:r>
          </w:p>
        </w:tc>
        <w:tc>
          <w:tcPr>
            <w:tcW w:w="6236" w:type="dxa"/>
          </w:tcPr>
          <w:p>
            <w:pPr>
              <w:pStyle w:val="0"/>
            </w:pPr>
            <w:r>
              <w:rPr>
                <w:sz w:val="20"/>
              </w:rPr>
              <w:t xml:space="preserve">Министерство транспорта и дорожной инфраструктуры Московской области</w:t>
            </w:r>
          </w:p>
        </w:tc>
      </w:tr>
      <w:tr>
        <w:tc>
          <w:tcPr>
            <w:tcW w:w="2835" w:type="dxa"/>
          </w:tcPr>
          <w:p>
            <w:pPr>
              <w:pStyle w:val="0"/>
            </w:pPr>
            <w:r>
              <w:rPr>
                <w:sz w:val="20"/>
              </w:rPr>
              <w:t xml:space="preserve">Министерство ЖКХ Московской области</w:t>
            </w:r>
          </w:p>
        </w:tc>
        <w:tc>
          <w:tcPr>
            <w:tcW w:w="6236" w:type="dxa"/>
          </w:tcPr>
          <w:p>
            <w:pPr>
              <w:pStyle w:val="0"/>
            </w:pPr>
            <w:r>
              <w:rPr>
                <w:sz w:val="20"/>
              </w:rPr>
              <w:t xml:space="preserve">Министерство жилищно-коммунального хозяйства Московской области</w:t>
            </w:r>
          </w:p>
        </w:tc>
      </w:tr>
      <w:tr>
        <w:tc>
          <w:tcPr>
            <w:tcW w:w="2835" w:type="dxa"/>
          </w:tcPr>
          <w:p>
            <w:pPr>
              <w:pStyle w:val="0"/>
            </w:pPr>
            <w:r>
              <w:rPr>
                <w:sz w:val="20"/>
              </w:rPr>
              <w:t xml:space="preserve">Минмособлимущество</w:t>
            </w:r>
          </w:p>
        </w:tc>
        <w:tc>
          <w:tcPr>
            <w:tcW w:w="6236" w:type="dxa"/>
          </w:tcPr>
          <w:p>
            <w:pPr>
              <w:pStyle w:val="0"/>
            </w:pPr>
            <w:r>
              <w:rPr>
                <w:sz w:val="20"/>
              </w:rPr>
              <w:t xml:space="preserve">Министерство имущественных отношений Московской области</w:t>
            </w:r>
          </w:p>
        </w:tc>
      </w:tr>
      <w:tr>
        <w:tc>
          <w:tcPr>
            <w:tcW w:w="2835" w:type="dxa"/>
          </w:tcPr>
          <w:p>
            <w:pPr>
              <w:pStyle w:val="0"/>
            </w:pPr>
            <w:r>
              <w:rPr>
                <w:sz w:val="20"/>
              </w:rPr>
              <w:t xml:space="preserve">Минэнерго Московской области</w:t>
            </w:r>
          </w:p>
        </w:tc>
        <w:tc>
          <w:tcPr>
            <w:tcW w:w="6236" w:type="dxa"/>
          </w:tcPr>
          <w:p>
            <w:pPr>
              <w:pStyle w:val="0"/>
            </w:pPr>
            <w:r>
              <w:rPr>
                <w:sz w:val="20"/>
              </w:rPr>
              <w:t xml:space="preserve">Министерство энергетики Московской области</w:t>
            </w:r>
          </w:p>
        </w:tc>
      </w:tr>
      <w:tr>
        <w:tc>
          <w:tcPr>
            <w:tcW w:w="2835" w:type="dxa"/>
          </w:tcPr>
          <w:p>
            <w:pPr>
              <w:pStyle w:val="0"/>
            </w:pPr>
            <w:r>
              <w:rPr>
                <w:sz w:val="20"/>
              </w:rPr>
              <w:t xml:space="preserve">Минэкологии Московской области</w:t>
            </w:r>
          </w:p>
        </w:tc>
        <w:tc>
          <w:tcPr>
            <w:tcW w:w="6236" w:type="dxa"/>
          </w:tcPr>
          <w:p>
            <w:pPr>
              <w:pStyle w:val="0"/>
            </w:pPr>
            <w:r>
              <w:rPr>
                <w:sz w:val="20"/>
              </w:rPr>
              <w:t xml:space="preserve">Министерство экологии и природопользования Московской области</w:t>
            </w:r>
          </w:p>
        </w:tc>
      </w:tr>
      <w:tr>
        <w:tc>
          <w:tcPr>
            <w:tcW w:w="2835" w:type="dxa"/>
          </w:tcPr>
          <w:p>
            <w:pPr>
              <w:pStyle w:val="0"/>
            </w:pPr>
            <w:r>
              <w:rPr>
                <w:sz w:val="20"/>
              </w:rPr>
              <w:t xml:space="preserve">Минстрой Московской области</w:t>
            </w:r>
          </w:p>
        </w:tc>
        <w:tc>
          <w:tcPr>
            <w:tcW w:w="6236" w:type="dxa"/>
          </w:tcPr>
          <w:p>
            <w:pPr>
              <w:pStyle w:val="0"/>
            </w:pPr>
            <w:r>
              <w:rPr>
                <w:sz w:val="20"/>
              </w:rPr>
              <w:t xml:space="preserve">Министерство строительного комплекса Московской области</w:t>
            </w:r>
          </w:p>
        </w:tc>
      </w:tr>
      <w:tr>
        <w:tc>
          <w:tcPr>
            <w:tcW w:w="2835" w:type="dxa"/>
          </w:tcPr>
          <w:p>
            <w:pPr>
              <w:pStyle w:val="0"/>
            </w:pPr>
            <w:r>
              <w:rPr>
                <w:sz w:val="20"/>
              </w:rPr>
              <w:t xml:space="preserve">Минжилполитика Московской области</w:t>
            </w:r>
          </w:p>
        </w:tc>
        <w:tc>
          <w:tcPr>
            <w:tcW w:w="6236" w:type="dxa"/>
          </w:tcPr>
          <w:p>
            <w:pPr>
              <w:pStyle w:val="0"/>
            </w:pPr>
            <w:r>
              <w:rPr>
                <w:sz w:val="20"/>
              </w:rPr>
              <w:t xml:space="preserve">Министерство жилищной политики Московской области</w:t>
            </w:r>
          </w:p>
        </w:tc>
      </w:tr>
      <w:tr>
        <w:tc>
          <w:tcPr>
            <w:tcW w:w="2835" w:type="dxa"/>
          </w:tcPr>
          <w:p>
            <w:pPr>
              <w:pStyle w:val="0"/>
            </w:pPr>
            <w:r>
              <w:rPr>
                <w:sz w:val="20"/>
              </w:rPr>
              <w:t xml:space="preserve">Мингосуправления Московской области</w:t>
            </w:r>
          </w:p>
        </w:tc>
        <w:tc>
          <w:tcPr>
            <w:tcW w:w="6236" w:type="dxa"/>
          </w:tcPr>
          <w:p>
            <w:pPr>
              <w:pStyle w:val="0"/>
            </w:pPr>
            <w:r>
              <w:rPr>
                <w:sz w:val="20"/>
              </w:rPr>
              <w:t xml:space="preserve">Министерство государственного управления, информационных технологий и связи Московской области</w:t>
            </w:r>
          </w:p>
        </w:tc>
      </w:tr>
      <w:tr>
        <w:tc>
          <w:tcPr>
            <w:tcW w:w="2835" w:type="dxa"/>
          </w:tcPr>
          <w:p>
            <w:pPr>
              <w:pStyle w:val="0"/>
            </w:pPr>
            <w:r>
              <w:rPr>
                <w:sz w:val="20"/>
              </w:rPr>
              <w:t xml:space="preserve">Минздрав Московской области</w:t>
            </w:r>
          </w:p>
        </w:tc>
        <w:tc>
          <w:tcPr>
            <w:tcW w:w="6236" w:type="dxa"/>
          </w:tcPr>
          <w:p>
            <w:pPr>
              <w:pStyle w:val="0"/>
            </w:pPr>
            <w:r>
              <w:rPr>
                <w:sz w:val="20"/>
              </w:rPr>
              <w:t xml:space="preserve">Министерство здравоохранения Московской области</w:t>
            </w:r>
          </w:p>
        </w:tc>
      </w:tr>
      <w:tr>
        <w:tc>
          <w:tcPr>
            <w:tcW w:w="2835" w:type="dxa"/>
          </w:tcPr>
          <w:p>
            <w:pPr>
              <w:pStyle w:val="0"/>
            </w:pPr>
            <w:r>
              <w:rPr>
                <w:sz w:val="20"/>
              </w:rPr>
              <w:t xml:space="preserve">Минсоцразвития Московской области</w:t>
            </w:r>
          </w:p>
        </w:tc>
        <w:tc>
          <w:tcPr>
            <w:tcW w:w="6236" w:type="dxa"/>
          </w:tcPr>
          <w:p>
            <w:pPr>
              <w:pStyle w:val="0"/>
            </w:pPr>
            <w:r>
              <w:rPr>
                <w:sz w:val="20"/>
              </w:rPr>
              <w:t xml:space="preserve">Министерство социального развития Московской области</w:t>
            </w:r>
          </w:p>
        </w:tc>
      </w:tr>
      <w:tr>
        <w:tc>
          <w:tcPr>
            <w:tcW w:w="2835" w:type="dxa"/>
          </w:tcPr>
          <w:p>
            <w:pPr>
              <w:pStyle w:val="0"/>
            </w:pPr>
            <w:r>
              <w:rPr>
                <w:sz w:val="20"/>
              </w:rPr>
              <w:t xml:space="preserve">Минкультуры и туризма Московской области</w:t>
            </w:r>
          </w:p>
        </w:tc>
        <w:tc>
          <w:tcPr>
            <w:tcW w:w="6236" w:type="dxa"/>
          </w:tcPr>
          <w:p>
            <w:pPr>
              <w:pStyle w:val="0"/>
            </w:pPr>
            <w:r>
              <w:rPr>
                <w:sz w:val="20"/>
              </w:rPr>
              <w:t xml:space="preserve">Министерство культуры и туризма Московской области</w:t>
            </w:r>
          </w:p>
        </w:tc>
      </w:tr>
      <w:tr>
        <w:tc>
          <w:tcPr>
            <w:tcW w:w="2835" w:type="dxa"/>
          </w:tcPr>
          <w:p>
            <w:pPr>
              <w:pStyle w:val="0"/>
            </w:pPr>
            <w:r>
              <w:rPr>
                <w:sz w:val="20"/>
              </w:rPr>
              <w:t xml:space="preserve">Минспорт Московской области</w:t>
            </w:r>
          </w:p>
        </w:tc>
        <w:tc>
          <w:tcPr>
            <w:tcW w:w="6236" w:type="dxa"/>
          </w:tcPr>
          <w:p>
            <w:pPr>
              <w:pStyle w:val="0"/>
            </w:pPr>
            <w:r>
              <w:rPr>
                <w:sz w:val="20"/>
              </w:rPr>
              <w:t xml:space="preserve">Министерство физической культуры и спорта Московской области</w:t>
            </w:r>
          </w:p>
        </w:tc>
      </w:tr>
      <w:tr>
        <w:tc>
          <w:tcPr>
            <w:tcW w:w="2835" w:type="dxa"/>
          </w:tcPr>
          <w:p>
            <w:pPr>
              <w:pStyle w:val="0"/>
            </w:pPr>
            <w:r>
              <w:rPr>
                <w:sz w:val="20"/>
              </w:rPr>
              <w:t xml:space="preserve">Минблагоустройства Московской области</w:t>
            </w:r>
          </w:p>
        </w:tc>
        <w:tc>
          <w:tcPr>
            <w:tcW w:w="6236" w:type="dxa"/>
          </w:tcPr>
          <w:p>
            <w:pPr>
              <w:pStyle w:val="0"/>
            </w:pPr>
            <w:r>
              <w:rPr>
                <w:sz w:val="20"/>
              </w:rPr>
              <w:t xml:space="preserve">Министерство благоустройства Московской области</w:t>
            </w:r>
          </w:p>
        </w:tc>
      </w:tr>
      <w:tr>
        <w:tc>
          <w:tcPr>
            <w:tcW w:w="2835" w:type="dxa"/>
          </w:tcPr>
          <w:p>
            <w:pPr>
              <w:pStyle w:val="0"/>
            </w:pPr>
            <w:r>
              <w:rPr>
                <w:sz w:val="20"/>
              </w:rPr>
              <w:t xml:space="preserve">Мособлкомцен</w:t>
            </w:r>
          </w:p>
        </w:tc>
        <w:tc>
          <w:tcPr>
            <w:tcW w:w="6236" w:type="dxa"/>
          </w:tcPr>
          <w:p>
            <w:pPr>
              <w:pStyle w:val="0"/>
            </w:pPr>
            <w:r>
              <w:rPr>
                <w:sz w:val="20"/>
              </w:rPr>
              <w:t xml:space="preserve">Комитет по ценам и тарифам Московской области</w:t>
            </w:r>
          </w:p>
        </w:tc>
      </w:tr>
      <w:tr>
        <w:tblPrEx>
          <w:tblBorders>
            <w:insideH w:val="nil"/>
          </w:tblBorders>
        </w:tblPrEx>
        <w:tc>
          <w:tcPr>
            <w:tcW w:w="2835" w:type="dxa"/>
            <w:tcBorders>
              <w:bottom w:val="nil"/>
            </w:tcBorders>
          </w:tcPr>
          <w:p>
            <w:pPr>
              <w:pStyle w:val="0"/>
            </w:pPr>
            <w:r>
              <w:rPr>
                <w:sz w:val="20"/>
              </w:rPr>
              <w:t xml:space="preserve">ЦИО Московской области</w:t>
            </w:r>
          </w:p>
        </w:tc>
        <w:tc>
          <w:tcPr>
            <w:tcW w:w="6236" w:type="dxa"/>
            <w:tcBorders>
              <w:bottom w:val="nil"/>
            </w:tcBorders>
          </w:tcPr>
          <w:p>
            <w:pPr>
              <w:pStyle w:val="0"/>
            </w:pPr>
            <w:r>
              <w:rPr>
                <w:sz w:val="20"/>
              </w:rPr>
              <w:t xml:space="preserve">Центральные исполнительные органы Московской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24"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31.10.2023 N 1003-ПП)</w:t>
            </w:r>
          </w:p>
        </w:tc>
      </w:tr>
      <w:tr>
        <w:tblPrEx>
          <w:tblBorders>
            <w:insideH w:val="nil"/>
          </w:tblBorders>
        </w:tblPrEx>
        <w:tc>
          <w:tcPr>
            <w:tcW w:w="2835" w:type="dxa"/>
            <w:tcBorders>
              <w:bottom w:val="nil"/>
            </w:tcBorders>
          </w:tcPr>
          <w:p>
            <w:pPr>
              <w:pStyle w:val="0"/>
            </w:pPr>
            <w:r>
              <w:rPr>
                <w:sz w:val="20"/>
              </w:rPr>
              <w:t xml:space="preserve">ЦИО и ГО Московской области</w:t>
            </w:r>
          </w:p>
        </w:tc>
        <w:tc>
          <w:tcPr>
            <w:tcW w:w="6236" w:type="dxa"/>
            <w:tcBorders>
              <w:bottom w:val="nil"/>
            </w:tcBorders>
          </w:tcPr>
          <w:p>
            <w:pPr>
              <w:pStyle w:val="0"/>
            </w:pPr>
            <w:r>
              <w:rPr>
                <w:sz w:val="20"/>
              </w:rPr>
              <w:t xml:space="preserve">Центральные исполнительные органы Московской области и государственные органы Московской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25"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31.10.2023 N 1003-ПП)</w:t>
            </w:r>
          </w:p>
        </w:tc>
      </w:tr>
      <w:tr>
        <w:tc>
          <w:tcPr>
            <w:tcW w:w="2835" w:type="dxa"/>
          </w:tcPr>
          <w:p>
            <w:pPr>
              <w:pStyle w:val="0"/>
            </w:pPr>
            <w:r>
              <w:rPr>
                <w:sz w:val="20"/>
              </w:rPr>
              <w:t xml:space="preserve">АНО "АИР"</w:t>
            </w:r>
          </w:p>
        </w:tc>
        <w:tc>
          <w:tcPr>
            <w:tcW w:w="6236" w:type="dxa"/>
          </w:tcPr>
          <w:p>
            <w:pPr>
              <w:pStyle w:val="0"/>
            </w:pPr>
            <w:r>
              <w:rPr>
                <w:sz w:val="20"/>
              </w:rPr>
              <w:t xml:space="preserve">Автономная некоммерческая организация "Агентство инвестиционного развития Московской области"</w:t>
            </w:r>
          </w:p>
        </w:tc>
      </w:tr>
      <w:tr>
        <w:tc>
          <w:tcPr>
            <w:tcW w:w="2835" w:type="dxa"/>
          </w:tcPr>
          <w:p>
            <w:pPr>
              <w:pStyle w:val="0"/>
            </w:pPr>
            <w:r>
              <w:rPr>
                <w:sz w:val="20"/>
              </w:rPr>
              <w:t xml:space="preserve">Федеральный </w:t>
            </w:r>
            <w:hyperlink w:history="0" r:id="rId12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N 209-ФЗ</w:t>
            </w:r>
          </w:p>
        </w:tc>
        <w:tc>
          <w:tcPr>
            <w:tcW w:w="6236" w:type="dxa"/>
          </w:tcPr>
          <w:p>
            <w:pPr>
              <w:pStyle w:val="0"/>
            </w:pPr>
            <w:r>
              <w:rPr>
                <w:sz w:val="20"/>
              </w:rPr>
              <w:t xml:space="preserve">Федеральный </w:t>
            </w:r>
            <w:hyperlink w:history="0" r:id="rId12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24.07.2007 N 209-ФЗ "О развитии малого и среднего предпринимательства в Российской Федерации"</w:t>
            </w:r>
          </w:p>
        </w:tc>
      </w:tr>
      <w:tr>
        <w:tc>
          <w:tcPr>
            <w:tcW w:w="2835" w:type="dxa"/>
          </w:tcPr>
          <w:p>
            <w:pPr>
              <w:pStyle w:val="0"/>
            </w:pPr>
            <w:hyperlink w:history="0" r:id="rId128"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Закон</w:t>
              </w:r>
            </w:hyperlink>
            <w:r>
              <w:rPr>
                <w:sz w:val="20"/>
              </w:rPr>
              <w:t xml:space="preserve"> N 151/2004-ОЗ</w:t>
            </w:r>
          </w:p>
        </w:tc>
        <w:tc>
          <w:tcPr>
            <w:tcW w:w="6236" w:type="dxa"/>
          </w:tcPr>
          <w:p>
            <w:pPr>
              <w:pStyle w:val="0"/>
            </w:pPr>
            <w:hyperlink w:history="0" r:id="rId129"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Закон</w:t>
              </w:r>
            </w:hyperlink>
            <w:r>
              <w:rPr>
                <w:sz w:val="20"/>
              </w:rPr>
              <w:t xml:space="preserve"> Московской области N 151/2004-ОЗ "О льготном налогообложении в Московской области"</w:t>
            </w:r>
          </w:p>
        </w:tc>
      </w:tr>
      <w:tr>
        <w:tc>
          <w:tcPr>
            <w:tcW w:w="2835" w:type="dxa"/>
          </w:tcPr>
          <w:p>
            <w:pPr>
              <w:pStyle w:val="0"/>
            </w:pPr>
            <w:hyperlink w:history="0" r:id="rId130"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Закон</w:t>
              </w:r>
            </w:hyperlink>
            <w:r>
              <w:rPr>
                <w:sz w:val="20"/>
              </w:rPr>
              <w:t xml:space="preserve"> N 32/2022-ОЗ</w:t>
            </w:r>
          </w:p>
        </w:tc>
        <w:tc>
          <w:tcPr>
            <w:tcW w:w="6236" w:type="dxa"/>
          </w:tcPr>
          <w:p>
            <w:pPr>
              <w:pStyle w:val="0"/>
            </w:pPr>
            <w:hyperlink w:history="0" r:id="rId131"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Закон</w:t>
              </w:r>
            </w:hyperlink>
            <w:r>
              <w:rPr>
                <w:sz w:val="20"/>
              </w:rPr>
              <w:t xml:space="preserve"> Московской области N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tc>
          <w:tcPr>
            <w:tcW w:w="2835" w:type="dxa"/>
          </w:tcPr>
          <w:p>
            <w:pPr>
              <w:pStyle w:val="0"/>
            </w:pPr>
            <w:r>
              <w:rPr>
                <w:sz w:val="20"/>
              </w:rPr>
              <w:t xml:space="preserve">Общие требования</w:t>
            </w:r>
          </w:p>
        </w:tc>
        <w:tc>
          <w:tcPr>
            <w:tcW w:w="6236" w:type="dxa"/>
          </w:tcPr>
          <w:p>
            <w:pPr>
              <w:pStyle w:val="0"/>
            </w:pPr>
            <w:r>
              <w:rPr>
                <w:sz w:val="20"/>
              </w:rPr>
              <w:t xml:space="preserve">Общие </w:t>
            </w:r>
            <w:hyperlink w:history="0" r:id="rId13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требования</w:t>
              </w:r>
            </w:hyperlink>
            <w:r>
              <w:rPr>
                <w:sz w:val="20"/>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tc>
          <w:tcPr>
            <w:tcW w:w="2835" w:type="dxa"/>
          </w:tcPr>
          <w:p>
            <w:pPr>
              <w:pStyle w:val="0"/>
            </w:pPr>
            <w:r>
              <w:rPr>
                <w:sz w:val="20"/>
              </w:rPr>
              <w:t xml:space="preserve">Порядок разработки и реализации государственных программ</w:t>
            </w:r>
          </w:p>
        </w:tc>
        <w:tc>
          <w:tcPr>
            <w:tcW w:w="6236" w:type="dxa"/>
          </w:tcPr>
          <w:p>
            <w:pPr>
              <w:pStyle w:val="0"/>
            </w:pPr>
            <w:hyperlink w:history="0" r:id="rId133"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Порядок</w:t>
              </w:r>
            </w:hyperlink>
            <w:r>
              <w:rPr>
                <w:sz w:val="20"/>
              </w:rPr>
              <w:t xml:space="preserve"> разработки и реализации государственных программ Московской области, утвержденный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w:t>
            </w:r>
          </w:p>
        </w:tc>
      </w:tr>
      <w:tr>
        <w:tc>
          <w:tcPr>
            <w:tcW w:w="2835" w:type="dxa"/>
          </w:tcPr>
          <w:p>
            <w:pPr>
              <w:pStyle w:val="0"/>
            </w:pPr>
            <w:hyperlink w:history="0" r:id="rId134"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направленных на достижение целей, показателей и результатов региональных проектов, обеспечивающ {КонсультантПлюс}">
              <w:r>
                <w:rPr>
                  <w:sz w:val="20"/>
                  <w:color w:val="0000ff"/>
                </w:rPr>
                <w:t xml:space="preserve">приказ</w:t>
              </w:r>
            </w:hyperlink>
            <w:r>
              <w:rPr>
                <w:sz w:val="20"/>
              </w:rPr>
              <w:t xml:space="preserve"> N 142</w:t>
            </w:r>
          </w:p>
        </w:tc>
        <w:tc>
          <w:tcPr>
            <w:tcW w:w="6236" w:type="dxa"/>
          </w:tcPr>
          <w:p>
            <w:pPr>
              <w:pStyle w:val="0"/>
            </w:pPr>
            <w:hyperlink w:history="0" r:id="rId135"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направленных на достижение целей, показателей и результатов региональных проектов, обеспечивающ {КонсультантПлюс}">
              <w:r>
                <w:rPr>
                  <w:sz w:val="20"/>
                  <w:color w:val="0000ff"/>
                </w:rPr>
                <w:t xml:space="preserve">Приказ</w:t>
              </w:r>
            </w:hyperlink>
            <w:r>
              <w:rPr>
                <w:sz w:val="20"/>
              </w:rPr>
              <w:t xml:space="preserve"> Минэкономразвития России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tc>
      </w:tr>
      <w:tr>
        <w:tblPrEx>
          <w:tblBorders>
            <w:insideH w:val="nil"/>
          </w:tblBorders>
        </w:tblPrEx>
        <w:tc>
          <w:tcPr>
            <w:tcW w:w="2835" w:type="dxa"/>
            <w:tcBorders>
              <w:bottom w:val="nil"/>
            </w:tcBorders>
          </w:tcPr>
          <w:p>
            <w:pPr>
              <w:pStyle w:val="0"/>
            </w:pPr>
            <w:r>
              <w:rPr>
                <w:sz w:val="20"/>
              </w:rPr>
              <w:t xml:space="preserve">Справка об уплате налогов</w:t>
            </w:r>
          </w:p>
        </w:tc>
        <w:tc>
          <w:tcPr>
            <w:tcW w:w="6236" w:type="dxa"/>
            <w:tcBorders>
              <w:bottom w:val="nil"/>
            </w:tcBorders>
          </w:tcPr>
          <w:p>
            <w:pPr>
              <w:pStyle w:val="0"/>
            </w:pPr>
            <w:hyperlink w:history="0" r:id="rId136" w:tooltip="Приказ ФНС России от 23.11.2022 N ЕД-7-8/1123@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quot; (Зарегистрировано в Минюсте России 30.12.2022 N 71932) {КонсультантПлюс}">
              <w:r>
                <w:rPr>
                  <w:sz w:val="20"/>
                  <w:color w:val="0000ff"/>
                </w:rPr>
                <w:t xml:space="preserve">Справка</w:t>
              </w:r>
            </w:hyperlink>
            <w:r>
              <w:rPr>
                <w:sz w:val="2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37"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tc>
      </w:tr>
      <w:tr>
        <w:tc>
          <w:tcPr>
            <w:tcW w:w="2835" w:type="dxa"/>
          </w:tcPr>
          <w:p>
            <w:pPr>
              <w:pStyle w:val="0"/>
            </w:pPr>
            <w:r>
              <w:rPr>
                <w:sz w:val="20"/>
              </w:rPr>
              <w:t xml:space="preserve">Классификация основных средств, включаемых в амортизационные группы</w:t>
            </w:r>
          </w:p>
        </w:tc>
        <w:tc>
          <w:tcPr>
            <w:tcW w:w="6236" w:type="dxa"/>
          </w:tcPr>
          <w:p>
            <w:pPr>
              <w:pStyle w:val="0"/>
            </w:pPr>
            <w:hyperlink w:history="0" r:id="rId138"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Классификация</w:t>
              </w:r>
            </w:hyperlink>
            <w:r>
              <w:rPr>
                <w:sz w:val="20"/>
              </w:rPr>
              <w:t xml:space="preserve"> основных средств, включаемых в амортизационные группы, утвержденная постановлением Правительства Российской Федерации от 01.01.2002 N 1 "О Классификации основных средств, включаемых в амортизационные группы"</w:t>
            </w:r>
          </w:p>
        </w:tc>
      </w:tr>
      <w:tr>
        <w:tc>
          <w:tcPr>
            <w:tcW w:w="2835" w:type="dxa"/>
          </w:tcPr>
          <w:p>
            <w:pPr>
              <w:pStyle w:val="0"/>
            </w:pPr>
            <w:r>
              <w:rPr>
                <w:sz w:val="20"/>
              </w:rPr>
              <w:t xml:space="preserve">государственная программа</w:t>
            </w:r>
          </w:p>
        </w:tc>
        <w:tc>
          <w:tcPr>
            <w:tcW w:w="6236" w:type="dxa"/>
          </w:tcPr>
          <w:p>
            <w:pPr>
              <w:pStyle w:val="0"/>
            </w:pPr>
            <w:r>
              <w:rPr>
                <w:sz w:val="20"/>
              </w:rPr>
              <w:t xml:space="preserve">государственная программа "Предпринимательство Подмосковья"</w:t>
            </w:r>
          </w:p>
        </w:tc>
      </w:tr>
      <w:tr>
        <w:tc>
          <w:tcPr>
            <w:tcW w:w="2835" w:type="dxa"/>
          </w:tcPr>
          <w:p>
            <w:pPr>
              <w:pStyle w:val="0"/>
            </w:pPr>
            <w:r>
              <w:rPr>
                <w:sz w:val="20"/>
              </w:rPr>
              <w:t xml:space="preserve">Порядок предоставления финансовой поддержки</w:t>
            </w:r>
          </w:p>
        </w:tc>
        <w:tc>
          <w:tcPr>
            <w:tcW w:w="6236" w:type="dxa"/>
          </w:tcPr>
          <w:p>
            <w:pPr>
              <w:pStyle w:val="0"/>
            </w:pPr>
            <w:r>
              <w:rPr>
                <w:sz w:val="20"/>
              </w:rPr>
              <w:t xml:space="preserve">Порядок предоставления финансовой поддержки субъектам малого и среднего предпринимательства в рамках Подпрограммы 3 "Развитие малого и среднего предпринимательства в Московской области" государственной программы, утверждаемый Мининвестом Московской области</w:t>
            </w:r>
          </w:p>
        </w:tc>
      </w:tr>
      <w:tr>
        <w:tc>
          <w:tcPr>
            <w:tcW w:w="2835" w:type="dxa"/>
          </w:tcPr>
          <w:p>
            <w:pPr>
              <w:pStyle w:val="0"/>
            </w:pPr>
            <w:r>
              <w:rPr>
                <w:sz w:val="20"/>
              </w:rPr>
              <w:t xml:space="preserve">портал РПГУ</w:t>
            </w:r>
          </w:p>
        </w:tc>
        <w:tc>
          <w:tcPr>
            <w:tcW w:w="6236" w:type="dxa"/>
          </w:tcPr>
          <w:p>
            <w:pPr>
              <w:pStyle w:val="0"/>
            </w:pPr>
            <w:r>
              <w:rPr>
                <w:sz w:val="20"/>
              </w:rPr>
              <w:t xml:space="preserve">Государственная информационная система Московской области "Портал государственных и муниципальных услуг (функций) Московской области"</w:t>
            </w:r>
          </w:p>
        </w:tc>
      </w:tr>
      <w:tr>
        <w:tc>
          <w:tcPr>
            <w:tcW w:w="2835" w:type="dxa"/>
          </w:tcPr>
          <w:p>
            <w:pPr>
              <w:pStyle w:val="0"/>
            </w:pPr>
            <w:r>
              <w:rPr>
                <w:sz w:val="20"/>
              </w:rPr>
              <w:t xml:space="preserve">система "Электронный бюджет"</w:t>
            </w:r>
          </w:p>
        </w:tc>
        <w:tc>
          <w:tcPr>
            <w:tcW w:w="6236" w:type="dxa"/>
          </w:tcPr>
          <w:p>
            <w:pPr>
              <w:pStyle w:val="0"/>
            </w:pPr>
            <w:r>
              <w:rPr>
                <w:sz w:val="20"/>
              </w:rPr>
              <w:t xml:space="preserve">Государственная интегрированная информационная система управления общественными финансами "Электронный бюджет"</w:t>
            </w:r>
          </w:p>
        </w:tc>
      </w:tr>
      <w:tr>
        <w:tc>
          <w:tcPr>
            <w:tcW w:w="2835" w:type="dxa"/>
          </w:tcPr>
          <w:p>
            <w:pPr>
              <w:pStyle w:val="0"/>
            </w:pPr>
            <w:r>
              <w:rPr>
                <w:sz w:val="20"/>
              </w:rPr>
              <w:t xml:space="preserve">единый портал</w:t>
            </w:r>
          </w:p>
        </w:tc>
        <w:tc>
          <w:tcPr>
            <w:tcW w:w="6236" w:type="dxa"/>
          </w:tcPr>
          <w:p>
            <w:pPr>
              <w:pStyle w:val="0"/>
            </w:pPr>
            <w:r>
              <w:rPr>
                <w:sz w:val="20"/>
              </w:rPr>
              <w:t xml:space="preserve">Единый портал бюджетной системы Российской Федерации в информационно-телекоммуникационной сети Интернет</w:t>
            </w:r>
          </w:p>
        </w:tc>
      </w:tr>
      <w:tr>
        <w:tc>
          <w:tcPr>
            <w:tcW w:w="2835" w:type="dxa"/>
          </w:tcPr>
          <w:p>
            <w:pPr>
              <w:pStyle w:val="0"/>
            </w:pPr>
            <w:r>
              <w:rPr>
                <w:sz w:val="20"/>
              </w:rPr>
              <w:t xml:space="preserve">МСП</w:t>
            </w:r>
          </w:p>
        </w:tc>
        <w:tc>
          <w:tcPr>
            <w:tcW w:w="6236" w:type="dxa"/>
          </w:tcPr>
          <w:p>
            <w:pPr>
              <w:pStyle w:val="0"/>
            </w:pPr>
            <w:r>
              <w:rPr>
                <w:sz w:val="20"/>
              </w:rPr>
              <w:t xml:space="preserve">Малое и среднее предпринимательство</w:t>
            </w:r>
          </w:p>
        </w:tc>
      </w:tr>
      <w:tr>
        <w:tc>
          <w:tcPr>
            <w:tcW w:w="2835" w:type="dxa"/>
          </w:tcPr>
          <w:p>
            <w:pPr>
              <w:pStyle w:val="0"/>
            </w:pPr>
            <w:r>
              <w:rPr>
                <w:sz w:val="20"/>
              </w:rPr>
              <w:t xml:space="preserve">ВЗС</w:t>
            </w:r>
          </w:p>
        </w:tc>
        <w:tc>
          <w:tcPr>
            <w:tcW w:w="6236" w:type="dxa"/>
          </w:tcPr>
          <w:p>
            <w:pPr>
              <w:pStyle w:val="0"/>
            </w:pPr>
            <w:r>
              <w:rPr>
                <w:sz w:val="20"/>
              </w:rPr>
              <w:t xml:space="preserve">Водозаборные сооружения</w:t>
            </w:r>
          </w:p>
        </w:tc>
      </w:tr>
      <w:tr>
        <w:tc>
          <w:tcPr>
            <w:tcW w:w="2835" w:type="dxa"/>
          </w:tcPr>
          <w:p>
            <w:pPr>
              <w:pStyle w:val="0"/>
            </w:pPr>
            <w:r>
              <w:rPr>
                <w:sz w:val="20"/>
              </w:rPr>
              <w:t xml:space="preserve">ВЗУ</w:t>
            </w:r>
          </w:p>
        </w:tc>
        <w:tc>
          <w:tcPr>
            <w:tcW w:w="6236" w:type="dxa"/>
          </w:tcPr>
          <w:p>
            <w:pPr>
              <w:pStyle w:val="0"/>
            </w:pPr>
            <w:r>
              <w:rPr>
                <w:sz w:val="20"/>
              </w:rPr>
              <w:t xml:space="preserve">Водозаборный узел</w:t>
            </w:r>
          </w:p>
        </w:tc>
      </w:tr>
      <w:tr>
        <w:tc>
          <w:tcPr>
            <w:tcW w:w="2835" w:type="dxa"/>
          </w:tcPr>
          <w:p>
            <w:pPr>
              <w:pStyle w:val="0"/>
            </w:pPr>
            <w:r>
              <w:rPr>
                <w:sz w:val="20"/>
              </w:rPr>
              <w:t xml:space="preserve">ЛОС</w:t>
            </w:r>
          </w:p>
        </w:tc>
        <w:tc>
          <w:tcPr>
            <w:tcW w:w="6236" w:type="dxa"/>
          </w:tcPr>
          <w:p>
            <w:pPr>
              <w:pStyle w:val="0"/>
            </w:pPr>
            <w:r>
              <w:rPr>
                <w:sz w:val="20"/>
              </w:rPr>
              <w:t xml:space="preserve">Локальные очистные сооружения</w:t>
            </w:r>
          </w:p>
        </w:tc>
      </w:tr>
      <w:tr>
        <w:tc>
          <w:tcPr>
            <w:tcW w:w="2835" w:type="dxa"/>
          </w:tcPr>
          <w:p>
            <w:pPr>
              <w:pStyle w:val="0"/>
            </w:pP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p>
        </w:tc>
        <w:tc>
          <w:tcPr>
            <w:tcW w:w="6236" w:type="dxa"/>
          </w:tcPr>
          <w:p>
            <w:pPr>
              <w:pStyle w:val="0"/>
            </w:pPr>
            <w:r>
              <w:rPr>
                <w:sz w:val="20"/>
              </w:rPr>
              <w:t xml:space="preserve">Общероссийский </w:t>
            </w:r>
            <w:hyperlink w:history="0" r:id="rId14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w:t>
              </w:r>
            </w:hyperlink>
            <w:r>
              <w:rPr>
                <w:sz w:val="20"/>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tc>
          <w:tcPr>
            <w:tcW w:w="2835" w:type="dxa"/>
          </w:tcPr>
          <w:p>
            <w:pPr>
              <w:pStyle w:val="0"/>
            </w:pPr>
            <w:r>
              <w:rPr>
                <w:sz w:val="20"/>
              </w:rPr>
              <w:t xml:space="preserve">ЭП</w:t>
            </w:r>
          </w:p>
        </w:tc>
        <w:tc>
          <w:tcPr>
            <w:tcW w:w="6236" w:type="dxa"/>
          </w:tcPr>
          <w:p>
            <w:pPr>
              <w:pStyle w:val="0"/>
            </w:pPr>
            <w:r>
              <w:rPr>
                <w:sz w:val="20"/>
              </w:rPr>
              <w:t xml:space="preserve">Усиленная квалифицированная электронная подпись</w:t>
            </w:r>
          </w:p>
        </w:tc>
      </w:tr>
      <w:tr>
        <w:tc>
          <w:tcPr>
            <w:tcW w:w="2835" w:type="dxa"/>
          </w:tcPr>
          <w:p>
            <w:pPr>
              <w:pStyle w:val="0"/>
            </w:pPr>
            <w:r>
              <w:rPr>
                <w:sz w:val="20"/>
              </w:rPr>
              <w:t xml:space="preserve">ЦП МСП</w:t>
            </w:r>
          </w:p>
        </w:tc>
        <w:tc>
          <w:tcPr>
            <w:tcW w:w="6236" w:type="dxa"/>
          </w:tcPr>
          <w:p>
            <w:pPr>
              <w:pStyle w:val="0"/>
            </w:pPr>
            <w:r>
              <w:rPr>
                <w:sz w:val="20"/>
              </w:rPr>
              <w:t xml:space="preserve">Цифровая платформа МСП (</w:t>
            </w:r>
            <w:hyperlink w:history="0" r:id="rId141">
              <w:r>
                <w:rPr>
                  <w:sz w:val="20"/>
                  <w:color w:val="0000ff"/>
                </w:rPr>
                <w:t xml:space="preserve">https://мсп.рф</w:t>
              </w:r>
            </w:hyperlink>
            <w:r>
              <w:rPr>
                <w:sz w:val="20"/>
              </w:rPr>
              <w:t xml:space="preserve">)</w:t>
            </w:r>
          </w:p>
        </w:tc>
      </w:tr>
      <w:tr>
        <w:tc>
          <w:tcPr>
            <w:tcW w:w="2835" w:type="dxa"/>
          </w:tcPr>
          <w:p>
            <w:pPr>
              <w:pStyle w:val="0"/>
            </w:pPr>
            <w:r>
              <w:rPr>
                <w:sz w:val="20"/>
              </w:rPr>
              <w:t xml:space="preserve">ЕГРН</w:t>
            </w:r>
          </w:p>
        </w:tc>
        <w:tc>
          <w:tcPr>
            <w:tcW w:w="6236" w:type="dxa"/>
          </w:tcPr>
          <w:p>
            <w:pPr>
              <w:pStyle w:val="0"/>
            </w:pPr>
            <w:r>
              <w:rPr>
                <w:sz w:val="20"/>
              </w:rPr>
              <w:t xml:space="preserve">Единый государственный реестр недвижимости</w:t>
            </w:r>
          </w:p>
        </w:tc>
      </w:tr>
      <w:tr>
        <w:tc>
          <w:tcPr>
            <w:tcW w:w="2835" w:type="dxa"/>
          </w:tcPr>
          <w:p>
            <w:pPr>
              <w:pStyle w:val="0"/>
            </w:pPr>
            <w:r>
              <w:rPr>
                <w:sz w:val="20"/>
              </w:rPr>
              <w:t xml:space="preserve">ЕГРЮЛ</w:t>
            </w:r>
          </w:p>
        </w:tc>
        <w:tc>
          <w:tcPr>
            <w:tcW w:w="6236" w:type="dxa"/>
          </w:tcPr>
          <w:p>
            <w:pPr>
              <w:pStyle w:val="0"/>
            </w:pPr>
            <w:r>
              <w:rPr>
                <w:sz w:val="20"/>
              </w:rPr>
              <w:t xml:space="preserve">Единый государственный реестр юридических лиц</w:t>
            </w:r>
          </w:p>
        </w:tc>
      </w:tr>
      <w:tr>
        <w:tc>
          <w:tcPr>
            <w:tcW w:w="2835" w:type="dxa"/>
          </w:tcPr>
          <w:p>
            <w:pPr>
              <w:pStyle w:val="0"/>
            </w:pPr>
            <w:r>
              <w:rPr>
                <w:sz w:val="20"/>
              </w:rPr>
              <w:t xml:space="preserve">ЕГРИП</w:t>
            </w:r>
          </w:p>
        </w:tc>
        <w:tc>
          <w:tcPr>
            <w:tcW w:w="6236" w:type="dxa"/>
          </w:tcPr>
          <w:p>
            <w:pPr>
              <w:pStyle w:val="0"/>
            </w:pPr>
            <w:r>
              <w:rPr>
                <w:sz w:val="20"/>
              </w:rPr>
              <w:t xml:space="preserve">Единый государственный реестр индивидуальных предпринимателей</w:t>
            </w:r>
          </w:p>
        </w:tc>
      </w:tr>
      <w:tr>
        <w:tc>
          <w:tcPr>
            <w:tcW w:w="2835" w:type="dxa"/>
          </w:tcPr>
          <w:p>
            <w:pPr>
              <w:pStyle w:val="0"/>
            </w:pPr>
            <w:r>
              <w:rPr>
                <w:sz w:val="20"/>
              </w:rPr>
              <w:t xml:space="preserve">РНП</w:t>
            </w:r>
          </w:p>
        </w:tc>
        <w:tc>
          <w:tcPr>
            <w:tcW w:w="6236" w:type="dxa"/>
          </w:tcPr>
          <w:p>
            <w:pPr>
              <w:pStyle w:val="0"/>
            </w:pPr>
            <w:r>
              <w:rPr>
                <w:sz w:val="20"/>
              </w:rPr>
              <w:t xml:space="preserve">Реестр недобросовестных поставщиков (подрядчиков, исполнителей)</w:t>
            </w:r>
          </w:p>
        </w:tc>
      </w:tr>
      <w:tr>
        <w:tc>
          <w:tcPr>
            <w:tcW w:w="2835" w:type="dxa"/>
          </w:tcPr>
          <w:p>
            <w:pPr>
              <w:pStyle w:val="0"/>
            </w:pPr>
            <w:r>
              <w:rPr>
                <w:sz w:val="20"/>
              </w:rPr>
              <w:t xml:space="preserve">ОЭЗ</w:t>
            </w:r>
          </w:p>
        </w:tc>
        <w:tc>
          <w:tcPr>
            <w:tcW w:w="6236" w:type="dxa"/>
          </w:tcPr>
          <w:p>
            <w:pPr>
              <w:pStyle w:val="0"/>
            </w:pPr>
            <w:r>
              <w:rPr>
                <w:sz w:val="20"/>
              </w:rPr>
              <w:t xml:space="preserve">Особая экономическая зона</w:t>
            </w:r>
          </w:p>
        </w:tc>
      </w:tr>
      <w:tr>
        <w:tc>
          <w:tcPr>
            <w:tcW w:w="2835" w:type="dxa"/>
          </w:tcPr>
          <w:p>
            <w:pPr>
              <w:pStyle w:val="0"/>
            </w:pPr>
            <w:r>
              <w:rPr>
                <w:sz w:val="20"/>
              </w:rPr>
              <w:t xml:space="preserve">минимальная заработная плата</w:t>
            </w:r>
          </w:p>
        </w:tc>
        <w:tc>
          <w:tcPr>
            <w:tcW w:w="6236" w:type="dxa"/>
          </w:tcPr>
          <w:p>
            <w:pPr>
              <w:pStyle w:val="0"/>
            </w:pPr>
            <w:r>
              <w:rPr>
                <w:sz w:val="20"/>
              </w:rPr>
              <w:t xml:space="preserve">Величина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tc>
      </w:tr>
      <w:tr>
        <w:tblPrEx>
          <w:tblBorders>
            <w:insideH w:val="nil"/>
          </w:tblBorders>
        </w:tblPrEx>
        <w:tc>
          <w:tcPr>
            <w:tcW w:w="2835" w:type="dxa"/>
            <w:tcBorders>
              <w:bottom w:val="nil"/>
            </w:tcBorders>
          </w:tcPr>
          <w:p>
            <w:pPr>
              <w:pStyle w:val="0"/>
            </w:pPr>
            <w:r>
              <w:rPr>
                <w:sz w:val="20"/>
              </w:rPr>
              <w:t xml:space="preserve">Инвестиционный портал</w:t>
            </w:r>
          </w:p>
        </w:tc>
        <w:tc>
          <w:tcPr>
            <w:tcW w:w="6236" w:type="dxa"/>
            <w:tcBorders>
              <w:bottom w:val="nil"/>
            </w:tcBorders>
          </w:tcPr>
          <w:p>
            <w:pPr>
              <w:pStyle w:val="0"/>
            </w:pPr>
            <w:r>
              <w:rPr>
                <w:sz w:val="20"/>
              </w:rPr>
              <w:t xml:space="preserve">Государственная информационная система Московской области "Инвестиционный портал Московской области"</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142"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22.05.2023 N 315-ПП)</w:t>
            </w:r>
          </w:p>
        </w:tc>
      </w:tr>
      <w:tr>
        <w:tblPrEx>
          <w:tblBorders>
            <w:insideH w:val="nil"/>
          </w:tblBorders>
        </w:tblPrEx>
        <w:tc>
          <w:tcPr>
            <w:tcW w:w="2835" w:type="dxa"/>
            <w:tcBorders>
              <w:bottom w:val="nil"/>
            </w:tcBorders>
          </w:tcPr>
          <w:p>
            <w:pPr>
              <w:pStyle w:val="0"/>
            </w:pPr>
            <w:r>
              <w:rPr>
                <w:sz w:val="20"/>
              </w:rPr>
              <w:t xml:space="preserve">Офшорная компания</w:t>
            </w:r>
          </w:p>
        </w:tc>
        <w:tc>
          <w:tcPr>
            <w:tcW w:w="6236" w:type="dxa"/>
            <w:tcBorders>
              <w:bottom w:val="nil"/>
            </w:tcBorders>
          </w:tcPr>
          <w:p>
            <w:pPr>
              <w:pStyle w:val="0"/>
            </w:pPr>
            <w:r>
              <w:rPr>
                <w:sz w:val="20"/>
              </w:rPr>
              <w:t xml:space="preserve">Иностранное юридическое лицо,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3" w:tooltip="Постановление Правительства МО от 25.03.2024 N 26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25.03.2024 N 264-ПП)</w:t>
            </w:r>
          </w:p>
        </w:tc>
      </w:tr>
      <w:tr>
        <w:tblPrEx>
          <w:tblBorders>
            <w:insideH w:val="nil"/>
          </w:tblBorders>
        </w:tblPrEx>
        <w:tc>
          <w:tcPr>
            <w:tcW w:w="2835" w:type="dxa"/>
            <w:tcBorders>
              <w:bottom w:val="nil"/>
            </w:tcBorders>
          </w:tcPr>
          <w:p>
            <w:pPr>
              <w:pStyle w:val="0"/>
            </w:pPr>
            <w:r>
              <w:rPr>
                <w:sz w:val="20"/>
              </w:rPr>
              <w:t xml:space="preserve">Справка об отсутствии сведений в РДЛ</w:t>
            </w:r>
          </w:p>
        </w:tc>
        <w:tc>
          <w:tcPr>
            <w:tcW w:w="6236" w:type="dxa"/>
            <w:tcBorders>
              <w:bottom w:val="nil"/>
            </w:tcBorders>
          </w:tcPr>
          <w:p>
            <w:pPr>
              <w:pStyle w:val="0"/>
            </w:pPr>
            <w:hyperlink w:history="0" r:id="rId144" w:tooltip="Приказ ФНС России от 31.12.2014 N НД-7-14/700@ &quot;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quot; (Зарегистрировано в Минюсте России 08.05.2015 N 37188) {КонсультантПлюс}">
              <w:r>
                <w:rPr>
                  <w:sz w:val="20"/>
                  <w:color w:val="0000ff"/>
                </w:rPr>
                <w:t xml:space="preserve">Справка</w:t>
              </w:r>
            </w:hyperlink>
            <w:r>
              <w:rPr>
                <w:sz w:val="20"/>
              </w:rPr>
              <w:t xml:space="preserve"> об отсутствии сведений в реестре дисквалифицированных лиц в соответствии с формой, утвержденной приказом ФНС от 31.12.2014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145"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22.05.2023 N 315-ПП)</w:t>
            </w:r>
          </w:p>
        </w:tc>
      </w:tr>
      <w:tr>
        <w:tblPrEx>
          <w:tblBorders>
            <w:insideH w:val="nil"/>
          </w:tblBorders>
        </w:tblPrEx>
        <w:tc>
          <w:tcPr>
            <w:tcW w:w="2835" w:type="dxa"/>
            <w:tcBorders>
              <w:bottom w:val="nil"/>
            </w:tcBorders>
          </w:tcPr>
          <w:p>
            <w:pPr>
              <w:pStyle w:val="0"/>
            </w:pPr>
            <w:r>
              <w:rPr>
                <w:sz w:val="20"/>
              </w:rPr>
              <w:t xml:space="preserve">УЗПП МО</w:t>
            </w:r>
          </w:p>
        </w:tc>
        <w:tc>
          <w:tcPr>
            <w:tcW w:w="6236" w:type="dxa"/>
            <w:tcBorders>
              <w:bottom w:val="nil"/>
            </w:tcBorders>
          </w:tcPr>
          <w:p>
            <w:pPr>
              <w:pStyle w:val="0"/>
            </w:pPr>
            <w:r>
              <w:rPr>
                <w:sz w:val="20"/>
              </w:rPr>
              <w:t xml:space="preserve">Государственный орган Московской области "Уполномоченный по защите прав предпринимателей в Московской области и его Аппарат"</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146"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31.10.2023 N 1003-ПП)</w:t>
            </w:r>
          </w:p>
        </w:tc>
      </w:tr>
      <w:tr>
        <w:tblPrEx>
          <w:tblBorders>
            <w:insideH w:val="nil"/>
          </w:tblBorders>
        </w:tblPrEx>
        <w:tc>
          <w:tcPr>
            <w:tcW w:w="2835" w:type="dxa"/>
            <w:tcBorders>
              <w:bottom w:val="nil"/>
            </w:tcBorders>
          </w:tcPr>
          <w:p>
            <w:pPr>
              <w:pStyle w:val="0"/>
            </w:pPr>
            <w:r>
              <w:rPr>
                <w:sz w:val="20"/>
              </w:rPr>
              <w:t xml:space="preserve">подсистема исполнения ГИС РЭБ МО</w:t>
            </w:r>
          </w:p>
        </w:tc>
        <w:tc>
          <w:tcPr>
            <w:tcW w:w="6236" w:type="dxa"/>
            <w:tcBorders>
              <w:bottom w:val="nil"/>
            </w:tcBorders>
          </w:tcPr>
          <w:p>
            <w:pPr>
              <w:pStyle w:val="0"/>
            </w:pPr>
            <w:r>
              <w:rPr>
                <w:sz w:val="20"/>
              </w:rPr>
              <w:t xml:space="preserve">подсистема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147" w:tooltip="Постановление Правительства МО от 21.11.2024 N 1407-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21.11.2024 N 1407-ПП)</w:t>
            </w:r>
          </w:p>
        </w:tc>
      </w:tr>
    </w:tbl>
    <w:p>
      <w:pPr>
        <w:pStyle w:val="0"/>
        <w:jc w:val="both"/>
      </w:pPr>
      <w:r>
        <w:rPr>
          <w:sz w:val="20"/>
        </w:rPr>
      </w:r>
    </w:p>
    <w:bookmarkStart w:id="207" w:name="P207"/>
    <w:bookmarkEnd w:id="207"/>
    <w:p>
      <w:pPr>
        <w:pStyle w:val="2"/>
        <w:outlineLvl w:val="1"/>
        <w:jc w:val="center"/>
      </w:pPr>
      <w:r>
        <w:rPr>
          <w:sz w:val="20"/>
        </w:rPr>
        <w:t xml:space="preserve">1. Паспорт государственной программы Московской области</w:t>
      </w:r>
    </w:p>
    <w:p>
      <w:pPr>
        <w:pStyle w:val="2"/>
        <w:jc w:val="center"/>
      </w:pPr>
      <w:r>
        <w:rPr>
          <w:sz w:val="20"/>
        </w:rPr>
        <w:t xml:space="preserve">"Предпринимательство Подмосковья"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89"/>
        <w:gridCol w:w="2551"/>
        <w:gridCol w:w="1707"/>
        <w:gridCol w:w="1708"/>
        <w:gridCol w:w="1708"/>
        <w:gridCol w:w="1708"/>
        <w:gridCol w:w="1994"/>
      </w:tblGrid>
      <w:tr>
        <w:tc>
          <w:tcPr>
            <w:tcW w:w="3889" w:type="dxa"/>
          </w:tcPr>
          <w:p>
            <w:pPr>
              <w:pStyle w:val="0"/>
            </w:pPr>
            <w:r>
              <w:rPr>
                <w:sz w:val="20"/>
              </w:rPr>
              <w:t xml:space="preserve">Координатор государственной программы</w:t>
            </w:r>
          </w:p>
        </w:tc>
        <w:tc>
          <w:tcPr>
            <w:gridSpan w:val="6"/>
            <w:tcW w:w="11376" w:type="dxa"/>
          </w:tcPr>
          <w:p>
            <w:pPr>
              <w:pStyle w:val="0"/>
            </w:pPr>
            <w:r>
              <w:rPr>
                <w:sz w:val="20"/>
              </w:rPr>
              <w:t xml:space="preserve">Заместитель Председателя Правительства Московской области - министр инвестиций, промышленности и науки Московской области Е.А. Зиновьева</w:t>
            </w:r>
          </w:p>
        </w:tc>
      </w:tr>
      <w:tr>
        <w:tc>
          <w:tcPr>
            <w:tcW w:w="3889" w:type="dxa"/>
          </w:tcPr>
          <w:p>
            <w:pPr>
              <w:pStyle w:val="0"/>
            </w:pPr>
            <w:r>
              <w:rPr>
                <w:sz w:val="20"/>
              </w:rPr>
              <w:t xml:space="preserve">Государственный заказчик программы</w:t>
            </w:r>
          </w:p>
        </w:tc>
        <w:tc>
          <w:tcPr>
            <w:gridSpan w:val="6"/>
            <w:tcW w:w="11376" w:type="dxa"/>
          </w:tcPr>
          <w:p>
            <w:pPr>
              <w:pStyle w:val="0"/>
            </w:pPr>
            <w:r>
              <w:rPr>
                <w:sz w:val="20"/>
              </w:rPr>
              <w:t xml:space="preserve">Мининвест Московской области</w:t>
            </w:r>
          </w:p>
        </w:tc>
      </w:tr>
      <w:tr>
        <w:tc>
          <w:tcPr>
            <w:tcW w:w="3889" w:type="dxa"/>
          </w:tcPr>
          <w:p>
            <w:pPr>
              <w:pStyle w:val="0"/>
            </w:pPr>
            <w:r>
              <w:rPr>
                <w:sz w:val="20"/>
              </w:rPr>
              <w:t xml:space="preserve">Цели государственной программы</w:t>
            </w:r>
          </w:p>
        </w:tc>
        <w:tc>
          <w:tcPr>
            <w:gridSpan w:val="6"/>
            <w:tcW w:w="11376" w:type="dxa"/>
          </w:tcPr>
          <w:p>
            <w:pPr>
              <w:pStyle w:val="0"/>
            </w:pPr>
            <w:r>
              <w:rPr>
                <w:sz w:val="20"/>
              </w:rPr>
              <w:t xml:space="preserve">Достижение устойчиво высоких темпов экономического роста, обеспечивающих повышение уровня жизни жителей Подмосковья</w:t>
            </w:r>
          </w:p>
        </w:tc>
      </w:tr>
      <w:tr>
        <w:tc>
          <w:tcPr>
            <w:tcW w:w="3889" w:type="dxa"/>
          </w:tcPr>
          <w:p>
            <w:pPr>
              <w:pStyle w:val="0"/>
            </w:pPr>
            <w:r>
              <w:rPr>
                <w:sz w:val="20"/>
              </w:rPr>
              <w:t xml:space="preserve">Перечень подпрограмм</w:t>
            </w:r>
          </w:p>
        </w:tc>
        <w:tc>
          <w:tcPr>
            <w:gridSpan w:val="6"/>
            <w:tcW w:w="11376" w:type="dxa"/>
          </w:tcPr>
          <w:p>
            <w:pPr>
              <w:pStyle w:val="0"/>
            </w:pPr>
            <w:r>
              <w:rPr>
                <w:sz w:val="20"/>
              </w:rPr>
              <w:t xml:space="preserve">Государственные заказчики подпрограмм</w:t>
            </w:r>
          </w:p>
        </w:tc>
      </w:tr>
      <w:tr>
        <w:tc>
          <w:tcPr>
            <w:tcW w:w="3889" w:type="dxa"/>
          </w:tcPr>
          <w:p>
            <w:pPr>
              <w:pStyle w:val="0"/>
            </w:pPr>
            <w:r>
              <w:rPr>
                <w:sz w:val="20"/>
              </w:rPr>
              <w:t xml:space="preserve">1. Инвестиции в Подмосковье (далее - Подпрограмма 1)</w:t>
            </w:r>
          </w:p>
        </w:tc>
        <w:tc>
          <w:tcPr>
            <w:gridSpan w:val="6"/>
            <w:tcW w:w="11376" w:type="dxa"/>
          </w:tcPr>
          <w:p>
            <w:pPr>
              <w:pStyle w:val="0"/>
            </w:pPr>
            <w:r>
              <w:rPr>
                <w:sz w:val="20"/>
              </w:rPr>
              <w:t xml:space="preserve">Мининвест Московской области</w:t>
            </w:r>
          </w:p>
        </w:tc>
      </w:tr>
      <w:tr>
        <w:tc>
          <w:tcPr>
            <w:tcW w:w="3889" w:type="dxa"/>
          </w:tcPr>
          <w:p>
            <w:pPr>
              <w:pStyle w:val="0"/>
            </w:pPr>
            <w:r>
              <w:rPr>
                <w:sz w:val="20"/>
              </w:rPr>
              <w:t xml:space="preserve">2. Развитие конкуренции в Московской области (далее - Подпрограмма 2)</w:t>
            </w:r>
          </w:p>
        </w:tc>
        <w:tc>
          <w:tcPr>
            <w:gridSpan w:val="6"/>
            <w:tcW w:w="11376" w:type="dxa"/>
          </w:tcPr>
          <w:p>
            <w:pPr>
              <w:pStyle w:val="0"/>
            </w:pPr>
            <w:r>
              <w:rPr>
                <w:sz w:val="20"/>
              </w:rPr>
              <w:t xml:space="preserve">Комитет по конкурентной политике Московской области</w:t>
            </w:r>
          </w:p>
        </w:tc>
      </w:tr>
      <w:tr>
        <w:tc>
          <w:tcPr>
            <w:tcW w:w="3889" w:type="dxa"/>
          </w:tcPr>
          <w:p>
            <w:pPr>
              <w:pStyle w:val="0"/>
            </w:pPr>
            <w:r>
              <w:rPr>
                <w:sz w:val="20"/>
              </w:rPr>
              <w:t xml:space="preserve">3. Развитие малого и среднего предпринимательства в Московской области (далее - Подпрограмма 3)</w:t>
            </w:r>
          </w:p>
        </w:tc>
        <w:tc>
          <w:tcPr>
            <w:gridSpan w:val="6"/>
            <w:tcW w:w="11376" w:type="dxa"/>
          </w:tcPr>
          <w:p>
            <w:pPr>
              <w:pStyle w:val="0"/>
            </w:pPr>
            <w:r>
              <w:rPr>
                <w:sz w:val="20"/>
              </w:rPr>
              <w:t xml:space="preserve">Мининвест Московской области</w:t>
            </w:r>
          </w:p>
        </w:tc>
      </w:tr>
      <w:tr>
        <w:tc>
          <w:tcPr>
            <w:tcW w:w="3889" w:type="dxa"/>
          </w:tcPr>
          <w:p>
            <w:pPr>
              <w:pStyle w:val="0"/>
            </w:pPr>
            <w:r>
              <w:rPr>
                <w:sz w:val="20"/>
              </w:rPr>
              <w:t xml:space="preserve">4. Развитие потребительского рынка и услуг на территории Московской области (далее - Подпрограмма 4)</w:t>
            </w:r>
          </w:p>
        </w:tc>
        <w:tc>
          <w:tcPr>
            <w:gridSpan w:val="6"/>
            <w:tcW w:w="11376" w:type="dxa"/>
          </w:tcPr>
          <w:p>
            <w:pPr>
              <w:pStyle w:val="0"/>
            </w:pPr>
            <w:r>
              <w:rPr>
                <w:sz w:val="20"/>
              </w:rPr>
              <w:t xml:space="preserve">Минсельхозпрод Московской области</w:t>
            </w:r>
          </w:p>
        </w:tc>
      </w:tr>
      <w:tr>
        <w:tc>
          <w:tcPr>
            <w:tcW w:w="3889" w:type="dxa"/>
          </w:tcPr>
          <w:p>
            <w:pPr>
              <w:pStyle w:val="0"/>
            </w:pPr>
            <w:r>
              <w:rPr>
                <w:sz w:val="20"/>
              </w:rPr>
              <w:t xml:space="preserve">5. Обеспечивающая подпрограмма (далее - Подпрограмма 5)</w:t>
            </w:r>
          </w:p>
        </w:tc>
        <w:tc>
          <w:tcPr>
            <w:gridSpan w:val="6"/>
            <w:tcW w:w="11376" w:type="dxa"/>
          </w:tcPr>
          <w:p>
            <w:pPr>
              <w:pStyle w:val="0"/>
            </w:pPr>
            <w:r>
              <w:rPr>
                <w:sz w:val="20"/>
              </w:rPr>
              <w:t xml:space="preserve">Мининвест Московской области</w:t>
            </w:r>
          </w:p>
        </w:tc>
      </w:tr>
      <w:tr>
        <w:tc>
          <w:tcPr>
            <w:tcW w:w="3889" w:type="dxa"/>
            <w:vMerge w:val="restart"/>
          </w:tcPr>
          <w:p>
            <w:pPr>
              <w:pStyle w:val="0"/>
            </w:pPr>
            <w:r>
              <w:rPr>
                <w:sz w:val="20"/>
              </w:rPr>
              <w:t xml:space="preserve">Краткая характеристика подпрограмм</w:t>
            </w:r>
          </w:p>
        </w:tc>
        <w:tc>
          <w:tcPr>
            <w:gridSpan w:val="6"/>
            <w:tcW w:w="11376" w:type="dxa"/>
          </w:tcPr>
          <w:p>
            <w:pPr>
              <w:pStyle w:val="0"/>
            </w:pPr>
            <w:r>
              <w:rPr>
                <w:sz w:val="20"/>
              </w:rPr>
              <w:t xml:space="preserve">1. Создание благоприятного инвестиционного климата, продвижение инвестиционного потенциала Московской области</w:t>
            </w:r>
          </w:p>
        </w:tc>
      </w:tr>
      <w:tr>
        <w:tc>
          <w:tcPr>
            <w:vMerge w:val="continue"/>
          </w:tcPr>
          <w:p/>
        </w:tc>
        <w:tc>
          <w:tcPr>
            <w:gridSpan w:val="6"/>
            <w:tcW w:w="11376" w:type="dxa"/>
          </w:tcPr>
          <w:p>
            <w:pPr>
              <w:pStyle w:val="0"/>
            </w:pPr>
            <w:r>
              <w:rPr>
                <w:sz w:val="20"/>
              </w:rPr>
              <w:t xml:space="preserve">2. Развитие конкуренции, повышение эффективности, результативности контрактной системы в сфере закупок и закупок, осуществляемых отдельными видами юридических лиц</w:t>
            </w:r>
          </w:p>
        </w:tc>
      </w:tr>
      <w:tr>
        <w:tc>
          <w:tcPr>
            <w:vMerge w:val="continue"/>
          </w:tcPr>
          <w:p/>
        </w:tc>
        <w:tc>
          <w:tcPr>
            <w:gridSpan w:val="6"/>
            <w:tcW w:w="11376" w:type="dxa"/>
          </w:tcPr>
          <w:p>
            <w:pPr>
              <w:pStyle w:val="0"/>
            </w:pPr>
            <w:r>
              <w:rPr>
                <w:sz w:val="20"/>
              </w:rPr>
              <w:t xml:space="preserve">3. Реализация механизмов государственной поддержки субъектов малого и среднего предпринимательства</w:t>
            </w:r>
          </w:p>
        </w:tc>
      </w:tr>
      <w:tr>
        <w:tc>
          <w:tcPr>
            <w:vMerge w:val="continue"/>
          </w:tcPr>
          <w:p/>
        </w:tc>
        <w:tc>
          <w:tcPr>
            <w:gridSpan w:val="6"/>
            <w:tcW w:w="11376" w:type="dxa"/>
          </w:tcPr>
          <w:p>
            <w:pPr>
              <w:pStyle w:val="0"/>
            </w:pPr>
            <w:r>
              <w:rPr>
                <w:sz w:val="20"/>
              </w:rPr>
              <w:t xml:space="preserve">4. Развитие потребительского рынка Подмосковья путем реализации мероприятий по созданию благоприятных условий для развития оптовой и розничной торговли, сферы общественного питания и сферы бытовых услуг</w:t>
            </w:r>
          </w:p>
        </w:tc>
      </w:tr>
      <w:tr>
        <w:tc>
          <w:tcPr>
            <w:vMerge w:val="continue"/>
          </w:tcPr>
          <w:p/>
        </w:tc>
        <w:tc>
          <w:tcPr>
            <w:gridSpan w:val="6"/>
            <w:tcW w:w="11376" w:type="dxa"/>
          </w:tcPr>
          <w:p>
            <w:pPr>
              <w:pStyle w:val="0"/>
            </w:pPr>
            <w:r>
              <w:rPr>
                <w:sz w:val="20"/>
              </w:rPr>
              <w:t xml:space="preserve">5. Обеспечение эффективного выполнения полномочий органов государственной власти Московской области и функционирования подведомственных учреждений</w:t>
            </w:r>
          </w:p>
        </w:tc>
      </w:tr>
      <w:tr>
        <w:tblPrEx>
          <w:tblBorders>
            <w:insideH w:val="nil"/>
          </w:tblBorders>
        </w:tblPrEx>
        <w:tc>
          <w:tcPr>
            <w:gridSpan w:val="7"/>
            <w:tcW w:w="15265"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МО от 08.10.2024 </w:t>
                  </w:r>
                  <w:hyperlink w:history="0" r:id="rId150"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и от 25.12.2024 </w:t>
                  </w:r>
                  <w:hyperlink w:history="0" r:id="rId151"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 в позицию "Источники финансирования" одновременно внесены изменения. Редакция позиции "Источники финансирования" с изменениями, внесенными </w:t>
                  </w:r>
                  <w:hyperlink w:history="0" r:id="rId15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color w:val="392c69"/>
                    </w:rPr>
                    <w:t xml:space="preserve"> 25.12.2024 N 1684-ПП,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3889" w:type="dxa"/>
            <w:tcBorders>
              <w:top w:val="nil"/>
            </w:tcBorders>
          </w:tcPr>
          <w:p>
            <w:pPr>
              <w:pStyle w:val="0"/>
            </w:pPr>
            <w:r>
              <w:rPr>
                <w:sz w:val="20"/>
              </w:rPr>
              <w:t xml:space="preserve">Источники финансирования государственной программы,</w:t>
            </w:r>
          </w:p>
          <w:p>
            <w:pPr>
              <w:pStyle w:val="0"/>
            </w:pPr>
            <w:r>
              <w:rPr>
                <w:sz w:val="20"/>
              </w:rPr>
              <w:t xml:space="preserve">в том числе по годам реализации программы (тыс. руб.):</w:t>
            </w:r>
          </w:p>
        </w:tc>
        <w:tc>
          <w:tcPr>
            <w:tcW w:w="2551" w:type="dxa"/>
            <w:tcBorders>
              <w:top w:val="nil"/>
            </w:tcBorders>
          </w:tcPr>
          <w:p>
            <w:pPr>
              <w:pStyle w:val="0"/>
            </w:pPr>
            <w:r>
              <w:rPr>
                <w:sz w:val="20"/>
              </w:rPr>
              <w:t xml:space="preserve">Всего</w:t>
            </w:r>
          </w:p>
        </w:tc>
        <w:tc>
          <w:tcPr>
            <w:tcW w:w="1707" w:type="dxa"/>
            <w:tcBorders>
              <w:top w:val="nil"/>
            </w:tcBorders>
          </w:tcPr>
          <w:p>
            <w:pPr>
              <w:pStyle w:val="0"/>
            </w:pPr>
            <w:r>
              <w:rPr>
                <w:sz w:val="20"/>
              </w:rPr>
              <w:t xml:space="preserve">2023 год</w:t>
            </w:r>
          </w:p>
        </w:tc>
        <w:tc>
          <w:tcPr>
            <w:tcW w:w="1708" w:type="dxa"/>
            <w:tcBorders>
              <w:top w:val="nil"/>
            </w:tcBorders>
          </w:tcPr>
          <w:p>
            <w:pPr>
              <w:pStyle w:val="0"/>
            </w:pPr>
            <w:r>
              <w:rPr>
                <w:sz w:val="20"/>
              </w:rPr>
              <w:t xml:space="preserve">2024 год</w:t>
            </w:r>
          </w:p>
        </w:tc>
        <w:tc>
          <w:tcPr>
            <w:tcW w:w="1708" w:type="dxa"/>
            <w:tcBorders>
              <w:top w:val="nil"/>
            </w:tcBorders>
          </w:tcPr>
          <w:p>
            <w:pPr>
              <w:pStyle w:val="0"/>
            </w:pPr>
            <w:r>
              <w:rPr>
                <w:sz w:val="20"/>
              </w:rPr>
              <w:t xml:space="preserve">2025 год</w:t>
            </w:r>
          </w:p>
        </w:tc>
        <w:tc>
          <w:tcPr>
            <w:tcW w:w="1708" w:type="dxa"/>
            <w:tcBorders>
              <w:top w:val="nil"/>
            </w:tcBorders>
          </w:tcPr>
          <w:p>
            <w:pPr>
              <w:pStyle w:val="0"/>
            </w:pPr>
            <w:r>
              <w:rPr>
                <w:sz w:val="20"/>
              </w:rPr>
              <w:t xml:space="preserve">2026 год</w:t>
            </w:r>
          </w:p>
        </w:tc>
        <w:tc>
          <w:tcPr>
            <w:tcW w:w="1994" w:type="dxa"/>
            <w:tcBorders>
              <w:top w:val="nil"/>
            </w:tcBorders>
          </w:tcPr>
          <w:p>
            <w:pPr>
              <w:pStyle w:val="0"/>
            </w:pPr>
            <w:r>
              <w:rPr>
                <w:sz w:val="20"/>
              </w:rPr>
              <w:t xml:space="preserve">2027 год</w:t>
            </w:r>
          </w:p>
        </w:tc>
      </w:tr>
      <w:tr>
        <w:tc>
          <w:tcPr>
            <w:tcW w:w="3889" w:type="dxa"/>
          </w:tcPr>
          <w:p>
            <w:pPr>
              <w:pStyle w:val="0"/>
            </w:pPr>
            <w:r>
              <w:rPr>
                <w:sz w:val="20"/>
              </w:rPr>
              <w:t xml:space="preserve">Средства бюджета Московской области</w:t>
            </w:r>
          </w:p>
        </w:tc>
        <w:tc>
          <w:tcPr>
            <w:tcW w:w="2551" w:type="dxa"/>
          </w:tcPr>
          <w:p>
            <w:pPr>
              <w:pStyle w:val="0"/>
            </w:pPr>
            <w:r>
              <w:rPr>
                <w:sz w:val="20"/>
              </w:rPr>
              <w:t xml:space="preserve">75234941,00</w:t>
            </w:r>
          </w:p>
        </w:tc>
        <w:tc>
          <w:tcPr>
            <w:tcW w:w="1707" w:type="dxa"/>
          </w:tcPr>
          <w:p>
            <w:pPr>
              <w:pStyle w:val="0"/>
            </w:pPr>
            <w:r>
              <w:rPr>
                <w:sz w:val="20"/>
              </w:rPr>
              <w:t xml:space="preserve">10571163,00</w:t>
            </w:r>
          </w:p>
        </w:tc>
        <w:tc>
          <w:tcPr>
            <w:tcW w:w="1708" w:type="dxa"/>
          </w:tcPr>
          <w:p>
            <w:pPr>
              <w:pStyle w:val="0"/>
            </w:pPr>
            <w:r>
              <w:rPr>
                <w:sz w:val="20"/>
              </w:rPr>
              <w:t xml:space="preserve">18125326,00</w:t>
            </w:r>
          </w:p>
        </w:tc>
        <w:tc>
          <w:tcPr>
            <w:tcW w:w="1708" w:type="dxa"/>
          </w:tcPr>
          <w:p>
            <w:pPr>
              <w:pStyle w:val="0"/>
            </w:pPr>
            <w:r>
              <w:rPr>
                <w:sz w:val="20"/>
              </w:rPr>
              <w:t xml:space="preserve">23616982,00</w:t>
            </w:r>
          </w:p>
        </w:tc>
        <w:tc>
          <w:tcPr>
            <w:tcW w:w="1708" w:type="dxa"/>
          </w:tcPr>
          <w:p>
            <w:pPr>
              <w:pStyle w:val="0"/>
            </w:pPr>
            <w:r>
              <w:rPr>
                <w:sz w:val="20"/>
              </w:rPr>
              <w:t xml:space="preserve">15389309,00</w:t>
            </w:r>
          </w:p>
        </w:tc>
        <w:tc>
          <w:tcPr>
            <w:tcW w:w="1994" w:type="dxa"/>
          </w:tcPr>
          <w:p>
            <w:pPr>
              <w:pStyle w:val="0"/>
            </w:pPr>
            <w:r>
              <w:rPr>
                <w:sz w:val="20"/>
              </w:rPr>
              <w:t xml:space="preserve">7532161,00</w:t>
            </w:r>
          </w:p>
        </w:tc>
      </w:tr>
      <w:tr>
        <w:tc>
          <w:tcPr>
            <w:tcW w:w="3889" w:type="dxa"/>
          </w:tcPr>
          <w:p>
            <w:pPr>
              <w:pStyle w:val="0"/>
            </w:pPr>
            <w:r>
              <w:rPr>
                <w:sz w:val="20"/>
              </w:rPr>
              <w:t xml:space="preserve">Средства федерального бюджета</w:t>
            </w:r>
          </w:p>
        </w:tc>
        <w:tc>
          <w:tcPr>
            <w:tcW w:w="2551" w:type="dxa"/>
          </w:tcPr>
          <w:p>
            <w:pPr>
              <w:pStyle w:val="0"/>
            </w:pPr>
            <w:r>
              <w:rPr>
                <w:sz w:val="20"/>
              </w:rPr>
              <w:t xml:space="preserve">1853548,00</w:t>
            </w:r>
          </w:p>
        </w:tc>
        <w:tc>
          <w:tcPr>
            <w:tcW w:w="1707" w:type="dxa"/>
          </w:tcPr>
          <w:p>
            <w:pPr>
              <w:pStyle w:val="0"/>
            </w:pPr>
            <w:r>
              <w:rPr>
                <w:sz w:val="20"/>
              </w:rPr>
              <w:t xml:space="preserve">677554,00</w:t>
            </w:r>
          </w:p>
        </w:tc>
        <w:tc>
          <w:tcPr>
            <w:tcW w:w="1708" w:type="dxa"/>
          </w:tcPr>
          <w:p>
            <w:pPr>
              <w:pStyle w:val="0"/>
            </w:pPr>
            <w:r>
              <w:rPr>
                <w:sz w:val="20"/>
              </w:rPr>
              <w:t xml:space="preserve">492649,00</w:t>
            </w:r>
          </w:p>
        </w:tc>
        <w:tc>
          <w:tcPr>
            <w:tcW w:w="1708" w:type="dxa"/>
          </w:tcPr>
          <w:p>
            <w:pPr>
              <w:pStyle w:val="0"/>
            </w:pPr>
            <w:r>
              <w:rPr>
                <w:sz w:val="20"/>
              </w:rPr>
              <w:t xml:space="preserve">305739,00</w:t>
            </w:r>
          </w:p>
        </w:tc>
        <w:tc>
          <w:tcPr>
            <w:tcW w:w="1708" w:type="dxa"/>
          </w:tcPr>
          <w:p>
            <w:pPr>
              <w:pStyle w:val="0"/>
            </w:pPr>
            <w:r>
              <w:rPr>
                <w:sz w:val="20"/>
              </w:rPr>
              <w:t xml:space="preserve">189740,00</w:t>
            </w:r>
          </w:p>
        </w:tc>
        <w:tc>
          <w:tcPr>
            <w:tcW w:w="1994" w:type="dxa"/>
          </w:tcPr>
          <w:p>
            <w:pPr>
              <w:pStyle w:val="0"/>
            </w:pPr>
            <w:r>
              <w:rPr>
                <w:sz w:val="20"/>
              </w:rPr>
              <w:t xml:space="preserve">187866,00</w:t>
            </w:r>
          </w:p>
        </w:tc>
      </w:tr>
      <w:tr>
        <w:tc>
          <w:tcPr>
            <w:tcW w:w="3889" w:type="dxa"/>
          </w:tcPr>
          <w:p>
            <w:pPr>
              <w:pStyle w:val="0"/>
            </w:pPr>
            <w:r>
              <w:rPr>
                <w:sz w:val="20"/>
              </w:rPr>
              <w:t xml:space="preserve">Средства бюджетов муниципальных образований Московской области</w:t>
            </w:r>
          </w:p>
        </w:tc>
        <w:tc>
          <w:tcPr>
            <w:tcW w:w="2551" w:type="dxa"/>
          </w:tcPr>
          <w:p>
            <w:pPr>
              <w:pStyle w:val="0"/>
            </w:pPr>
            <w:r>
              <w:rPr>
                <w:sz w:val="20"/>
              </w:rPr>
              <w:t xml:space="preserve">126693,60</w:t>
            </w:r>
          </w:p>
        </w:tc>
        <w:tc>
          <w:tcPr>
            <w:tcW w:w="1707" w:type="dxa"/>
          </w:tcPr>
          <w:p>
            <w:pPr>
              <w:pStyle w:val="0"/>
            </w:pPr>
            <w:r>
              <w:rPr>
                <w:sz w:val="20"/>
              </w:rPr>
              <w:t xml:space="preserve">38078,70</w:t>
            </w:r>
          </w:p>
        </w:tc>
        <w:tc>
          <w:tcPr>
            <w:tcW w:w="1708" w:type="dxa"/>
          </w:tcPr>
          <w:p>
            <w:pPr>
              <w:pStyle w:val="0"/>
            </w:pPr>
            <w:r>
              <w:rPr>
                <w:sz w:val="20"/>
              </w:rPr>
              <w:t xml:space="preserve">28619,20</w:t>
            </w:r>
          </w:p>
        </w:tc>
        <w:tc>
          <w:tcPr>
            <w:tcW w:w="1708" w:type="dxa"/>
          </w:tcPr>
          <w:p>
            <w:pPr>
              <w:pStyle w:val="0"/>
            </w:pPr>
            <w:r>
              <w:rPr>
                <w:sz w:val="20"/>
              </w:rPr>
              <w:t xml:space="preserve">28339,60</w:t>
            </w:r>
          </w:p>
        </w:tc>
        <w:tc>
          <w:tcPr>
            <w:tcW w:w="1708" w:type="dxa"/>
          </w:tcPr>
          <w:p>
            <w:pPr>
              <w:pStyle w:val="0"/>
            </w:pPr>
            <w:r>
              <w:rPr>
                <w:sz w:val="20"/>
              </w:rPr>
              <w:t xml:space="preserve">15655,20</w:t>
            </w:r>
          </w:p>
        </w:tc>
        <w:tc>
          <w:tcPr>
            <w:tcW w:w="1994" w:type="dxa"/>
          </w:tcPr>
          <w:p>
            <w:pPr>
              <w:pStyle w:val="0"/>
            </w:pPr>
            <w:r>
              <w:rPr>
                <w:sz w:val="20"/>
              </w:rPr>
              <w:t xml:space="preserve">16000,90</w:t>
            </w:r>
          </w:p>
        </w:tc>
      </w:tr>
      <w:tr>
        <w:tc>
          <w:tcPr>
            <w:tcW w:w="3889" w:type="dxa"/>
          </w:tcPr>
          <w:p>
            <w:pPr>
              <w:pStyle w:val="0"/>
            </w:pPr>
            <w:r>
              <w:rPr>
                <w:sz w:val="20"/>
              </w:rPr>
              <w:t xml:space="preserve">Внебюджетные средства</w:t>
            </w:r>
          </w:p>
        </w:tc>
        <w:tc>
          <w:tcPr>
            <w:tcW w:w="2551" w:type="dxa"/>
          </w:tcPr>
          <w:p>
            <w:pPr>
              <w:pStyle w:val="0"/>
            </w:pPr>
            <w:r>
              <w:rPr>
                <w:sz w:val="20"/>
              </w:rPr>
              <w:t xml:space="preserve">117317281,88</w:t>
            </w:r>
          </w:p>
        </w:tc>
        <w:tc>
          <w:tcPr>
            <w:tcW w:w="1707" w:type="dxa"/>
          </w:tcPr>
          <w:p>
            <w:pPr>
              <w:pStyle w:val="0"/>
            </w:pPr>
            <w:r>
              <w:rPr>
                <w:sz w:val="20"/>
              </w:rPr>
              <w:t xml:space="preserve">23691910,51</w:t>
            </w:r>
          </w:p>
        </w:tc>
        <w:tc>
          <w:tcPr>
            <w:tcW w:w="1708" w:type="dxa"/>
          </w:tcPr>
          <w:p>
            <w:pPr>
              <w:pStyle w:val="0"/>
            </w:pPr>
            <w:r>
              <w:rPr>
                <w:sz w:val="20"/>
              </w:rPr>
              <w:t xml:space="preserve">21725371,37</w:t>
            </w:r>
          </w:p>
        </w:tc>
        <w:tc>
          <w:tcPr>
            <w:tcW w:w="1708" w:type="dxa"/>
          </w:tcPr>
          <w:p>
            <w:pPr>
              <w:pStyle w:val="0"/>
            </w:pPr>
            <w:r>
              <w:rPr>
                <w:sz w:val="20"/>
              </w:rPr>
              <w:t xml:space="preserve">22500000,00</w:t>
            </w:r>
          </w:p>
        </w:tc>
        <w:tc>
          <w:tcPr>
            <w:tcW w:w="1708" w:type="dxa"/>
          </w:tcPr>
          <w:p>
            <w:pPr>
              <w:pStyle w:val="0"/>
            </w:pPr>
            <w:r>
              <w:rPr>
                <w:sz w:val="20"/>
              </w:rPr>
              <w:t xml:space="preserve">24200000,00</w:t>
            </w:r>
          </w:p>
        </w:tc>
        <w:tc>
          <w:tcPr>
            <w:tcW w:w="1994" w:type="dxa"/>
          </w:tcPr>
          <w:p>
            <w:pPr>
              <w:pStyle w:val="0"/>
            </w:pPr>
            <w:r>
              <w:rPr>
                <w:sz w:val="20"/>
              </w:rPr>
              <w:t xml:space="preserve">25200000,00</w:t>
            </w:r>
          </w:p>
        </w:tc>
      </w:tr>
      <w:tr>
        <w:tblPrEx>
          <w:tblBorders>
            <w:insideH w:val="nil"/>
          </w:tblBorders>
        </w:tblPrEx>
        <w:tc>
          <w:tcPr>
            <w:tcW w:w="3889" w:type="dxa"/>
            <w:tcBorders>
              <w:bottom w:val="nil"/>
            </w:tcBorders>
          </w:tcPr>
          <w:p>
            <w:pPr>
              <w:pStyle w:val="0"/>
            </w:pPr>
            <w:r>
              <w:rPr>
                <w:sz w:val="20"/>
              </w:rPr>
              <w:t xml:space="preserve">Всего, в том числе по годам:</w:t>
            </w:r>
          </w:p>
        </w:tc>
        <w:tc>
          <w:tcPr>
            <w:tcW w:w="2551" w:type="dxa"/>
            <w:tcBorders>
              <w:bottom w:val="nil"/>
            </w:tcBorders>
          </w:tcPr>
          <w:p>
            <w:pPr>
              <w:pStyle w:val="0"/>
            </w:pPr>
            <w:r>
              <w:rPr>
                <w:sz w:val="20"/>
              </w:rPr>
              <w:t xml:space="preserve">194532464,48</w:t>
            </w:r>
          </w:p>
        </w:tc>
        <w:tc>
          <w:tcPr>
            <w:tcW w:w="1707" w:type="dxa"/>
            <w:tcBorders>
              <w:bottom w:val="nil"/>
            </w:tcBorders>
          </w:tcPr>
          <w:p>
            <w:pPr>
              <w:pStyle w:val="0"/>
            </w:pPr>
            <w:r>
              <w:rPr>
                <w:sz w:val="20"/>
              </w:rPr>
              <w:t xml:space="preserve">34978706,21</w:t>
            </w:r>
          </w:p>
        </w:tc>
        <w:tc>
          <w:tcPr>
            <w:tcW w:w="1708" w:type="dxa"/>
            <w:tcBorders>
              <w:bottom w:val="nil"/>
            </w:tcBorders>
          </w:tcPr>
          <w:p>
            <w:pPr>
              <w:pStyle w:val="0"/>
            </w:pPr>
            <w:r>
              <w:rPr>
                <w:sz w:val="20"/>
              </w:rPr>
              <w:t xml:space="preserve">40371965,57</w:t>
            </w:r>
          </w:p>
        </w:tc>
        <w:tc>
          <w:tcPr>
            <w:tcW w:w="1708" w:type="dxa"/>
            <w:tcBorders>
              <w:bottom w:val="nil"/>
            </w:tcBorders>
          </w:tcPr>
          <w:p>
            <w:pPr>
              <w:pStyle w:val="0"/>
            </w:pPr>
            <w:r>
              <w:rPr>
                <w:sz w:val="20"/>
              </w:rPr>
              <w:t xml:space="preserve">46451060,60</w:t>
            </w:r>
          </w:p>
        </w:tc>
        <w:tc>
          <w:tcPr>
            <w:tcW w:w="1708" w:type="dxa"/>
            <w:tcBorders>
              <w:bottom w:val="nil"/>
            </w:tcBorders>
          </w:tcPr>
          <w:p>
            <w:pPr>
              <w:pStyle w:val="0"/>
            </w:pPr>
            <w:r>
              <w:rPr>
                <w:sz w:val="20"/>
              </w:rPr>
              <w:t xml:space="preserve">39794704,20</w:t>
            </w:r>
          </w:p>
        </w:tc>
        <w:tc>
          <w:tcPr>
            <w:tcW w:w="1994" w:type="dxa"/>
            <w:tcBorders>
              <w:bottom w:val="nil"/>
            </w:tcBorders>
          </w:tcPr>
          <w:p>
            <w:pPr>
              <w:pStyle w:val="0"/>
            </w:pPr>
            <w:r>
              <w:rPr>
                <w:sz w:val="20"/>
              </w:rPr>
              <w:t xml:space="preserve">32936027,90</w:t>
            </w:r>
          </w:p>
        </w:tc>
      </w:tr>
      <w:tr>
        <w:tblPrEx>
          <w:tblBorders>
            <w:insideH w:val="nil"/>
          </w:tblBorders>
        </w:tblPrEx>
        <w:tc>
          <w:tcPr>
            <w:gridSpan w:val="7"/>
            <w:tcW w:w="15265" w:type="dxa"/>
            <w:tcBorders>
              <w:top w:val="nil"/>
            </w:tcBorders>
          </w:tcPr>
          <w:p>
            <w:pPr>
              <w:pStyle w:val="0"/>
              <w:jc w:val="both"/>
            </w:pPr>
            <w:r>
              <w:rPr>
                <w:sz w:val="20"/>
              </w:rPr>
              <w:t xml:space="preserve">(в ред. </w:t>
            </w:r>
            <w:hyperlink w:history="0" r:id="rId15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bookmarkStart w:id="280" w:name="P280"/>
    <w:bookmarkEnd w:id="280"/>
    <w:p>
      <w:pPr>
        <w:pStyle w:val="2"/>
        <w:outlineLvl w:val="1"/>
        <w:jc w:val="center"/>
      </w:pPr>
      <w:r>
        <w:rPr>
          <w:sz w:val="20"/>
        </w:rPr>
        <w:t xml:space="preserve">2. Краткая характеристика сферы реализации государственной</w:t>
      </w:r>
    </w:p>
    <w:p>
      <w:pPr>
        <w:pStyle w:val="2"/>
        <w:jc w:val="center"/>
      </w:pPr>
      <w:r>
        <w:rPr>
          <w:sz w:val="20"/>
        </w:rPr>
        <w:t xml:space="preserve">программы, в том числе формулировка основных проблем</w:t>
      </w:r>
    </w:p>
    <w:p>
      <w:pPr>
        <w:pStyle w:val="2"/>
        <w:jc w:val="center"/>
      </w:pPr>
      <w:r>
        <w:rPr>
          <w:sz w:val="20"/>
        </w:rPr>
        <w:t xml:space="preserve">в указанной сфере, описание целей государственной программы</w:t>
      </w:r>
    </w:p>
    <w:p>
      <w:pPr>
        <w:pStyle w:val="0"/>
        <w:jc w:val="both"/>
      </w:pPr>
      <w:r>
        <w:rPr>
          <w:sz w:val="20"/>
        </w:rPr>
      </w:r>
    </w:p>
    <w:p>
      <w:pPr>
        <w:pStyle w:val="0"/>
        <w:ind w:firstLine="540"/>
        <w:jc w:val="both"/>
      </w:pPr>
      <w:r>
        <w:rPr>
          <w:sz w:val="20"/>
        </w:rPr>
        <w:t xml:space="preserve">Экономическое развитие территории напрямую связано с ростом уровня и качества жизни населения. 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pPr>
        <w:pStyle w:val="0"/>
        <w:spacing w:before="200" w:line-rule="auto"/>
        <w:ind w:firstLine="540"/>
        <w:jc w:val="both"/>
      </w:pPr>
      <w:r>
        <w:rPr>
          <w:sz w:val="20"/>
        </w:rPr>
        <w:t xml:space="preserve">Московская область является одним из наиболее экономически развитых регионов России. По ряду показателей Московская область занимает лидирующие места в рейтинге субъектов Российской Федерации. По итогам 2020 года объем валового регионального продукта региона (далее - ВРП) составил 5265,4 млрд рублей (2 место в Центральном федеральном округе), в пересчете на душу населения - 683,8 тыс. рублей.</w:t>
      </w:r>
    </w:p>
    <w:p>
      <w:pPr>
        <w:pStyle w:val="0"/>
        <w:spacing w:before="200" w:line-rule="auto"/>
        <w:ind w:firstLine="540"/>
        <w:jc w:val="both"/>
      </w:pPr>
      <w:r>
        <w:rPr>
          <w:sz w:val="20"/>
        </w:rPr>
        <w:t xml:space="preserve">Основу экономики составляет промышленность (23,1% ВРП), торговля (20,3% ВРП), деятельность по операциям с недвижимым имуществом (16,7% ВРП), деятельность, связанная с предоставлением деловых и финансовых услуг, включая научно-исследовательские и опытно-конструкторские работы, а также широкий спектр организационных и технических решений, направленных на квалифицированную поддержку в области информационных технологий (7,1% ВРП). По объему отгруженной промышленной продукции Московская область традиционно занимает лидирующие позиции. В 2021 году индекс промышленного производства составил 125,0%, отгружено промышленных товаров на сумму 4600,2 млрд рублей (4 место среди субъектов Российской Федерации).</w:t>
      </w:r>
    </w:p>
    <w:p>
      <w:pPr>
        <w:pStyle w:val="0"/>
        <w:spacing w:before="200" w:line-rule="auto"/>
        <w:ind w:firstLine="540"/>
        <w:jc w:val="both"/>
      </w:pPr>
      <w:r>
        <w:rPr>
          <w:sz w:val="20"/>
        </w:rPr>
        <w:t xml:space="preserve">В национальном рейтинге состояния инвестиционного климата в субъектах Российской Федерации Московская область поднялась в 2022 году с 7 места на 3. По итогам 2021 года объем инвестиций в основной капитал за счет всех источников финансирования вырос в сопоставимой оценке на 2,4% к уровню 2020 года и составил 1144,7 млрд рублей (2 место среди субъектов Российской Федерации). В ряд наиболее масштабных проектов по привлечению прямых инвестиций в приоритетные виды экономической деятельности входят особые экономические зоны. По их числу Московская область - лидер среди субъектов Российской Федерации (в регионе 3 зоны промышленно-производственного типа и 2 зоны технико-внедренческого типа). На решение проблемы снижения инвестиционной активности инвесторов, в том числе иностранных, направлено создание и развитие индустриальных парков - организованных промышленных территорий для размещения производств различной отраслевой направленности, позволяющих снижать затраты на общую инфраструктуру и избавляющих от непрофильной деятельности по строительству и обслуживанию коммунальных сетей. Размещая значительное количество крупных, средних и малых производств на универсальных инженерно-подготовленных площадках, индустриальные парки становятся промышленными и экономическими центрами притяжения инвестиций и развития новых территорий.</w:t>
      </w:r>
    </w:p>
    <w:p>
      <w:pPr>
        <w:pStyle w:val="0"/>
        <w:spacing w:before="200" w:line-rule="auto"/>
        <w:ind w:firstLine="540"/>
        <w:jc w:val="both"/>
      </w:pPr>
      <w:r>
        <w:rPr>
          <w:sz w:val="20"/>
        </w:rPr>
        <w:t xml:space="preserve">Особое место в социально-экономической сфере и производственно-отраслевой структуре Московской области занимает научная и опытно-конструкторская деятельность. В структуре ВРП региона внутренние затраты на исследования и разработки составляют 3,01%, что превышает среднероссийский уровень в 2,2 раза. Фундаментом научно-технологического развития Подмосковья являются наукограды - муниципальные образования, обладающие высоким научно-техническим потенциалом. Статус наукограда Российской Федерации присвоен 8 муниципальным образованиям Московской области (всего в стране 13 наукоградов). Реализация стратегий социально-экономического развития наукоградов, включая развитие инновационной инфраструктуры, повышение научной и инновационной активности организаций Московской области, формирование механизмов, обеспечивающих поддержку и коммерциализацию научных исследований и разработок, препятствуют оттоку научных кадров.</w:t>
      </w:r>
    </w:p>
    <w:p>
      <w:pPr>
        <w:pStyle w:val="0"/>
        <w:spacing w:before="200" w:line-rule="auto"/>
        <w:ind w:firstLine="540"/>
        <w:jc w:val="both"/>
      </w:pPr>
      <w:r>
        <w:rPr>
          <w:sz w:val="20"/>
        </w:rPr>
        <w:t xml:space="preserve">В рамках национальной цели по развитию экономики Российской Федерации и, в частности, Московской области на первый план выходит проблема производительности труда. Рост производительности труда обеспечивает увеличение дохода экономики региона и повышение ее конкурентоспособности, что, в свою очередь, способствует повышению уровня благосостояния граждан. Чем выше производительность труда, тем больше средств идет на финансирование социальных программ и проектов.</w:t>
      </w:r>
    </w:p>
    <w:p>
      <w:pPr>
        <w:pStyle w:val="0"/>
        <w:spacing w:before="200" w:line-rule="auto"/>
        <w:ind w:firstLine="540"/>
        <w:jc w:val="both"/>
      </w:pPr>
      <w:r>
        <w:rPr>
          <w:sz w:val="20"/>
        </w:rPr>
        <w:t xml:space="preserve">Ключевое значение в сфере обеспечения занятости населения, организации инновационных производств и бизнес-проектов, вклада в основные экономические показатели имеет малое и среднее предпринимательство (МСП). По итогам 2021 года Московская область занимает 3 место среди субъектов Российской Федерации по количеству субъектов МСП (131069 единиц), численность занятых в сфере МСП, включая индивидуальных предпринимателей и самозанятых, составляет 1590,9 тыс. человек, оборот малых и средних предприятий, включая микропредприятия, - 4169,6 млрд рублей. По-прежнему актуальной с точки зрения комплексного и интенсивного развития малого бизнеса в Подмосковье остается проблема ограниченного доступа субъектов МСП к финансовым ресурсам (сложность получения заемного финансирования и высокая стоимость банковских кредитов). На низком уровне находится доступность производственных площадей в связи с постоянно возрастающей стоимостью аренды.</w:t>
      </w:r>
    </w:p>
    <w:p>
      <w:pPr>
        <w:pStyle w:val="0"/>
        <w:spacing w:before="200" w:line-rule="auto"/>
        <w:ind w:firstLine="540"/>
        <w:jc w:val="both"/>
      </w:pPr>
      <w:r>
        <w:rPr>
          <w:sz w:val="20"/>
        </w:rPr>
        <w:t xml:space="preserve">Субъекты МСП традиционно обеспечивают развитие локальных рынков товаров и услуг. Московская область обладает вторым по емкости региональным потребительским рынком в Российской Федерации. По итогам 2021 года оборот розничной торговли в Московской области составил 3267,4 млрд рублей (2 место среди субъектов Российской Федерации), оборот оптовой торговли вырос на 15% и составил 9996,5 млрд рублей (3 место), объем платных услуг населению по сравнению с 2020 годом вырос в сопоставимой оценке на 18,8% (614,6 млрд рублей, 3 место среди субъектов Российской Федерации), оборот общественного питания составил 134,0 млрд рублей, что на 26,3% выше, чем в 2020 году. В сфере потребительского рынка и услуг Московской области значимы такие проблемы, как отсутствие правового регулирования дистанционной торговли, потребность в поиске альтернативных поставщиков и выстраивании новых цепочек поставок товаров, недостаточное количество мест для размещения нестационарных торговых объектов, торговых мест на ярмарках и розничных рынках, высокая степень дифференциации муниципальных образований Московской области по уровню обеспеченности предприятиями общественного питания и бытовых услуг, недостаточный уровень государственной поддержки секторов общественного питания и бытовых услуг в Московской области, наличие в регионе сельских населенных пунктов, не имеющих стационарных предприятий общественного питания и бытовых услуг, а также недостаточное количество предприятий общественного питания в формате нестационарных торговых объектов, соответствующих требованиям законодательства Российской Федерации, санитарным нормам и требованиям.</w:t>
      </w:r>
    </w:p>
    <w:p>
      <w:pPr>
        <w:pStyle w:val="0"/>
        <w:spacing w:before="200" w:line-rule="auto"/>
        <w:ind w:firstLine="540"/>
        <w:jc w:val="both"/>
      </w:pPr>
      <w:r>
        <w:rPr>
          <w:sz w:val="20"/>
        </w:rPr>
        <w:t xml:space="preserve">Приоритетным направлением экономики Московской области является развитие конкуренции. Осуществление закупок для обеспечения государственных нужд Московской области и муниципальных нужд муниципальных образований Московской области составляет значительный сегмент региональной экономики, воздействие на который позволяет способствовать развитию конкуренции в отраслях. Основная проблема заключается в принятии управленческих решений, направленных на развитие конкуренции на товарных рынках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в части ограничения (перераспределения) полномочий между федеральными органами государственной власти и органами государственной власти Московской области.</w:t>
      </w:r>
    </w:p>
    <w:p>
      <w:pPr>
        <w:pStyle w:val="0"/>
        <w:spacing w:before="200" w:line-rule="auto"/>
        <w:ind w:firstLine="540"/>
        <w:jc w:val="both"/>
      </w:pPr>
      <w:r>
        <w:rPr>
          <w:sz w:val="20"/>
        </w:rPr>
        <w:t xml:space="preserve">В рамках реализации государственной программы, направленной на достижение устойчиво высоких темпов экономического роста, обеспечивающих повышение уровня жизни жителей Подмосковья, механизмами решения поставленных задач должны стать модернизация и инновационное развитие экономики, улучшение условий ведения предпринимательской деятельности, создание и модернизация высокопроизводительных рабочих мест, развитие высокотехнологичных и наукоемких отраслей экономики, поддержка МСП, повышение социально-экономической эффективности потребительского рынка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pPr>
        <w:pStyle w:val="0"/>
        <w:jc w:val="both"/>
      </w:pPr>
      <w:r>
        <w:rPr>
          <w:sz w:val="20"/>
        </w:rPr>
      </w:r>
    </w:p>
    <w:p>
      <w:pPr>
        <w:pStyle w:val="2"/>
        <w:outlineLvl w:val="1"/>
        <w:jc w:val="center"/>
      </w:pPr>
      <w:r>
        <w:rPr>
          <w:sz w:val="20"/>
        </w:rPr>
        <w:t xml:space="preserve">3. Инерционный прогноз развития соответствующей сферы</w:t>
      </w:r>
    </w:p>
    <w:p>
      <w:pPr>
        <w:pStyle w:val="2"/>
        <w:jc w:val="center"/>
      </w:pPr>
      <w:r>
        <w:rPr>
          <w:sz w:val="20"/>
        </w:rPr>
        <w:t xml:space="preserve">реализации государственной программы с учетом ранее</w:t>
      </w:r>
    </w:p>
    <w:p>
      <w:pPr>
        <w:pStyle w:val="2"/>
        <w:jc w:val="center"/>
      </w:pPr>
      <w:r>
        <w:rPr>
          <w:sz w:val="20"/>
        </w:rPr>
        <w:t xml:space="preserve">достигнутых результатов, а также предложения по решению</w:t>
      </w:r>
    </w:p>
    <w:p>
      <w:pPr>
        <w:pStyle w:val="2"/>
        <w:jc w:val="center"/>
      </w:pPr>
      <w:r>
        <w:rPr>
          <w:sz w:val="20"/>
        </w:rPr>
        <w:t xml:space="preserve">проблем в указанной сфере</w:t>
      </w:r>
    </w:p>
    <w:p>
      <w:pPr>
        <w:pStyle w:val="0"/>
        <w:jc w:val="both"/>
      </w:pPr>
      <w:r>
        <w:rPr>
          <w:sz w:val="20"/>
        </w:rPr>
      </w:r>
    </w:p>
    <w:p>
      <w:pPr>
        <w:pStyle w:val="0"/>
        <w:ind w:firstLine="540"/>
        <w:jc w:val="both"/>
      </w:pPr>
      <w:r>
        <w:rPr>
          <w:sz w:val="20"/>
        </w:rPr>
        <w:t xml:space="preserve">За предыдущие годы реализации государственной программы Московской области "Предпринимательство Подмосковья" были достигнуты результаты, изложенные в </w:t>
      </w:r>
      <w:hyperlink w:history="0" w:anchor="P280" w:tooltip="2. Краткая характеристика сферы реализации государственной">
        <w:r>
          <w:rPr>
            <w:sz w:val="20"/>
            <w:color w:val="0000ff"/>
          </w:rPr>
          <w:t xml:space="preserve">разделе 2</w:t>
        </w:r>
      </w:hyperlink>
      <w:r>
        <w:rPr>
          <w:sz w:val="20"/>
        </w:rPr>
        <w:t xml:space="preserve"> государственной программы.</w:t>
      </w:r>
    </w:p>
    <w:p>
      <w:pPr>
        <w:pStyle w:val="0"/>
        <w:spacing w:before="200" w:line-rule="auto"/>
        <w:ind w:firstLine="540"/>
        <w:jc w:val="both"/>
      </w:pPr>
      <w:r>
        <w:rPr>
          <w:sz w:val="20"/>
        </w:rPr>
        <w:t xml:space="preserve">Отказ от дальнейшей реализации государственной программы приведет к инерционному сценарию развития, базирующемуся на экономической стагнации, усиленной влиянием ограничительных политических и экономических мер в отношении Российской Федерации, введенных государствами и международными организациями.</w:t>
      </w:r>
    </w:p>
    <w:p>
      <w:pPr>
        <w:pStyle w:val="0"/>
        <w:spacing w:before="200" w:line-rule="auto"/>
        <w:ind w:firstLine="540"/>
        <w:jc w:val="both"/>
      </w:pPr>
      <w:r>
        <w:rPr>
          <w:sz w:val="20"/>
        </w:rPr>
        <w:t xml:space="preserve">Для предотвращения инерционного сценария развития и решения ключевых проблем, перечисленных в </w:t>
      </w:r>
      <w:hyperlink w:history="0" w:anchor="P280" w:tooltip="2. Краткая характеристика сферы реализации государственной">
        <w:r>
          <w:rPr>
            <w:sz w:val="20"/>
            <w:color w:val="0000ff"/>
          </w:rPr>
          <w:t xml:space="preserve">разделе 2</w:t>
        </w:r>
      </w:hyperlink>
      <w:r>
        <w:rPr>
          <w:sz w:val="20"/>
        </w:rPr>
        <w:t xml:space="preserve"> государственной программы, необходимо обеспечить достижение запланированных результатов в сферах реализации государственной программы.</w:t>
      </w:r>
    </w:p>
    <w:p>
      <w:pPr>
        <w:pStyle w:val="0"/>
        <w:spacing w:before="200" w:line-rule="auto"/>
        <w:ind w:firstLine="540"/>
        <w:jc w:val="both"/>
      </w:pPr>
      <w:r>
        <w:rPr>
          <w:sz w:val="20"/>
        </w:rPr>
        <w:t xml:space="preserve">Государственная программа разработана в соответствии с указами Президента Российской Федерации от 21.12.2017 </w:t>
      </w:r>
      <w:hyperlink w:history="0" r:id="rId154"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 {КонсультантПлюс}">
        <w:r>
          <w:rPr>
            <w:sz w:val="20"/>
            <w:color w:val="0000ff"/>
          </w:rPr>
          <w:t xml:space="preserve">N 618</w:t>
        </w:r>
      </w:hyperlink>
      <w:r>
        <w:rPr>
          <w:sz w:val="20"/>
        </w:rPr>
        <w:t xml:space="preserve"> "Об основных направлениях государственной политики по развитию конкуренции", от 07.05.2018 </w:t>
      </w:r>
      <w:hyperlink w:history="0" r:id="rId155"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от 21.07.2020 </w:t>
      </w:r>
      <w:hyperlink w:history="0" r:id="rId156"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 от 04.02.2021 </w:t>
      </w:r>
      <w:hyperlink w:history="0" r:id="rId157"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КонсультантПлюс}">
        <w:r>
          <w:rPr>
            <w:sz w:val="20"/>
            <w:color w:val="0000ff"/>
          </w:rPr>
          <w:t xml:space="preserve">N 68</w:t>
        </w:r>
      </w:hyperlink>
      <w:r>
        <w:rPr>
          <w:sz w:val="20"/>
        </w:rP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hyperlink w:history="0" r:id="rId158" w:tooltip="Распоряжение Правительства РФ от 17.04.2019 N 768-р &lt;Об утверждении стандарта развития конкуренции в субъектах Российской Федерации&gt; {КонсультантПлюс}">
        <w:r>
          <w:rPr>
            <w:sz w:val="20"/>
            <w:color w:val="0000ff"/>
          </w:rPr>
          <w:t xml:space="preserve">распоряжением</w:t>
        </w:r>
      </w:hyperlink>
      <w:r>
        <w:rPr>
          <w:sz w:val="20"/>
        </w:rPr>
        <w:t xml:space="preserve"> Правительства Российской Федерации от 17.04.2019 N 768-р "Об утверждении стандарта развития конкуренции в субъектах Российской Федерации", </w:t>
      </w:r>
      <w:hyperlink w:history="0" r:id="rId159" w:tooltip="Постановление Правительства МО от 28.12.2018 N 1023/45 (ред. от 12.03.2024) &quot;О Стратегии социально-экономического развития Московской области на период до 2030 года&quot; {КонсультантПлюс}">
        <w:r>
          <w:rPr>
            <w:sz w:val="20"/>
            <w:color w:val="0000ff"/>
          </w:rPr>
          <w:t xml:space="preserve">постановлением</w:t>
        </w:r>
      </w:hyperlink>
      <w:r>
        <w:rPr>
          <w:sz w:val="20"/>
        </w:rPr>
        <w:t xml:space="preserve"> Правительства Московской области от 28.12.2018 N 1023/45 "О Стратегии социально-экономического развития Московской области на период до 2030 года", программными обращениями Губернатора Московской области. Государственная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государственной программы в период с 2023 по 2027 год.</w:t>
      </w:r>
    </w:p>
    <w:p>
      <w:pPr>
        <w:pStyle w:val="0"/>
        <w:spacing w:before="200" w:line-rule="auto"/>
        <w:ind w:firstLine="540"/>
        <w:jc w:val="both"/>
      </w:pPr>
      <w:r>
        <w:rPr>
          <w:sz w:val="20"/>
        </w:rPr>
        <w:t xml:space="preserve">Проводимые в Московской области мероприятия Подпрограммы 1, направленные на создание и сохранение благоприятного инвестиционного и делового климата, сокращение административных барьеров для организации бизнеса, создание благоприятного делового климата, реализацию новых инвестиционных проектов, поддержку промышленных предприятий и инвесторов, в том числе реализующих проекты в сфере импортозамещения, будут способствовать инвестиционной активности в Московской области и позволят увеличить объем инвестиций в основной капитал за счет всех источников финансирования до 2050,4 млрд рублей к концу 2027 года.</w:t>
      </w:r>
    </w:p>
    <w:p>
      <w:pPr>
        <w:pStyle w:val="0"/>
        <w:spacing w:before="200" w:line-rule="auto"/>
        <w:ind w:firstLine="540"/>
        <w:jc w:val="both"/>
      </w:pPr>
      <w:r>
        <w:rPr>
          <w:sz w:val="20"/>
        </w:rPr>
        <w:t xml:space="preserve">Частичная компенсация понесенных затрат юридических лиц и органов местного самоуправления Московской области на инженерную инфраструктуру будет способствовать развитию особых экономических зон, индустриальных (промышленных) парков, промышленных технопарков. К концу 2025 года планируется создать 6 индустриальных (промышленных) парков, промышленных технопарков с привлечением 650 резидентов. Кроме того, на территории особых экономических зон планируется разместить 230 резидентов, объем осуществленных ими инвестиций составит около 155 млрд рублей, будет создано более 10 тыс. рабочих мест.</w:t>
      </w:r>
    </w:p>
    <w:p>
      <w:pPr>
        <w:pStyle w:val="0"/>
        <w:spacing w:before="200" w:line-rule="auto"/>
        <w:ind w:firstLine="540"/>
        <w:jc w:val="both"/>
      </w:pPr>
      <w:r>
        <w:rPr>
          <w:sz w:val="20"/>
        </w:rPr>
        <w:t xml:space="preserve">Предлагается использовать механизмы возмещения затрат на создание инженерной и дорожной инфраструктуры средств размещения (гостиниц), а также части процентной ставки по кредитам, привлеченным для создания гостиничных комплексов на территории Московской области. Данные меры будут способствовать созданию 15 гостиничных комплексов до 2027 года.</w:t>
      </w:r>
    </w:p>
    <w:p>
      <w:pPr>
        <w:pStyle w:val="0"/>
        <w:spacing w:before="200" w:line-rule="auto"/>
        <w:ind w:firstLine="540"/>
        <w:jc w:val="both"/>
      </w:pPr>
      <w:r>
        <w:rPr>
          <w:sz w:val="20"/>
        </w:rPr>
        <w:t xml:space="preserve">В рамках реализации стратегий социально-экономического развития наукоградов Российской Федерации продолжится плановая работа по созданию объектов инновационной и социальной инфраструктуры. Прогнозируется увеличение удельного веса организаций, осуществляющих технологические инновации, в общем числе обследованных организаций с 23,9% в 2021 году до 26,5% к 2027 году.</w:t>
      </w:r>
    </w:p>
    <w:p>
      <w:pPr>
        <w:pStyle w:val="0"/>
        <w:spacing w:before="200" w:line-rule="auto"/>
        <w:ind w:firstLine="540"/>
        <w:jc w:val="both"/>
      </w:pPr>
      <w:r>
        <w:rPr>
          <w:sz w:val="20"/>
        </w:rPr>
        <w:t xml:space="preserve">В 2022 году более 140 предприятий участвуют во внедрении техники "бережливого производства" национального проекта "Производительность труда", к 2025 году количество таких предприятий-участников планируется увеличить до 324 единиц.</w:t>
      </w:r>
    </w:p>
    <w:p>
      <w:pPr>
        <w:pStyle w:val="0"/>
        <w:spacing w:before="200" w:line-rule="auto"/>
        <w:ind w:firstLine="540"/>
        <w:jc w:val="both"/>
      </w:pPr>
      <w:r>
        <w:rPr>
          <w:sz w:val="20"/>
        </w:rPr>
        <w:t xml:space="preserve">Информирование о мерах поддержки предпринимательства в рамках реализации инвестиционных проектов, в том числе путем проведения роуд-шоу, онлайн-презентаций и видеоконференций, способствует привлечению новых иностранных инвесторов, что позволит реализовывать до 15 проектов в год со средним объемом инвестиций 1,9 млрд рублей к 2027 году. География инвесторов смещается в сторону Турции, Индии, Китая и других дружественных стран (ЕАЭС, Ближнего Востока, Юго-Восточной Азии).</w:t>
      </w:r>
    </w:p>
    <w:p>
      <w:pPr>
        <w:pStyle w:val="0"/>
        <w:spacing w:before="200" w:line-rule="auto"/>
        <w:ind w:firstLine="540"/>
        <w:jc w:val="both"/>
      </w:pPr>
      <w:r>
        <w:rPr>
          <w:sz w:val="20"/>
        </w:rPr>
        <w:t xml:space="preserve">Развитие конкуренции является базовым условием для экономического и технологического развития, обеспечения конкурентных подходов в государственном и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добросовестной конкуренции и эффективности мер поддержки субъектов малого предпринимательства при закупках товаров, работ, услуг отдельными видами юридических лиц, координацию деятельности исполнительных органов Московской области и содействие органам местного самоуправления муниципальных образований Московской области в части развития конкуренции. Планом мероприятий ("дорожной картой") по содействию развитию конкуренции в Московской области на 2022-2025 годы определены показатели, характеризующие качественные и количественные результаты реализации Стандарта развития конкуренции в субъектах Российской Федерации.</w:t>
      </w:r>
    </w:p>
    <w:p>
      <w:pPr>
        <w:pStyle w:val="0"/>
        <w:jc w:val="both"/>
      </w:pPr>
      <w:r>
        <w:rPr>
          <w:sz w:val="20"/>
        </w:rPr>
        <w:t xml:space="preserve">(в ред. </w:t>
      </w:r>
      <w:hyperlink w:history="0" r:id="rId160"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31.10.2023 N 1003-ПП)</w:t>
      </w:r>
    </w:p>
    <w:p>
      <w:pPr>
        <w:pStyle w:val="0"/>
        <w:spacing w:before="200" w:line-rule="auto"/>
        <w:ind w:firstLine="540"/>
        <w:jc w:val="both"/>
      </w:pPr>
      <w:r>
        <w:rPr>
          <w:sz w:val="20"/>
        </w:rPr>
        <w:t xml:space="preserve">В целях развития МСП реализуются мероприятия Подпрограммы 3, направленные в том числе на частичную компенсацию понесенных затрат предпринимателями, доступное микрофинансирование и гарантийную поддержку малого и среднего бизнеса фондами. В рамках национального проекта "Малое и среднее предпринимательство и поддержка индивидуальной предпринимательской инициативы" реализуются региональные проекты, учитывающие все стадии предпринимательской активности от статуса самозанятого до действующего бизнеса, заинтересованного в развитии: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и "Акселерация субъектов малого и среднего предпринимательства". Планируется поэтапный рост количества вновь зарегистрированных субъектов МСП (до 46 тыс. единиц к 2027 году), сопровождающийся увеличением во всех видах экономической деятельности численности занятых в сфере МСП, включая индивидуальных предпринимателей и самозанятых (до 1539 тыс. человек к 2027 году).</w:t>
      </w:r>
    </w:p>
    <w:p>
      <w:pPr>
        <w:pStyle w:val="0"/>
        <w:spacing w:before="200" w:line-rule="auto"/>
        <w:ind w:firstLine="540"/>
        <w:jc w:val="both"/>
      </w:pPr>
      <w:r>
        <w:rPr>
          <w:sz w:val="20"/>
        </w:rPr>
        <w:t xml:space="preserve">В прогнозном периоде в сфере потребительского рынка и услуг Подмосковья будут преобладать тенденции развития оптовой торговли и розничной торговли различных форматов (рынки, ярмарки, нестационарная и мобильная торговля, стационарная и сетевая торговля, дистанционная торговля), сферы общественного питания, в том числе в формате нестационарных торговых объектов, соответствующих требованиям, нормам и стандартам действующего законодательства, а также сферы бытовых услуг. Реализация мероприятий Подпрограммы 4 позволит увеличить к 2027 году уровень обеспеченности населения Московской области площадью торговых объектов предприятий розничной торговли до 1727,3 кв. м на 1000 человек, предприятиями общественного питания до 42,7 посадочного места на 1000 человек, предприятиями бытового обслуживания до 11,4 рабочего места на 1000 человек, на 3,6 млн кв. м увеличится площадь оптовых объектов торговли, доля продаж через информационно-телекоммуникационную сеть Интернет в общем объеме оборота розничной торговли вырастет до 10,0%.</w:t>
      </w:r>
    </w:p>
    <w:p>
      <w:pPr>
        <w:pStyle w:val="0"/>
        <w:spacing w:before="200" w:line-rule="auto"/>
        <w:ind w:firstLine="540"/>
        <w:jc w:val="both"/>
      </w:pPr>
      <w:r>
        <w:rPr>
          <w:sz w:val="20"/>
        </w:rPr>
        <w:t xml:space="preserve">На достижение устойчиво высоких темпов экономического роста, обеспечивающих повышение уровня жизни населения, направлены мероприятия государственной программы, которые способствуют развитию региона, экономической эффективности и конкурентоспособности хозяйствующих субъектов, развитию малого и среднего бизнеса, поддержке социально ориентированных организаций, росту удовлетворенности потребителей за счет расширения ассортимента товаров, работ, услуг и повышения их качества.</w:t>
      </w:r>
    </w:p>
    <w:p>
      <w:pPr>
        <w:pStyle w:val="0"/>
        <w:jc w:val="both"/>
      </w:pPr>
      <w:r>
        <w:rPr>
          <w:sz w:val="20"/>
        </w:rPr>
      </w:r>
    </w:p>
    <w:p>
      <w:pPr>
        <w:pStyle w:val="2"/>
        <w:outlineLvl w:val="1"/>
        <w:jc w:val="center"/>
      </w:pPr>
      <w:r>
        <w:rPr>
          <w:sz w:val="20"/>
        </w:rPr>
        <w:t xml:space="preserve">4. Целевые показатели государственной программы Московской</w:t>
      </w:r>
    </w:p>
    <w:p>
      <w:pPr>
        <w:pStyle w:val="2"/>
        <w:jc w:val="center"/>
      </w:pPr>
      <w:r>
        <w:rPr>
          <w:sz w:val="20"/>
        </w:rPr>
        <w:t xml:space="preserve">области "Предпринимательство Подмосковья"</w:t>
      </w:r>
    </w:p>
    <w:p>
      <w:pPr>
        <w:pStyle w:val="0"/>
        <w:jc w:val="center"/>
      </w:pPr>
      <w:r>
        <w:rPr>
          <w:sz w:val="20"/>
        </w:rPr>
      </w:r>
    </w:p>
    <w:p>
      <w:pPr>
        <w:pStyle w:val="0"/>
        <w:jc w:val="center"/>
      </w:pPr>
      <w:r>
        <w:rPr>
          <w:sz w:val="20"/>
        </w:rPr>
        <w:t xml:space="preserve">(в ред. </w:t>
      </w:r>
      <w:hyperlink w:history="0" r:id="rId161"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31.10.2023 N 1003-ПП)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921"/>
        <w:gridCol w:w="2494"/>
        <w:gridCol w:w="1191"/>
        <w:gridCol w:w="1304"/>
        <w:gridCol w:w="1304"/>
        <w:gridCol w:w="1304"/>
        <w:gridCol w:w="1361"/>
        <w:gridCol w:w="1474"/>
        <w:gridCol w:w="1361"/>
        <w:gridCol w:w="1757"/>
        <w:gridCol w:w="2778"/>
      </w:tblGrid>
      <w:tr>
        <w:tc>
          <w:tcPr>
            <w:tcW w:w="794" w:type="dxa"/>
            <w:vMerge w:val="restart"/>
          </w:tcPr>
          <w:p>
            <w:pPr>
              <w:pStyle w:val="0"/>
              <w:jc w:val="center"/>
            </w:pPr>
            <w:r>
              <w:rPr>
                <w:sz w:val="20"/>
              </w:rPr>
              <w:t xml:space="preserve">N п/п</w:t>
            </w:r>
          </w:p>
        </w:tc>
        <w:tc>
          <w:tcPr>
            <w:tcW w:w="2921" w:type="dxa"/>
            <w:vMerge w:val="restart"/>
          </w:tcPr>
          <w:p>
            <w:pPr>
              <w:pStyle w:val="0"/>
              <w:jc w:val="center"/>
            </w:pPr>
            <w:r>
              <w:rPr>
                <w:sz w:val="20"/>
              </w:rPr>
              <w:t xml:space="preserve">Наименование целевых показателей</w:t>
            </w:r>
          </w:p>
        </w:tc>
        <w:tc>
          <w:tcPr>
            <w:tcW w:w="2494" w:type="dxa"/>
            <w:vMerge w:val="restart"/>
          </w:tcPr>
          <w:p>
            <w:pPr>
              <w:pStyle w:val="0"/>
              <w:jc w:val="center"/>
            </w:pPr>
            <w:r>
              <w:rPr>
                <w:sz w:val="20"/>
              </w:rPr>
              <w:t xml:space="preserve">Тип показателя</w:t>
            </w:r>
          </w:p>
        </w:tc>
        <w:tc>
          <w:tcPr>
            <w:tcW w:w="1191" w:type="dxa"/>
            <w:vMerge w:val="restart"/>
          </w:tcPr>
          <w:p>
            <w:pPr>
              <w:pStyle w:val="0"/>
              <w:jc w:val="center"/>
            </w:pPr>
            <w:r>
              <w:rPr>
                <w:sz w:val="20"/>
              </w:rPr>
              <w:t xml:space="preserve">Единица измерения (по </w:t>
            </w:r>
            <w:hyperlink w:history="0" r:id="rId162"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r>
              <w:rPr>
                <w:sz w:val="20"/>
              </w:rPr>
              <w:t xml:space="preserve">)</w:t>
            </w:r>
          </w:p>
        </w:tc>
        <w:tc>
          <w:tcPr>
            <w:tcW w:w="1304" w:type="dxa"/>
            <w:vMerge w:val="restart"/>
          </w:tcPr>
          <w:p>
            <w:pPr>
              <w:pStyle w:val="0"/>
              <w:jc w:val="center"/>
            </w:pPr>
            <w:r>
              <w:rPr>
                <w:sz w:val="20"/>
              </w:rPr>
              <w:t xml:space="preserve">Базовое значение</w:t>
            </w:r>
          </w:p>
        </w:tc>
        <w:tc>
          <w:tcPr>
            <w:gridSpan w:val="5"/>
            <w:tcW w:w="6804" w:type="dxa"/>
          </w:tcPr>
          <w:p>
            <w:pPr>
              <w:pStyle w:val="0"/>
              <w:jc w:val="center"/>
            </w:pPr>
            <w:r>
              <w:rPr>
                <w:sz w:val="20"/>
              </w:rPr>
              <w:t xml:space="preserve">Планируемое значение по годам реализации программы</w:t>
            </w:r>
          </w:p>
        </w:tc>
        <w:tc>
          <w:tcPr>
            <w:tcW w:w="1757" w:type="dxa"/>
            <w:vMerge w:val="restart"/>
          </w:tcPr>
          <w:p>
            <w:pPr>
              <w:pStyle w:val="0"/>
              <w:jc w:val="center"/>
            </w:pPr>
            <w:r>
              <w:rPr>
                <w:sz w:val="20"/>
              </w:rPr>
              <w:t xml:space="preserve">Ответственный ЦИО, ГО за достижение показателя</w:t>
            </w:r>
          </w:p>
        </w:tc>
        <w:tc>
          <w:tcPr>
            <w:tcW w:w="2778" w:type="dxa"/>
            <w:vMerge w:val="restart"/>
          </w:tcPr>
          <w:p>
            <w:pPr>
              <w:pStyle w:val="0"/>
              <w:jc w:val="center"/>
            </w:pPr>
            <w:r>
              <w:rPr>
                <w:sz w:val="20"/>
              </w:rPr>
              <w:t xml:space="preserve">Номер подпрограммы, мероприятий, оказывающих влияние на достижение показателя</w:t>
            </w:r>
          </w:p>
        </w:tc>
      </w:tr>
      <w:tr>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jc w:val="center"/>
            </w:pPr>
            <w:r>
              <w:rPr>
                <w:sz w:val="20"/>
              </w:rPr>
              <w:t xml:space="preserve">2023 год</w:t>
            </w:r>
          </w:p>
        </w:tc>
        <w:tc>
          <w:tcPr>
            <w:tcW w:w="1304" w:type="dxa"/>
          </w:tcPr>
          <w:p>
            <w:pPr>
              <w:pStyle w:val="0"/>
              <w:jc w:val="center"/>
            </w:pPr>
            <w:r>
              <w:rPr>
                <w:sz w:val="20"/>
              </w:rPr>
              <w:t xml:space="preserve">2024 год</w:t>
            </w:r>
          </w:p>
        </w:tc>
        <w:tc>
          <w:tcPr>
            <w:tcW w:w="1361" w:type="dxa"/>
          </w:tcPr>
          <w:p>
            <w:pPr>
              <w:pStyle w:val="0"/>
              <w:jc w:val="center"/>
            </w:pPr>
            <w:r>
              <w:rPr>
                <w:sz w:val="20"/>
              </w:rPr>
              <w:t xml:space="preserve">2025 год</w:t>
            </w:r>
          </w:p>
        </w:tc>
        <w:tc>
          <w:tcPr>
            <w:tcW w:w="1474" w:type="dxa"/>
          </w:tcPr>
          <w:p>
            <w:pPr>
              <w:pStyle w:val="0"/>
              <w:jc w:val="center"/>
            </w:pPr>
            <w:r>
              <w:rPr>
                <w:sz w:val="20"/>
              </w:rPr>
              <w:t xml:space="preserve">2026 год</w:t>
            </w:r>
          </w:p>
        </w:tc>
        <w:tc>
          <w:tcPr>
            <w:tcW w:w="1361" w:type="dxa"/>
          </w:tcPr>
          <w:p>
            <w:pPr>
              <w:pStyle w:val="0"/>
              <w:jc w:val="center"/>
            </w:pPr>
            <w:r>
              <w:rPr>
                <w:sz w:val="20"/>
              </w:rPr>
              <w:t xml:space="preserve">2027 год</w:t>
            </w:r>
          </w:p>
        </w:tc>
        <w:tc>
          <w:tcPr>
            <w:vMerge w:val="continue"/>
          </w:tcPr>
          <w:p/>
        </w:tc>
        <w:tc>
          <w:tcPr>
            <w:vMerge w:val="continue"/>
          </w:tcPr>
          <w:p/>
        </w:tc>
      </w:tr>
      <w:tr>
        <w:tc>
          <w:tcPr>
            <w:tcW w:w="794" w:type="dxa"/>
          </w:tcPr>
          <w:p>
            <w:pPr>
              <w:pStyle w:val="0"/>
              <w:jc w:val="center"/>
            </w:pPr>
            <w:r>
              <w:rPr>
                <w:sz w:val="20"/>
              </w:rPr>
              <w:t xml:space="preserve">1</w:t>
            </w:r>
          </w:p>
        </w:tc>
        <w:tc>
          <w:tcPr>
            <w:tcW w:w="2921" w:type="dxa"/>
          </w:tcPr>
          <w:p>
            <w:pPr>
              <w:pStyle w:val="0"/>
              <w:jc w:val="center"/>
            </w:pPr>
            <w:r>
              <w:rPr>
                <w:sz w:val="20"/>
              </w:rPr>
              <w:t xml:space="preserve">2</w:t>
            </w:r>
          </w:p>
        </w:tc>
        <w:tc>
          <w:tcPr>
            <w:tcW w:w="2494" w:type="dxa"/>
          </w:tcPr>
          <w:p>
            <w:pPr>
              <w:pStyle w:val="0"/>
              <w:jc w:val="center"/>
            </w:pPr>
            <w:r>
              <w:rPr>
                <w:sz w:val="20"/>
              </w:rPr>
              <w:t xml:space="preserve">3</w:t>
            </w:r>
          </w:p>
        </w:tc>
        <w:tc>
          <w:tcPr>
            <w:tcW w:w="1191" w:type="dxa"/>
          </w:tcPr>
          <w:p>
            <w:pPr>
              <w:pStyle w:val="0"/>
              <w:jc w:val="center"/>
            </w:pPr>
            <w:r>
              <w:rPr>
                <w:sz w:val="20"/>
              </w:rPr>
              <w:t xml:space="preserve">4</w:t>
            </w:r>
          </w:p>
        </w:tc>
        <w:tc>
          <w:tcPr>
            <w:tcW w:w="1304" w:type="dxa"/>
          </w:tcPr>
          <w:p>
            <w:pPr>
              <w:pStyle w:val="0"/>
              <w:jc w:val="center"/>
            </w:pPr>
            <w:r>
              <w:rPr>
                <w:sz w:val="20"/>
              </w:rPr>
              <w:t xml:space="preserve">5</w:t>
            </w:r>
          </w:p>
        </w:tc>
        <w:tc>
          <w:tcPr>
            <w:tcW w:w="1304" w:type="dxa"/>
          </w:tcPr>
          <w:p>
            <w:pPr>
              <w:pStyle w:val="0"/>
              <w:jc w:val="center"/>
            </w:pPr>
            <w:r>
              <w:rPr>
                <w:sz w:val="20"/>
              </w:rPr>
              <w:t xml:space="preserve">6</w:t>
            </w:r>
          </w:p>
        </w:tc>
        <w:tc>
          <w:tcPr>
            <w:tcW w:w="1304" w:type="dxa"/>
          </w:tcPr>
          <w:p>
            <w:pPr>
              <w:pStyle w:val="0"/>
              <w:jc w:val="center"/>
            </w:pPr>
            <w:r>
              <w:rPr>
                <w:sz w:val="20"/>
              </w:rPr>
              <w:t xml:space="preserve">7</w:t>
            </w:r>
          </w:p>
        </w:tc>
        <w:tc>
          <w:tcPr>
            <w:tcW w:w="1361" w:type="dxa"/>
          </w:tcPr>
          <w:p>
            <w:pPr>
              <w:pStyle w:val="0"/>
              <w:jc w:val="center"/>
            </w:pPr>
            <w:r>
              <w:rPr>
                <w:sz w:val="20"/>
              </w:rPr>
              <w:t xml:space="preserve">8</w:t>
            </w:r>
          </w:p>
        </w:tc>
        <w:tc>
          <w:tcPr>
            <w:tcW w:w="1474" w:type="dxa"/>
          </w:tcPr>
          <w:p>
            <w:pPr>
              <w:pStyle w:val="0"/>
              <w:jc w:val="center"/>
            </w:pPr>
            <w:r>
              <w:rPr>
                <w:sz w:val="20"/>
              </w:rPr>
              <w:t xml:space="preserve">9</w:t>
            </w:r>
          </w:p>
        </w:tc>
        <w:tc>
          <w:tcPr>
            <w:tcW w:w="1361" w:type="dxa"/>
          </w:tcPr>
          <w:p>
            <w:pPr>
              <w:pStyle w:val="0"/>
              <w:jc w:val="center"/>
            </w:pPr>
            <w:r>
              <w:rPr>
                <w:sz w:val="20"/>
              </w:rPr>
              <w:t xml:space="preserve">10</w:t>
            </w:r>
          </w:p>
        </w:tc>
        <w:tc>
          <w:tcPr>
            <w:tcW w:w="1757" w:type="dxa"/>
          </w:tcPr>
          <w:p>
            <w:pPr>
              <w:pStyle w:val="0"/>
              <w:jc w:val="center"/>
            </w:pPr>
            <w:r>
              <w:rPr>
                <w:sz w:val="20"/>
              </w:rPr>
              <w:t xml:space="preserve">11</w:t>
            </w:r>
          </w:p>
        </w:tc>
        <w:tc>
          <w:tcPr>
            <w:tcW w:w="2778" w:type="dxa"/>
          </w:tcPr>
          <w:p>
            <w:pPr>
              <w:pStyle w:val="0"/>
              <w:jc w:val="center"/>
            </w:pPr>
            <w:r>
              <w:rPr>
                <w:sz w:val="20"/>
              </w:rPr>
              <w:t xml:space="preserve">12</w:t>
            </w:r>
          </w:p>
        </w:tc>
      </w:tr>
      <w:tr>
        <w:tc>
          <w:tcPr>
            <w:tcW w:w="794" w:type="dxa"/>
          </w:tcPr>
          <w:p>
            <w:pPr>
              <w:pStyle w:val="0"/>
            </w:pPr>
            <w:r>
              <w:rPr>
                <w:sz w:val="20"/>
              </w:rPr>
            </w:r>
          </w:p>
        </w:tc>
        <w:tc>
          <w:tcPr>
            <w:gridSpan w:val="11"/>
            <w:tcW w:w="19249" w:type="dxa"/>
          </w:tcPr>
          <w:p>
            <w:pPr>
              <w:pStyle w:val="0"/>
            </w:pPr>
            <w:r>
              <w:rPr>
                <w:sz w:val="20"/>
              </w:rPr>
              <w:t xml:space="preserve">Достижение устойчиво высоких темпов экономического роста, обеспечивающих повышение уровня жизни жителей Подмосковья</w:t>
            </w:r>
          </w:p>
        </w:tc>
      </w:tr>
      <w:tr>
        <w:tblPrEx>
          <w:tblBorders>
            <w:insideH w:val="nil"/>
          </w:tblBorders>
        </w:tblPrEx>
        <w:tc>
          <w:tcPr>
            <w:tcW w:w="794" w:type="dxa"/>
            <w:tcBorders>
              <w:bottom w:val="nil"/>
            </w:tcBorders>
          </w:tcPr>
          <w:p>
            <w:pPr>
              <w:pStyle w:val="0"/>
            </w:pPr>
            <w:r>
              <w:rPr>
                <w:sz w:val="20"/>
              </w:rPr>
              <w:t xml:space="preserve">1</w:t>
            </w:r>
          </w:p>
        </w:tc>
        <w:tc>
          <w:tcPr>
            <w:tcW w:w="2921" w:type="dxa"/>
            <w:tcBorders>
              <w:bottom w:val="nil"/>
            </w:tcBorders>
          </w:tcPr>
          <w:p>
            <w:pPr>
              <w:pStyle w:val="0"/>
            </w:pPr>
            <w:r>
              <w:rPr>
                <w:sz w:val="20"/>
              </w:rPr>
              <w:t xml:space="preserve">Индекс физического объема валового регионального продукта</w:t>
            </w:r>
          </w:p>
        </w:tc>
        <w:tc>
          <w:tcPr>
            <w:tcW w:w="2494" w:type="dxa"/>
            <w:tcBorders>
              <w:bottom w:val="nil"/>
            </w:tcBorders>
          </w:tcPr>
          <w:p>
            <w:pPr>
              <w:pStyle w:val="0"/>
            </w:pPr>
            <w:r>
              <w:rPr>
                <w:sz w:val="20"/>
              </w:rPr>
              <w:t xml:space="preserve">СЭР</w:t>
            </w:r>
          </w:p>
        </w:tc>
        <w:tc>
          <w:tcPr>
            <w:tcW w:w="1191" w:type="dxa"/>
            <w:tcBorders>
              <w:bottom w:val="nil"/>
            </w:tcBorders>
          </w:tcPr>
          <w:p>
            <w:pPr>
              <w:pStyle w:val="0"/>
            </w:pPr>
            <w:r>
              <w:rPr>
                <w:sz w:val="20"/>
              </w:rPr>
              <w:t xml:space="preserve">процентов</w:t>
            </w:r>
          </w:p>
        </w:tc>
        <w:tc>
          <w:tcPr>
            <w:tcW w:w="1304" w:type="dxa"/>
            <w:tcBorders>
              <w:bottom w:val="nil"/>
            </w:tcBorders>
          </w:tcPr>
          <w:p>
            <w:pPr>
              <w:pStyle w:val="0"/>
            </w:pPr>
            <w:r>
              <w:rPr>
                <w:sz w:val="20"/>
              </w:rPr>
              <w:t xml:space="preserve">94,7</w:t>
            </w:r>
          </w:p>
        </w:tc>
        <w:tc>
          <w:tcPr>
            <w:tcW w:w="1304" w:type="dxa"/>
            <w:tcBorders>
              <w:bottom w:val="nil"/>
            </w:tcBorders>
          </w:tcPr>
          <w:p>
            <w:pPr>
              <w:pStyle w:val="0"/>
            </w:pPr>
            <w:r>
              <w:rPr>
                <w:sz w:val="20"/>
              </w:rPr>
              <w:t xml:space="preserve">103,7</w:t>
            </w:r>
          </w:p>
        </w:tc>
        <w:tc>
          <w:tcPr>
            <w:tcW w:w="1304" w:type="dxa"/>
            <w:tcBorders>
              <w:bottom w:val="nil"/>
            </w:tcBorders>
          </w:tcPr>
          <w:p>
            <w:pPr>
              <w:pStyle w:val="0"/>
            </w:pPr>
            <w:r>
              <w:rPr>
                <w:sz w:val="20"/>
              </w:rPr>
              <w:t xml:space="preserve">105,4</w:t>
            </w:r>
          </w:p>
        </w:tc>
        <w:tc>
          <w:tcPr>
            <w:tcW w:w="1361" w:type="dxa"/>
            <w:tcBorders>
              <w:bottom w:val="nil"/>
            </w:tcBorders>
          </w:tcPr>
          <w:p>
            <w:pPr>
              <w:pStyle w:val="0"/>
            </w:pPr>
            <w:r>
              <w:rPr>
                <w:sz w:val="20"/>
              </w:rPr>
              <w:t xml:space="preserve">104,7</w:t>
            </w:r>
          </w:p>
        </w:tc>
        <w:tc>
          <w:tcPr>
            <w:tcW w:w="1474" w:type="dxa"/>
            <w:tcBorders>
              <w:bottom w:val="nil"/>
            </w:tcBorders>
          </w:tcPr>
          <w:p>
            <w:pPr>
              <w:pStyle w:val="0"/>
            </w:pPr>
            <w:r>
              <w:rPr>
                <w:sz w:val="20"/>
              </w:rPr>
              <w:t xml:space="preserve">107,7</w:t>
            </w:r>
          </w:p>
        </w:tc>
        <w:tc>
          <w:tcPr>
            <w:tcW w:w="1361" w:type="dxa"/>
            <w:tcBorders>
              <w:bottom w:val="nil"/>
            </w:tcBorders>
          </w:tcPr>
          <w:p>
            <w:pPr>
              <w:pStyle w:val="0"/>
            </w:pPr>
            <w:r>
              <w:rPr>
                <w:sz w:val="20"/>
              </w:rPr>
              <w:t xml:space="preserve">104,4</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1.02.05, 1.03.01, 1.04.01, 1.04.02, 1.04.03, 1.05.01, 1.05.02, 1.05.03, 1.05.04, 1.06.01, 1.06.02, 1.07.01, 1.08.01, 1.08.02, 1.L2.01, 1.L2.02, 1.50.01, 2.01.01, 2.50.01, 2.50.02, 2.50.03, 2.50.04, 2.50.05, 2.50.06, 2.51.01, 2.51.02, 2.52.01, 2.52.02, 3.01.01, 3.01.02, 3.01.03, 3.01.04, 3.01.05, 3.01.06, 3.01.07,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1 в ред. </w:t>
            </w:r>
            <w:hyperlink w:history="0" r:id="rId16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blPrEx>
          <w:tblBorders>
            <w:insideH w:val="nil"/>
          </w:tblBorders>
        </w:tblPrEx>
        <w:tc>
          <w:tcPr>
            <w:tcW w:w="794" w:type="dxa"/>
            <w:tcBorders>
              <w:bottom w:val="nil"/>
            </w:tcBorders>
          </w:tcPr>
          <w:p>
            <w:pPr>
              <w:pStyle w:val="0"/>
            </w:pPr>
            <w:r>
              <w:rPr>
                <w:sz w:val="20"/>
              </w:rPr>
              <w:t xml:space="preserve">2</w:t>
            </w:r>
          </w:p>
        </w:tc>
        <w:tc>
          <w:tcPr>
            <w:tcW w:w="2921" w:type="dxa"/>
            <w:tcBorders>
              <w:bottom w:val="nil"/>
            </w:tcBorders>
          </w:tcPr>
          <w:p>
            <w:pPr>
              <w:pStyle w:val="0"/>
            </w:pPr>
            <w:r>
              <w:rPr>
                <w:sz w:val="20"/>
              </w:rPr>
              <w:t xml:space="preserve">Инвестиции в основной капитал</w:t>
            </w:r>
          </w:p>
        </w:tc>
        <w:tc>
          <w:tcPr>
            <w:tcW w:w="2494" w:type="dxa"/>
            <w:tcBorders>
              <w:bottom w:val="nil"/>
            </w:tcBorders>
          </w:tcPr>
          <w:p>
            <w:pPr>
              <w:pStyle w:val="0"/>
            </w:pPr>
            <w:r>
              <w:rPr>
                <w:sz w:val="20"/>
              </w:rPr>
              <w:t xml:space="preserve">СЭР</w:t>
            </w:r>
          </w:p>
        </w:tc>
        <w:tc>
          <w:tcPr>
            <w:tcW w:w="1191" w:type="dxa"/>
            <w:tcBorders>
              <w:bottom w:val="nil"/>
            </w:tcBorders>
          </w:tcPr>
          <w:p>
            <w:pPr>
              <w:pStyle w:val="0"/>
            </w:pPr>
            <w:r>
              <w:rPr>
                <w:sz w:val="20"/>
              </w:rPr>
              <w:t xml:space="preserve">млн рублей</w:t>
            </w:r>
          </w:p>
        </w:tc>
        <w:tc>
          <w:tcPr>
            <w:tcW w:w="1304" w:type="dxa"/>
            <w:tcBorders>
              <w:bottom w:val="nil"/>
            </w:tcBorders>
          </w:tcPr>
          <w:p>
            <w:pPr>
              <w:pStyle w:val="0"/>
            </w:pPr>
            <w:r>
              <w:rPr>
                <w:sz w:val="20"/>
              </w:rPr>
              <w:t xml:space="preserve">1329378,5</w:t>
            </w:r>
          </w:p>
        </w:tc>
        <w:tc>
          <w:tcPr>
            <w:tcW w:w="1304" w:type="dxa"/>
            <w:tcBorders>
              <w:bottom w:val="nil"/>
            </w:tcBorders>
          </w:tcPr>
          <w:p>
            <w:pPr>
              <w:pStyle w:val="0"/>
            </w:pPr>
            <w:r>
              <w:rPr>
                <w:sz w:val="20"/>
              </w:rPr>
              <w:t xml:space="preserve">1458522,3</w:t>
            </w:r>
          </w:p>
        </w:tc>
        <w:tc>
          <w:tcPr>
            <w:tcW w:w="1304" w:type="dxa"/>
            <w:tcBorders>
              <w:bottom w:val="nil"/>
            </w:tcBorders>
          </w:tcPr>
          <w:p>
            <w:pPr>
              <w:pStyle w:val="0"/>
            </w:pPr>
            <w:r>
              <w:rPr>
                <w:sz w:val="20"/>
              </w:rPr>
              <w:t xml:space="preserve">1618758,5</w:t>
            </w:r>
          </w:p>
        </w:tc>
        <w:tc>
          <w:tcPr>
            <w:tcW w:w="1361" w:type="dxa"/>
            <w:tcBorders>
              <w:bottom w:val="nil"/>
            </w:tcBorders>
          </w:tcPr>
          <w:p>
            <w:pPr>
              <w:pStyle w:val="0"/>
            </w:pPr>
            <w:r>
              <w:rPr>
                <w:sz w:val="20"/>
              </w:rPr>
              <w:t xml:space="preserve">1776192,5</w:t>
            </w:r>
          </w:p>
        </w:tc>
        <w:tc>
          <w:tcPr>
            <w:tcW w:w="1474" w:type="dxa"/>
            <w:tcBorders>
              <w:bottom w:val="nil"/>
            </w:tcBorders>
          </w:tcPr>
          <w:p>
            <w:pPr>
              <w:pStyle w:val="0"/>
            </w:pPr>
            <w:r>
              <w:rPr>
                <w:sz w:val="20"/>
              </w:rPr>
              <w:t xml:space="preserve">2000955,5</w:t>
            </w:r>
          </w:p>
        </w:tc>
        <w:tc>
          <w:tcPr>
            <w:tcW w:w="1361" w:type="dxa"/>
            <w:tcBorders>
              <w:bottom w:val="nil"/>
            </w:tcBorders>
          </w:tcPr>
          <w:p>
            <w:pPr>
              <w:pStyle w:val="0"/>
            </w:pPr>
            <w:r>
              <w:rPr>
                <w:sz w:val="20"/>
              </w:rPr>
              <w:t xml:space="preserve">2249979,3</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1.02.05, 1.03.01, 1.04.01, 1.04.02, 1.04.03, 1.05.01, 1.05.02, 1.05.03, 1.05.04, 1.06.01, 1.06.02, 1.07.01, 1.08.01, 1.08.02, 1.L2.01, 1.L2.02, 1.50.01, 1.Э2.01, 2.01.01, 2.50.01, 2.50.02, 2.50.03, 2.50.04, 2.50.05, 2.50.06, 2.51.01, 2.51.02, 2.52.01, 2.52.02, 3.01.01, 3.01.02, 3.01.03, 3.01.04, 3.01.05, 3.01.06, 3.01.07,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2 в ред. </w:t>
            </w:r>
            <w:hyperlink w:history="0" r:id="rId164"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794" w:type="dxa"/>
          </w:tcPr>
          <w:p>
            <w:pPr>
              <w:pStyle w:val="0"/>
            </w:pPr>
            <w:r>
              <w:rPr>
                <w:sz w:val="20"/>
              </w:rPr>
              <w:t xml:space="preserve">2.1</w:t>
            </w:r>
          </w:p>
        </w:tc>
        <w:tc>
          <w:tcPr>
            <w:tcW w:w="2921" w:type="dxa"/>
          </w:tcPr>
          <w:p>
            <w:pPr>
              <w:pStyle w:val="0"/>
            </w:pPr>
            <w:r>
              <w:rPr>
                <w:sz w:val="20"/>
              </w:rPr>
              <w:t xml:space="preserve">Минсельхозпрод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187250</w:t>
            </w:r>
          </w:p>
        </w:tc>
        <w:tc>
          <w:tcPr>
            <w:tcW w:w="1304" w:type="dxa"/>
          </w:tcPr>
          <w:p>
            <w:pPr>
              <w:pStyle w:val="0"/>
            </w:pPr>
            <w:r>
              <w:rPr>
                <w:sz w:val="20"/>
              </w:rPr>
              <w:t xml:space="preserve">187250</w:t>
            </w:r>
          </w:p>
        </w:tc>
        <w:tc>
          <w:tcPr>
            <w:tcW w:w="1304" w:type="dxa"/>
          </w:tcPr>
          <w:p>
            <w:pPr>
              <w:pStyle w:val="0"/>
            </w:pPr>
            <w:r>
              <w:rPr>
                <w:sz w:val="20"/>
              </w:rPr>
              <w:t xml:space="preserve">187250</w:t>
            </w:r>
          </w:p>
        </w:tc>
        <w:tc>
          <w:tcPr>
            <w:tcW w:w="1361" w:type="dxa"/>
          </w:tcPr>
          <w:p>
            <w:pPr>
              <w:pStyle w:val="0"/>
            </w:pPr>
            <w:r>
              <w:rPr>
                <w:sz w:val="20"/>
              </w:rPr>
              <w:t xml:space="preserve">187250</w:t>
            </w:r>
          </w:p>
        </w:tc>
        <w:tc>
          <w:tcPr>
            <w:tcW w:w="1474" w:type="dxa"/>
          </w:tcPr>
          <w:p>
            <w:pPr>
              <w:pStyle w:val="0"/>
            </w:pPr>
            <w:r>
              <w:rPr>
                <w:sz w:val="20"/>
              </w:rPr>
              <w:t xml:space="preserve">187250</w:t>
            </w:r>
          </w:p>
        </w:tc>
        <w:tc>
          <w:tcPr>
            <w:tcW w:w="1361" w:type="dxa"/>
          </w:tcPr>
          <w:p>
            <w:pPr>
              <w:pStyle w:val="0"/>
            </w:pPr>
            <w:r>
              <w:rPr>
                <w:sz w:val="20"/>
              </w:rPr>
              <w:t xml:space="preserve">187250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2.2</w:t>
            </w:r>
          </w:p>
        </w:tc>
        <w:tc>
          <w:tcPr>
            <w:tcW w:w="2921" w:type="dxa"/>
          </w:tcPr>
          <w:p>
            <w:pPr>
              <w:pStyle w:val="0"/>
            </w:pPr>
            <w:r>
              <w:rPr>
                <w:sz w:val="20"/>
              </w:rPr>
              <w:t xml:space="preserve">Минэкологии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1000</w:t>
            </w:r>
          </w:p>
        </w:tc>
        <w:tc>
          <w:tcPr>
            <w:tcW w:w="1304" w:type="dxa"/>
          </w:tcPr>
          <w:p>
            <w:pPr>
              <w:pStyle w:val="0"/>
            </w:pPr>
            <w:r>
              <w:rPr>
                <w:sz w:val="20"/>
              </w:rPr>
              <w:t xml:space="preserve">1000</w:t>
            </w:r>
          </w:p>
        </w:tc>
        <w:tc>
          <w:tcPr>
            <w:tcW w:w="1304" w:type="dxa"/>
          </w:tcPr>
          <w:p>
            <w:pPr>
              <w:pStyle w:val="0"/>
            </w:pPr>
            <w:r>
              <w:rPr>
                <w:sz w:val="20"/>
              </w:rPr>
              <w:t xml:space="preserve">1000</w:t>
            </w:r>
          </w:p>
        </w:tc>
        <w:tc>
          <w:tcPr>
            <w:tcW w:w="1361" w:type="dxa"/>
          </w:tcPr>
          <w:p>
            <w:pPr>
              <w:pStyle w:val="0"/>
            </w:pPr>
            <w:r>
              <w:rPr>
                <w:sz w:val="20"/>
              </w:rPr>
              <w:t xml:space="preserve">1000</w:t>
            </w:r>
          </w:p>
        </w:tc>
        <w:tc>
          <w:tcPr>
            <w:tcW w:w="1474" w:type="dxa"/>
          </w:tcPr>
          <w:p>
            <w:pPr>
              <w:pStyle w:val="0"/>
            </w:pPr>
            <w:r>
              <w:rPr>
                <w:sz w:val="20"/>
              </w:rPr>
              <w:t xml:space="preserve">1000</w:t>
            </w:r>
          </w:p>
        </w:tc>
        <w:tc>
          <w:tcPr>
            <w:tcW w:w="1361" w:type="dxa"/>
          </w:tcPr>
          <w:p>
            <w:pPr>
              <w:pStyle w:val="0"/>
            </w:pPr>
            <w:r>
              <w:rPr>
                <w:sz w:val="20"/>
              </w:rPr>
              <w:t xml:space="preserve">1000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2.3</w:t>
            </w:r>
          </w:p>
        </w:tc>
        <w:tc>
          <w:tcPr>
            <w:tcW w:w="2921" w:type="dxa"/>
          </w:tcPr>
          <w:p>
            <w:pPr>
              <w:pStyle w:val="0"/>
            </w:pPr>
            <w:r>
              <w:rPr>
                <w:sz w:val="20"/>
              </w:rPr>
              <w:t xml:space="preserve">Мининвест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118843</w:t>
            </w:r>
          </w:p>
        </w:tc>
        <w:tc>
          <w:tcPr>
            <w:tcW w:w="1304" w:type="dxa"/>
          </w:tcPr>
          <w:p>
            <w:pPr>
              <w:pStyle w:val="0"/>
            </w:pPr>
            <w:r>
              <w:rPr>
                <w:sz w:val="20"/>
              </w:rPr>
              <w:t xml:space="preserve">118843</w:t>
            </w:r>
          </w:p>
        </w:tc>
        <w:tc>
          <w:tcPr>
            <w:tcW w:w="1304" w:type="dxa"/>
          </w:tcPr>
          <w:p>
            <w:pPr>
              <w:pStyle w:val="0"/>
            </w:pPr>
            <w:r>
              <w:rPr>
                <w:sz w:val="20"/>
              </w:rPr>
              <w:t xml:space="preserve">118843</w:t>
            </w:r>
          </w:p>
        </w:tc>
        <w:tc>
          <w:tcPr>
            <w:tcW w:w="1361" w:type="dxa"/>
          </w:tcPr>
          <w:p>
            <w:pPr>
              <w:pStyle w:val="0"/>
            </w:pPr>
            <w:r>
              <w:rPr>
                <w:sz w:val="20"/>
              </w:rPr>
              <w:t xml:space="preserve">118843</w:t>
            </w:r>
          </w:p>
        </w:tc>
        <w:tc>
          <w:tcPr>
            <w:tcW w:w="1474" w:type="dxa"/>
          </w:tcPr>
          <w:p>
            <w:pPr>
              <w:pStyle w:val="0"/>
            </w:pPr>
            <w:r>
              <w:rPr>
                <w:sz w:val="20"/>
              </w:rPr>
              <w:t xml:space="preserve">118843</w:t>
            </w:r>
          </w:p>
        </w:tc>
        <w:tc>
          <w:tcPr>
            <w:tcW w:w="1361" w:type="dxa"/>
          </w:tcPr>
          <w:p>
            <w:pPr>
              <w:pStyle w:val="0"/>
            </w:pPr>
            <w:r>
              <w:rPr>
                <w:sz w:val="20"/>
              </w:rPr>
              <w:t xml:space="preserve">118843</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2.4</w:t>
            </w:r>
          </w:p>
        </w:tc>
        <w:tc>
          <w:tcPr>
            <w:tcW w:w="2921" w:type="dxa"/>
          </w:tcPr>
          <w:p>
            <w:pPr>
              <w:pStyle w:val="0"/>
            </w:pPr>
            <w:r>
              <w:rPr>
                <w:sz w:val="20"/>
              </w:rPr>
              <w:t xml:space="preserve">Минстрой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83601</w:t>
            </w:r>
          </w:p>
        </w:tc>
        <w:tc>
          <w:tcPr>
            <w:tcW w:w="1304" w:type="dxa"/>
          </w:tcPr>
          <w:p>
            <w:pPr>
              <w:pStyle w:val="0"/>
            </w:pPr>
            <w:r>
              <w:rPr>
                <w:sz w:val="20"/>
              </w:rPr>
              <w:t xml:space="preserve">83601</w:t>
            </w:r>
          </w:p>
        </w:tc>
        <w:tc>
          <w:tcPr>
            <w:tcW w:w="1304" w:type="dxa"/>
          </w:tcPr>
          <w:p>
            <w:pPr>
              <w:pStyle w:val="0"/>
            </w:pPr>
            <w:r>
              <w:rPr>
                <w:sz w:val="20"/>
              </w:rPr>
              <w:t xml:space="preserve">83601</w:t>
            </w:r>
          </w:p>
        </w:tc>
        <w:tc>
          <w:tcPr>
            <w:tcW w:w="1361" w:type="dxa"/>
          </w:tcPr>
          <w:p>
            <w:pPr>
              <w:pStyle w:val="0"/>
            </w:pPr>
            <w:r>
              <w:rPr>
                <w:sz w:val="20"/>
              </w:rPr>
              <w:t xml:space="preserve">83601</w:t>
            </w:r>
          </w:p>
        </w:tc>
        <w:tc>
          <w:tcPr>
            <w:tcW w:w="1474" w:type="dxa"/>
          </w:tcPr>
          <w:p>
            <w:pPr>
              <w:pStyle w:val="0"/>
            </w:pPr>
            <w:r>
              <w:rPr>
                <w:sz w:val="20"/>
              </w:rPr>
              <w:t xml:space="preserve">83601</w:t>
            </w:r>
          </w:p>
        </w:tc>
        <w:tc>
          <w:tcPr>
            <w:tcW w:w="1361" w:type="dxa"/>
          </w:tcPr>
          <w:p>
            <w:pPr>
              <w:pStyle w:val="0"/>
            </w:pPr>
            <w:r>
              <w:rPr>
                <w:sz w:val="20"/>
              </w:rPr>
              <w:t xml:space="preserve">83601</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2.5</w:t>
            </w:r>
          </w:p>
        </w:tc>
        <w:tc>
          <w:tcPr>
            <w:tcW w:w="2921" w:type="dxa"/>
          </w:tcPr>
          <w:p>
            <w:pPr>
              <w:pStyle w:val="0"/>
            </w:pPr>
            <w:r>
              <w:rPr>
                <w:sz w:val="20"/>
              </w:rPr>
              <w:t xml:space="preserve">Минжилполитика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25080,3</w:t>
            </w:r>
          </w:p>
        </w:tc>
        <w:tc>
          <w:tcPr>
            <w:tcW w:w="1304" w:type="dxa"/>
          </w:tcPr>
          <w:p>
            <w:pPr>
              <w:pStyle w:val="0"/>
            </w:pPr>
            <w:r>
              <w:rPr>
                <w:sz w:val="20"/>
              </w:rPr>
              <w:t xml:space="preserve">25080,3</w:t>
            </w:r>
          </w:p>
        </w:tc>
        <w:tc>
          <w:tcPr>
            <w:tcW w:w="1304" w:type="dxa"/>
          </w:tcPr>
          <w:p>
            <w:pPr>
              <w:pStyle w:val="0"/>
            </w:pPr>
            <w:r>
              <w:rPr>
                <w:sz w:val="20"/>
              </w:rPr>
              <w:t xml:space="preserve">25080,3</w:t>
            </w:r>
          </w:p>
        </w:tc>
        <w:tc>
          <w:tcPr>
            <w:tcW w:w="1361" w:type="dxa"/>
          </w:tcPr>
          <w:p>
            <w:pPr>
              <w:pStyle w:val="0"/>
            </w:pPr>
            <w:r>
              <w:rPr>
                <w:sz w:val="20"/>
              </w:rPr>
              <w:t xml:space="preserve">25080,3</w:t>
            </w:r>
          </w:p>
        </w:tc>
        <w:tc>
          <w:tcPr>
            <w:tcW w:w="1474" w:type="dxa"/>
          </w:tcPr>
          <w:p>
            <w:pPr>
              <w:pStyle w:val="0"/>
            </w:pPr>
            <w:r>
              <w:rPr>
                <w:sz w:val="20"/>
              </w:rPr>
              <w:t xml:space="preserve">25080,3</w:t>
            </w:r>
          </w:p>
        </w:tc>
        <w:tc>
          <w:tcPr>
            <w:tcW w:w="1361" w:type="dxa"/>
          </w:tcPr>
          <w:p>
            <w:pPr>
              <w:pStyle w:val="0"/>
            </w:pPr>
            <w:r>
              <w:rPr>
                <w:sz w:val="20"/>
              </w:rPr>
              <w:t xml:space="preserve">25080,3</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2.6</w:t>
            </w:r>
          </w:p>
        </w:tc>
        <w:tc>
          <w:tcPr>
            <w:tcW w:w="2921" w:type="dxa"/>
          </w:tcPr>
          <w:p>
            <w:pPr>
              <w:pStyle w:val="0"/>
            </w:pPr>
            <w:r>
              <w:rPr>
                <w:sz w:val="20"/>
              </w:rPr>
              <w:t xml:space="preserve">Минэнерго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47972</w:t>
            </w:r>
          </w:p>
        </w:tc>
        <w:tc>
          <w:tcPr>
            <w:tcW w:w="1304" w:type="dxa"/>
          </w:tcPr>
          <w:p>
            <w:pPr>
              <w:pStyle w:val="0"/>
            </w:pPr>
            <w:r>
              <w:rPr>
                <w:sz w:val="20"/>
              </w:rPr>
              <w:t xml:space="preserve">47972</w:t>
            </w:r>
          </w:p>
        </w:tc>
        <w:tc>
          <w:tcPr>
            <w:tcW w:w="1304" w:type="dxa"/>
          </w:tcPr>
          <w:p>
            <w:pPr>
              <w:pStyle w:val="0"/>
            </w:pPr>
            <w:r>
              <w:rPr>
                <w:sz w:val="20"/>
              </w:rPr>
              <w:t xml:space="preserve">47972</w:t>
            </w:r>
          </w:p>
        </w:tc>
        <w:tc>
          <w:tcPr>
            <w:tcW w:w="1361" w:type="dxa"/>
          </w:tcPr>
          <w:p>
            <w:pPr>
              <w:pStyle w:val="0"/>
            </w:pPr>
            <w:r>
              <w:rPr>
                <w:sz w:val="20"/>
              </w:rPr>
              <w:t xml:space="preserve">47972</w:t>
            </w:r>
          </w:p>
        </w:tc>
        <w:tc>
          <w:tcPr>
            <w:tcW w:w="1474" w:type="dxa"/>
          </w:tcPr>
          <w:p>
            <w:pPr>
              <w:pStyle w:val="0"/>
            </w:pPr>
            <w:r>
              <w:rPr>
                <w:sz w:val="20"/>
              </w:rPr>
              <w:t xml:space="preserve">47972</w:t>
            </w:r>
          </w:p>
        </w:tc>
        <w:tc>
          <w:tcPr>
            <w:tcW w:w="1361" w:type="dxa"/>
          </w:tcPr>
          <w:p>
            <w:pPr>
              <w:pStyle w:val="0"/>
            </w:pPr>
            <w:r>
              <w:rPr>
                <w:sz w:val="20"/>
              </w:rPr>
              <w:t xml:space="preserve">47972</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2.7</w:t>
            </w:r>
          </w:p>
        </w:tc>
        <w:tc>
          <w:tcPr>
            <w:tcW w:w="2921" w:type="dxa"/>
          </w:tcPr>
          <w:p>
            <w:pPr>
              <w:pStyle w:val="0"/>
            </w:pPr>
            <w:r>
              <w:rPr>
                <w:sz w:val="20"/>
              </w:rPr>
              <w:t xml:space="preserve">Мингосуправления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74291</w:t>
            </w:r>
          </w:p>
        </w:tc>
        <w:tc>
          <w:tcPr>
            <w:tcW w:w="1304" w:type="dxa"/>
          </w:tcPr>
          <w:p>
            <w:pPr>
              <w:pStyle w:val="0"/>
            </w:pPr>
            <w:r>
              <w:rPr>
                <w:sz w:val="20"/>
              </w:rPr>
              <w:t xml:space="preserve">74291</w:t>
            </w:r>
          </w:p>
        </w:tc>
        <w:tc>
          <w:tcPr>
            <w:tcW w:w="1304" w:type="dxa"/>
          </w:tcPr>
          <w:p>
            <w:pPr>
              <w:pStyle w:val="0"/>
            </w:pPr>
            <w:r>
              <w:rPr>
                <w:sz w:val="20"/>
              </w:rPr>
              <w:t xml:space="preserve">74291</w:t>
            </w:r>
          </w:p>
        </w:tc>
        <w:tc>
          <w:tcPr>
            <w:tcW w:w="1361" w:type="dxa"/>
          </w:tcPr>
          <w:p>
            <w:pPr>
              <w:pStyle w:val="0"/>
            </w:pPr>
            <w:r>
              <w:rPr>
                <w:sz w:val="20"/>
              </w:rPr>
              <w:t xml:space="preserve">74291</w:t>
            </w:r>
          </w:p>
        </w:tc>
        <w:tc>
          <w:tcPr>
            <w:tcW w:w="1474" w:type="dxa"/>
          </w:tcPr>
          <w:p>
            <w:pPr>
              <w:pStyle w:val="0"/>
            </w:pPr>
            <w:r>
              <w:rPr>
                <w:sz w:val="20"/>
              </w:rPr>
              <w:t xml:space="preserve">74291</w:t>
            </w:r>
          </w:p>
        </w:tc>
        <w:tc>
          <w:tcPr>
            <w:tcW w:w="1361" w:type="dxa"/>
          </w:tcPr>
          <w:p>
            <w:pPr>
              <w:pStyle w:val="0"/>
            </w:pPr>
            <w:r>
              <w:rPr>
                <w:sz w:val="20"/>
              </w:rPr>
              <w:t xml:space="preserve">74291</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2.8</w:t>
            </w:r>
          </w:p>
        </w:tc>
        <w:tc>
          <w:tcPr>
            <w:tcW w:w="2921" w:type="dxa"/>
          </w:tcPr>
          <w:p>
            <w:pPr>
              <w:pStyle w:val="0"/>
            </w:pPr>
            <w:r>
              <w:rPr>
                <w:sz w:val="20"/>
              </w:rPr>
              <w:t xml:space="preserve">Министерство образования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3053</w:t>
            </w:r>
          </w:p>
        </w:tc>
        <w:tc>
          <w:tcPr>
            <w:tcW w:w="1304" w:type="dxa"/>
          </w:tcPr>
          <w:p>
            <w:pPr>
              <w:pStyle w:val="0"/>
            </w:pPr>
            <w:r>
              <w:rPr>
                <w:sz w:val="20"/>
              </w:rPr>
              <w:t xml:space="preserve">3053</w:t>
            </w:r>
          </w:p>
        </w:tc>
        <w:tc>
          <w:tcPr>
            <w:tcW w:w="1304" w:type="dxa"/>
          </w:tcPr>
          <w:p>
            <w:pPr>
              <w:pStyle w:val="0"/>
            </w:pPr>
            <w:r>
              <w:rPr>
                <w:sz w:val="20"/>
              </w:rPr>
              <w:t xml:space="preserve">3053</w:t>
            </w:r>
          </w:p>
        </w:tc>
        <w:tc>
          <w:tcPr>
            <w:tcW w:w="1361" w:type="dxa"/>
          </w:tcPr>
          <w:p>
            <w:pPr>
              <w:pStyle w:val="0"/>
            </w:pPr>
            <w:r>
              <w:rPr>
                <w:sz w:val="20"/>
              </w:rPr>
              <w:t xml:space="preserve">3053</w:t>
            </w:r>
          </w:p>
        </w:tc>
        <w:tc>
          <w:tcPr>
            <w:tcW w:w="1474" w:type="dxa"/>
          </w:tcPr>
          <w:p>
            <w:pPr>
              <w:pStyle w:val="0"/>
            </w:pPr>
            <w:r>
              <w:rPr>
                <w:sz w:val="20"/>
              </w:rPr>
              <w:t xml:space="preserve">3053</w:t>
            </w:r>
          </w:p>
        </w:tc>
        <w:tc>
          <w:tcPr>
            <w:tcW w:w="1361" w:type="dxa"/>
          </w:tcPr>
          <w:p>
            <w:pPr>
              <w:pStyle w:val="0"/>
            </w:pPr>
            <w:r>
              <w:rPr>
                <w:sz w:val="20"/>
              </w:rPr>
              <w:t xml:space="preserve">3053</w:t>
            </w:r>
          </w:p>
        </w:tc>
        <w:tc>
          <w:tcPr>
            <w:tcW w:w="1757" w:type="dxa"/>
          </w:tcPr>
          <w:p>
            <w:pPr>
              <w:pStyle w:val="0"/>
            </w:pPr>
            <w:r>
              <w:rPr>
                <w:sz w:val="20"/>
              </w:rPr>
              <w:t xml:space="preserve">X</w:t>
            </w:r>
          </w:p>
        </w:tc>
        <w:tc>
          <w:tcPr>
            <w:tcW w:w="2778" w:type="dxa"/>
          </w:tcPr>
          <w:p>
            <w:pPr>
              <w:pStyle w:val="0"/>
            </w:pPr>
            <w:r>
              <w:rPr>
                <w:sz w:val="20"/>
              </w:rPr>
              <w:t xml:space="preserve">X</w:t>
            </w:r>
          </w:p>
        </w:tc>
      </w:tr>
      <w:tr>
        <w:tblPrEx>
          <w:tblBorders>
            <w:insideH w:val="nil"/>
          </w:tblBorders>
        </w:tblPrEx>
        <w:tc>
          <w:tcPr>
            <w:tcW w:w="794" w:type="dxa"/>
            <w:tcBorders>
              <w:bottom w:val="nil"/>
            </w:tcBorders>
          </w:tcPr>
          <w:p>
            <w:pPr>
              <w:pStyle w:val="0"/>
            </w:pPr>
            <w:r>
              <w:rPr>
                <w:sz w:val="20"/>
              </w:rPr>
              <w:t xml:space="preserve">2.9</w:t>
            </w:r>
          </w:p>
        </w:tc>
        <w:tc>
          <w:tcPr>
            <w:tcW w:w="2921" w:type="dxa"/>
            <w:tcBorders>
              <w:bottom w:val="nil"/>
            </w:tcBorders>
          </w:tcPr>
          <w:p>
            <w:pPr>
              <w:pStyle w:val="0"/>
            </w:pPr>
            <w:r>
              <w:rPr>
                <w:sz w:val="20"/>
              </w:rPr>
              <w:t xml:space="preserve">Минздрав Московской области</w:t>
            </w:r>
          </w:p>
        </w:tc>
        <w:tc>
          <w:tcPr>
            <w:tcW w:w="2494" w:type="dxa"/>
            <w:tcBorders>
              <w:bottom w:val="nil"/>
            </w:tcBorders>
          </w:tcPr>
          <w:p>
            <w:pPr>
              <w:pStyle w:val="0"/>
            </w:pPr>
            <w:r>
              <w:rPr>
                <w:sz w:val="20"/>
              </w:rPr>
              <w:t xml:space="preserve">X</w:t>
            </w:r>
          </w:p>
        </w:tc>
        <w:tc>
          <w:tcPr>
            <w:tcW w:w="1191" w:type="dxa"/>
            <w:tcBorders>
              <w:bottom w:val="nil"/>
            </w:tcBorders>
          </w:tcPr>
          <w:p>
            <w:pPr>
              <w:pStyle w:val="0"/>
            </w:pPr>
            <w:r>
              <w:rPr>
                <w:sz w:val="20"/>
              </w:rPr>
              <w:t xml:space="preserve">X</w:t>
            </w:r>
          </w:p>
        </w:tc>
        <w:tc>
          <w:tcPr>
            <w:tcW w:w="1304" w:type="dxa"/>
            <w:tcBorders>
              <w:bottom w:val="nil"/>
            </w:tcBorders>
          </w:tcPr>
          <w:p>
            <w:pPr>
              <w:pStyle w:val="0"/>
            </w:pPr>
            <w:r>
              <w:rPr>
                <w:sz w:val="20"/>
              </w:rPr>
              <w:t xml:space="preserve">1016</w:t>
            </w:r>
          </w:p>
        </w:tc>
        <w:tc>
          <w:tcPr>
            <w:tcW w:w="1304" w:type="dxa"/>
            <w:tcBorders>
              <w:bottom w:val="nil"/>
            </w:tcBorders>
          </w:tcPr>
          <w:p>
            <w:pPr>
              <w:pStyle w:val="0"/>
            </w:pPr>
            <w:r>
              <w:rPr>
                <w:sz w:val="20"/>
              </w:rPr>
              <w:t xml:space="preserve">34491</w:t>
            </w:r>
          </w:p>
        </w:tc>
        <w:tc>
          <w:tcPr>
            <w:tcW w:w="1304" w:type="dxa"/>
            <w:tcBorders>
              <w:bottom w:val="nil"/>
            </w:tcBorders>
          </w:tcPr>
          <w:p>
            <w:pPr>
              <w:pStyle w:val="0"/>
            </w:pPr>
            <w:r>
              <w:rPr>
                <w:sz w:val="20"/>
              </w:rPr>
              <w:t xml:space="preserve">34796</w:t>
            </w:r>
          </w:p>
        </w:tc>
        <w:tc>
          <w:tcPr>
            <w:tcW w:w="1361" w:type="dxa"/>
            <w:tcBorders>
              <w:bottom w:val="nil"/>
            </w:tcBorders>
          </w:tcPr>
          <w:p>
            <w:pPr>
              <w:pStyle w:val="0"/>
            </w:pPr>
            <w:r>
              <w:rPr>
                <w:sz w:val="20"/>
              </w:rPr>
              <w:t xml:space="preserve">24586</w:t>
            </w:r>
          </w:p>
        </w:tc>
        <w:tc>
          <w:tcPr>
            <w:tcW w:w="1474" w:type="dxa"/>
            <w:tcBorders>
              <w:bottom w:val="nil"/>
            </w:tcBorders>
          </w:tcPr>
          <w:p>
            <w:pPr>
              <w:pStyle w:val="0"/>
            </w:pPr>
            <w:r>
              <w:rPr>
                <w:sz w:val="20"/>
              </w:rPr>
              <w:t xml:space="preserve">26199</w:t>
            </w:r>
          </w:p>
        </w:tc>
        <w:tc>
          <w:tcPr>
            <w:tcW w:w="1361" w:type="dxa"/>
            <w:tcBorders>
              <w:bottom w:val="nil"/>
            </w:tcBorders>
          </w:tcPr>
          <w:p>
            <w:pPr>
              <w:pStyle w:val="0"/>
            </w:pPr>
            <w:r>
              <w:rPr>
                <w:sz w:val="20"/>
              </w:rPr>
              <w:t xml:space="preserve">27199</w:t>
            </w:r>
          </w:p>
        </w:tc>
        <w:tc>
          <w:tcPr>
            <w:tcW w:w="1757" w:type="dxa"/>
            <w:tcBorders>
              <w:bottom w:val="nil"/>
            </w:tcBorders>
          </w:tcPr>
          <w:p>
            <w:pPr>
              <w:pStyle w:val="0"/>
            </w:pPr>
            <w:r>
              <w:rPr>
                <w:sz w:val="20"/>
              </w:rPr>
              <w:t xml:space="preserve">X</w:t>
            </w:r>
          </w:p>
        </w:tc>
        <w:tc>
          <w:tcPr>
            <w:tcW w:w="2778" w:type="dxa"/>
            <w:tcBorders>
              <w:bottom w:val="nil"/>
            </w:tcBorders>
          </w:tcPr>
          <w:p>
            <w:pPr>
              <w:pStyle w:val="0"/>
            </w:pPr>
            <w:r>
              <w:rPr>
                <w:sz w:val="20"/>
              </w:rPr>
              <w:t xml:space="preserve">X</w:t>
            </w:r>
          </w:p>
        </w:tc>
      </w:tr>
      <w:tr>
        <w:tblPrEx>
          <w:tblBorders>
            <w:insideH w:val="nil"/>
          </w:tblBorders>
        </w:tblPrEx>
        <w:tc>
          <w:tcPr>
            <w:gridSpan w:val="12"/>
            <w:tcW w:w="20043" w:type="dxa"/>
            <w:tcBorders>
              <w:top w:val="nil"/>
            </w:tcBorders>
          </w:tcPr>
          <w:p>
            <w:pPr>
              <w:pStyle w:val="0"/>
              <w:jc w:val="both"/>
            </w:pPr>
            <w:r>
              <w:rPr>
                <w:sz w:val="20"/>
              </w:rPr>
              <w:t xml:space="preserve">(строка 2.9 в ред. </w:t>
            </w:r>
            <w:hyperlink w:history="0" r:id="rId165"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31.10.2023 N 1003-ПП)</w:t>
            </w:r>
          </w:p>
        </w:tc>
      </w:tr>
      <w:tr>
        <w:tc>
          <w:tcPr>
            <w:tcW w:w="794" w:type="dxa"/>
          </w:tcPr>
          <w:p>
            <w:pPr>
              <w:pStyle w:val="0"/>
            </w:pPr>
            <w:r>
              <w:rPr>
                <w:sz w:val="20"/>
              </w:rPr>
              <w:t xml:space="preserve">2.10</w:t>
            </w:r>
          </w:p>
        </w:tc>
        <w:tc>
          <w:tcPr>
            <w:tcW w:w="2921" w:type="dxa"/>
          </w:tcPr>
          <w:p>
            <w:pPr>
              <w:pStyle w:val="0"/>
            </w:pPr>
            <w:r>
              <w:rPr>
                <w:sz w:val="20"/>
              </w:rPr>
              <w:t xml:space="preserve">Минсоцразвития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536</w:t>
            </w:r>
          </w:p>
        </w:tc>
        <w:tc>
          <w:tcPr>
            <w:tcW w:w="1304" w:type="dxa"/>
          </w:tcPr>
          <w:p>
            <w:pPr>
              <w:pStyle w:val="0"/>
            </w:pPr>
            <w:r>
              <w:rPr>
                <w:sz w:val="20"/>
              </w:rPr>
              <w:t xml:space="preserve">536</w:t>
            </w:r>
          </w:p>
        </w:tc>
        <w:tc>
          <w:tcPr>
            <w:tcW w:w="1304" w:type="dxa"/>
          </w:tcPr>
          <w:p>
            <w:pPr>
              <w:pStyle w:val="0"/>
            </w:pPr>
            <w:r>
              <w:rPr>
                <w:sz w:val="20"/>
              </w:rPr>
              <w:t xml:space="preserve">536</w:t>
            </w:r>
          </w:p>
        </w:tc>
        <w:tc>
          <w:tcPr>
            <w:tcW w:w="1361" w:type="dxa"/>
          </w:tcPr>
          <w:p>
            <w:pPr>
              <w:pStyle w:val="0"/>
            </w:pPr>
            <w:r>
              <w:rPr>
                <w:sz w:val="20"/>
              </w:rPr>
              <w:t xml:space="preserve">536</w:t>
            </w:r>
          </w:p>
        </w:tc>
        <w:tc>
          <w:tcPr>
            <w:tcW w:w="1474" w:type="dxa"/>
          </w:tcPr>
          <w:p>
            <w:pPr>
              <w:pStyle w:val="0"/>
            </w:pPr>
            <w:r>
              <w:rPr>
                <w:sz w:val="20"/>
              </w:rPr>
              <w:t xml:space="preserve">536</w:t>
            </w:r>
          </w:p>
        </w:tc>
        <w:tc>
          <w:tcPr>
            <w:tcW w:w="1361" w:type="dxa"/>
          </w:tcPr>
          <w:p>
            <w:pPr>
              <w:pStyle w:val="0"/>
            </w:pPr>
            <w:r>
              <w:rPr>
                <w:sz w:val="20"/>
              </w:rPr>
              <w:t xml:space="preserve">536</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2.11</w:t>
            </w:r>
          </w:p>
        </w:tc>
        <w:tc>
          <w:tcPr>
            <w:tcW w:w="2921" w:type="dxa"/>
          </w:tcPr>
          <w:p>
            <w:pPr>
              <w:pStyle w:val="0"/>
            </w:pPr>
            <w:r>
              <w:rPr>
                <w:sz w:val="20"/>
              </w:rPr>
              <w:t xml:space="preserve">МТДи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21220</w:t>
            </w:r>
          </w:p>
        </w:tc>
        <w:tc>
          <w:tcPr>
            <w:tcW w:w="1304" w:type="dxa"/>
          </w:tcPr>
          <w:p>
            <w:pPr>
              <w:pStyle w:val="0"/>
            </w:pPr>
            <w:r>
              <w:rPr>
                <w:sz w:val="20"/>
              </w:rPr>
              <w:t xml:space="preserve">21220</w:t>
            </w:r>
          </w:p>
        </w:tc>
        <w:tc>
          <w:tcPr>
            <w:tcW w:w="1304" w:type="dxa"/>
          </w:tcPr>
          <w:p>
            <w:pPr>
              <w:pStyle w:val="0"/>
            </w:pPr>
            <w:r>
              <w:rPr>
                <w:sz w:val="20"/>
              </w:rPr>
              <w:t xml:space="preserve">21220</w:t>
            </w:r>
          </w:p>
        </w:tc>
        <w:tc>
          <w:tcPr>
            <w:tcW w:w="1361" w:type="dxa"/>
          </w:tcPr>
          <w:p>
            <w:pPr>
              <w:pStyle w:val="0"/>
            </w:pPr>
            <w:r>
              <w:rPr>
                <w:sz w:val="20"/>
              </w:rPr>
              <w:t xml:space="preserve">21220</w:t>
            </w:r>
          </w:p>
        </w:tc>
        <w:tc>
          <w:tcPr>
            <w:tcW w:w="1474" w:type="dxa"/>
          </w:tcPr>
          <w:p>
            <w:pPr>
              <w:pStyle w:val="0"/>
            </w:pPr>
            <w:r>
              <w:rPr>
                <w:sz w:val="20"/>
              </w:rPr>
              <w:t xml:space="preserve">21220</w:t>
            </w:r>
          </w:p>
        </w:tc>
        <w:tc>
          <w:tcPr>
            <w:tcW w:w="1361" w:type="dxa"/>
          </w:tcPr>
          <w:p>
            <w:pPr>
              <w:pStyle w:val="0"/>
            </w:pPr>
            <w:r>
              <w:rPr>
                <w:sz w:val="20"/>
              </w:rPr>
              <w:t xml:space="preserve">21220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2.12</w:t>
            </w:r>
          </w:p>
        </w:tc>
        <w:tc>
          <w:tcPr>
            <w:tcW w:w="2921" w:type="dxa"/>
          </w:tcPr>
          <w:p>
            <w:pPr>
              <w:pStyle w:val="0"/>
            </w:pPr>
            <w:r>
              <w:rPr>
                <w:sz w:val="20"/>
              </w:rPr>
              <w:t xml:space="preserve">Минкультуры и туризма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1679</w:t>
            </w:r>
          </w:p>
        </w:tc>
        <w:tc>
          <w:tcPr>
            <w:tcW w:w="1304" w:type="dxa"/>
          </w:tcPr>
          <w:p>
            <w:pPr>
              <w:pStyle w:val="0"/>
            </w:pPr>
            <w:r>
              <w:rPr>
                <w:sz w:val="20"/>
              </w:rPr>
              <w:t xml:space="preserve">1679</w:t>
            </w:r>
          </w:p>
        </w:tc>
        <w:tc>
          <w:tcPr>
            <w:tcW w:w="1304" w:type="dxa"/>
          </w:tcPr>
          <w:p>
            <w:pPr>
              <w:pStyle w:val="0"/>
            </w:pPr>
            <w:r>
              <w:rPr>
                <w:sz w:val="20"/>
              </w:rPr>
              <w:t xml:space="preserve">1679</w:t>
            </w:r>
          </w:p>
        </w:tc>
        <w:tc>
          <w:tcPr>
            <w:tcW w:w="1361" w:type="dxa"/>
          </w:tcPr>
          <w:p>
            <w:pPr>
              <w:pStyle w:val="0"/>
            </w:pPr>
            <w:r>
              <w:rPr>
                <w:sz w:val="20"/>
              </w:rPr>
              <w:t xml:space="preserve">1679</w:t>
            </w:r>
          </w:p>
        </w:tc>
        <w:tc>
          <w:tcPr>
            <w:tcW w:w="1474" w:type="dxa"/>
          </w:tcPr>
          <w:p>
            <w:pPr>
              <w:pStyle w:val="0"/>
            </w:pPr>
            <w:r>
              <w:rPr>
                <w:sz w:val="20"/>
              </w:rPr>
              <w:t xml:space="preserve">1679</w:t>
            </w:r>
          </w:p>
        </w:tc>
        <w:tc>
          <w:tcPr>
            <w:tcW w:w="1361" w:type="dxa"/>
          </w:tcPr>
          <w:p>
            <w:pPr>
              <w:pStyle w:val="0"/>
            </w:pPr>
            <w:r>
              <w:rPr>
                <w:sz w:val="20"/>
              </w:rPr>
              <w:t xml:space="preserve">1679</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2.13</w:t>
            </w:r>
          </w:p>
        </w:tc>
        <w:tc>
          <w:tcPr>
            <w:tcW w:w="2921" w:type="dxa"/>
          </w:tcPr>
          <w:p>
            <w:pPr>
              <w:pStyle w:val="0"/>
            </w:pPr>
            <w:r>
              <w:rPr>
                <w:sz w:val="20"/>
              </w:rPr>
              <w:t xml:space="preserve">Министерство ЖКХ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26960,2</w:t>
            </w:r>
          </w:p>
        </w:tc>
        <w:tc>
          <w:tcPr>
            <w:tcW w:w="1304" w:type="dxa"/>
          </w:tcPr>
          <w:p>
            <w:pPr>
              <w:pStyle w:val="0"/>
            </w:pPr>
            <w:r>
              <w:rPr>
                <w:sz w:val="20"/>
              </w:rPr>
              <w:t xml:space="preserve">25988,3</w:t>
            </w:r>
          </w:p>
        </w:tc>
        <w:tc>
          <w:tcPr>
            <w:tcW w:w="1304" w:type="dxa"/>
          </w:tcPr>
          <w:p>
            <w:pPr>
              <w:pStyle w:val="0"/>
            </w:pPr>
            <w:r>
              <w:rPr>
                <w:sz w:val="20"/>
              </w:rPr>
              <w:t xml:space="preserve">19902,5</w:t>
            </w:r>
          </w:p>
        </w:tc>
        <w:tc>
          <w:tcPr>
            <w:tcW w:w="1361" w:type="dxa"/>
          </w:tcPr>
          <w:p>
            <w:pPr>
              <w:pStyle w:val="0"/>
            </w:pPr>
            <w:r>
              <w:rPr>
                <w:sz w:val="20"/>
              </w:rPr>
              <w:t xml:space="preserve">26960,2</w:t>
            </w:r>
          </w:p>
        </w:tc>
        <w:tc>
          <w:tcPr>
            <w:tcW w:w="1474" w:type="dxa"/>
          </w:tcPr>
          <w:p>
            <w:pPr>
              <w:pStyle w:val="0"/>
            </w:pPr>
            <w:r>
              <w:rPr>
                <w:sz w:val="20"/>
              </w:rPr>
              <w:t xml:space="preserve">25988,3</w:t>
            </w:r>
          </w:p>
        </w:tc>
        <w:tc>
          <w:tcPr>
            <w:tcW w:w="1361" w:type="dxa"/>
          </w:tcPr>
          <w:p>
            <w:pPr>
              <w:pStyle w:val="0"/>
            </w:pPr>
            <w:r>
              <w:rPr>
                <w:sz w:val="20"/>
              </w:rPr>
              <w:t xml:space="preserve">19902,5</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2.14</w:t>
            </w:r>
          </w:p>
        </w:tc>
        <w:tc>
          <w:tcPr>
            <w:tcW w:w="2921" w:type="dxa"/>
          </w:tcPr>
          <w:p>
            <w:pPr>
              <w:pStyle w:val="0"/>
            </w:pPr>
            <w:r>
              <w:rPr>
                <w:sz w:val="20"/>
              </w:rPr>
              <w:t xml:space="preserve">Минспорт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4576</w:t>
            </w:r>
          </w:p>
        </w:tc>
        <w:tc>
          <w:tcPr>
            <w:tcW w:w="1304" w:type="dxa"/>
          </w:tcPr>
          <w:p>
            <w:pPr>
              <w:pStyle w:val="0"/>
            </w:pPr>
            <w:r>
              <w:rPr>
                <w:sz w:val="20"/>
              </w:rPr>
              <w:t xml:space="preserve">4576</w:t>
            </w:r>
          </w:p>
        </w:tc>
        <w:tc>
          <w:tcPr>
            <w:tcW w:w="1304" w:type="dxa"/>
          </w:tcPr>
          <w:p>
            <w:pPr>
              <w:pStyle w:val="0"/>
            </w:pPr>
            <w:r>
              <w:rPr>
                <w:sz w:val="20"/>
              </w:rPr>
              <w:t xml:space="preserve">4576</w:t>
            </w:r>
          </w:p>
        </w:tc>
        <w:tc>
          <w:tcPr>
            <w:tcW w:w="1361" w:type="dxa"/>
          </w:tcPr>
          <w:p>
            <w:pPr>
              <w:pStyle w:val="0"/>
            </w:pPr>
            <w:r>
              <w:rPr>
                <w:sz w:val="20"/>
              </w:rPr>
              <w:t xml:space="preserve">4576</w:t>
            </w:r>
          </w:p>
        </w:tc>
        <w:tc>
          <w:tcPr>
            <w:tcW w:w="1474" w:type="dxa"/>
          </w:tcPr>
          <w:p>
            <w:pPr>
              <w:pStyle w:val="0"/>
            </w:pPr>
            <w:r>
              <w:rPr>
                <w:sz w:val="20"/>
              </w:rPr>
              <w:t xml:space="preserve">4576</w:t>
            </w:r>
          </w:p>
        </w:tc>
        <w:tc>
          <w:tcPr>
            <w:tcW w:w="1361" w:type="dxa"/>
          </w:tcPr>
          <w:p>
            <w:pPr>
              <w:pStyle w:val="0"/>
            </w:pPr>
            <w:r>
              <w:rPr>
                <w:sz w:val="20"/>
              </w:rPr>
              <w:t xml:space="preserve">4576</w:t>
            </w:r>
          </w:p>
        </w:tc>
        <w:tc>
          <w:tcPr>
            <w:tcW w:w="1757" w:type="dxa"/>
          </w:tcPr>
          <w:p>
            <w:pPr>
              <w:pStyle w:val="0"/>
            </w:pPr>
            <w:r>
              <w:rPr>
                <w:sz w:val="20"/>
              </w:rPr>
              <w:t xml:space="preserve">X</w:t>
            </w:r>
          </w:p>
        </w:tc>
        <w:tc>
          <w:tcPr>
            <w:tcW w:w="2778" w:type="dxa"/>
          </w:tcPr>
          <w:p>
            <w:pPr>
              <w:pStyle w:val="0"/>
            </w:pPr>
            <w:r>
              <w:rPr>
                <w:sz w:val="20"/>
              </w:rPr>
              <w:t xml:space="preserve">X</w:t>
            </w:r>
          </w:p>
        </w:tc>
      </w:tr>
      <w:tr>
        <w:tblPrEx>
          <w:tblBorders>
            <w:insideH w:val="nil"/>
          </w:tblBorders>
        </w:tblPrEx>
        <w:tc>
          <w:tcPr>
            <w:tcW w:w="794" w:type="dxa"/>
            <w:tcBorders>
              <w:bottom w:val="nil"/>
            </w:tcBorders>
          </w:tcPr>
          <w:p>
            <w:pPr>
              <w:pStyle w:val="0"/>
            </w:pPr>
            <w:r>
              <w:rPr>
                <w:sz w:val="20"/>
              </w:rPr>
              <w:t xml:space="preserve">3</w:t>
            </w:r>
          </w:p>
        </w:tc>
        <w:tc>
          <w:tcPr>
            <w:tcW w:w="2921" w:type="dxa"/>
            <w:tcBorders>
              <w:bottom w:val="nil"/>
            </w:tcBorders>
          </w:tcPr>
          <w:p>
            <w:pPr>
              <w:pStyle w:val="0"/>
            </w:pPr>
            <w:r>
              <w:rPr>
                <w:sz w:val="20"/>
              </w:rPr>
              <w:t xml:space="preserve">Место Московской области в национальном рейтинге состояния инвестиционного климата в субъектах Российской Федерации</w:t>
            </w:r>
          </w:p>
        </w:tc>
        <w:tc>
          <w:tcPr>
            <w:tcW w:w="2494" w:type="dxa"/>
            <w:tcBorders>
              <w:bottom w:val="nil"/>
            </w:tcBorders>
          </w:tcPr>
          <w:p>
            <w:pPr>
              <w:pStyle w:val="0"/>
            </w:pPr>
            <w:r>
              <w:rPr>
                <w:sz w:val="20"/>
              </w:rPr>
              <w:t xml:space="preserve">Отраслевой показатель</w:t>
            </w:r>
          </w:p>
        </w:tc>
        <w:tc>
          <w:tcPr>
            <w:tcW w:w="1191" w:type="dxa"/>
            <w:tcBorders>
              <w:bottom w:val="nil"/>
            </w:tcBorders>
          </w:tcPr>
          <w:p>
            <w:pPr>
              <w:pStyle w:val="0"/>
            </w:pPr>
            <w:r>
              <w:rPr>
                <w:sz w:val="20"/>
              </w:rPr>
              <w:t xml:space="preserve">место</w:t>
            </w:r>
          </w:p>
        </w:tc>
        <w:tc>
          <w:tcPr>
            <w:tcW w:w="1304" w:type="dxa"/>
            <w:tcBorders>
              <w:bottom w:val="nil"/>
            </w:tcBorders>
          </w:tcPr>
          <w:p>
            <w:pPr>
              <w:pStyle w:val="0"/>
            </w:pPr>
            <w:r>
              <w:rPr>
                <w:sz w:val="20"/>
              </w:rPr>
              <w:t xml:space="preserve">3</w:t>
            </w:r>
          </w:p>
        </w:tc>
        <w:tc>
          <w:tcPr>
            <w:tcW w:w="1304" w:type="dxa"/>
            <w:tcBorders>
              <w:bottom w:val="nil"/>
            </w:tcBorders>
          </w:tcPr>
          <w:p>
            <w:pPr>
              <w:pStyle w:val="0"/>
            </w:pPr>
            <w:r>
              <w:rPr>
                <w:sz w:val="20"/>
              </w:rPr>
              <w:t xml:space="preserve">3</w:t>
            </w:r>
          </w:p>
        </w:tc>
        <w:tc>
          <w:tcPr>
            <w:tcW w:w="1304" w:type="dxa"/>
            <w:tcBorders>
              <w:bottom w:val="nil"/>
            </w:tcBorders>
          </w:tcPr>
          <w:p>
            <w:pPr>
              <w:pStyle w:val="0"/>
            </w:pPr>
            <w:r>
              <w:rPr>
                <w:sz w:val="20"/>
              </w:rPr>
              <w:t xml:space="preserve">3</w:t>
            </w:r>
          </w:p>
        </w:tc>
        <w:tc>
          <w:tcPr>
            <w:tcW w:w="1361" w:type="dxa"/>
            <w:tcBorders>
              <w:bottom w:val="nil"/>
            </w:tcBorders>
          </w:tcPr>
          <w:p>
            <w:pPr>
              <w:pStyle w:val="0"/>
            </w:pPr>
            <w:r>
              <w:rPr>
                <w:sz w:val="20"/>
              </w:rPr>
              <w:t xml:space="preserve">3</w:t>
            </w:r>
          </w:p>
        </w:tc>
        <w:tc>
          <w:tcPr>
            <w:tcW w:w="1474" w:type="dxa"/>
            <w:tcBorders>
              <w:bottom w:val="nil"/>
            </w:tcBorders>
          </w:tcPr>
          <w:p>
            <w:pPr>
              <w:pStyle w:val="0"/>
            </w:pPr>
            <w:r>
              <w:rPr>
                <w:sz w:val="20"/>
              </w:rPr>
              <w:t xml:space="preserve">3</w:t>
            </w:r>
          </w:p>
        </w:tc>
        <w:tc>
          <w:tcPr>
            <w:tcW w:w="1361" w:type="dxa"/>
            <w:tcBorders>
              <w:bottom w:val="nil"/>
            </w:tcBorders>
          </w:tcPr>
          <w:p>
            <w:pPr>
              <w:pStyle w:val="0"/>
            </w:pPr>
            <w:r>
              <w:rPr>
                <w:sz w:val="20"/>
              </w:rPr>
              <w:t xml:space="preserve">3</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1.03.01, 1.04.01, 1.04.02, 1.04.03, 1.05.01, 1.05.02, 1.05.03, 1.05.04, 1.06.01, 1.06.02, 1.07.01, 1.08.01, 1.08.02, 1.L2.01, 1.L2.02, 1.50.01, 1.Э2.01, 2.01.01, 2.50.01, 2.50.02, 2.50.03, 2.50.04, 2.50.05, 2.50.06, 2.51.01, 2.51.02, 2.52.01, 2.52.02, 3.01.01, 3.01.02, 3.01.03, 3.01.04, 3.01.05, 3.01.06, 3.01.07, 3.02.02,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3 в ред. </w:t>
            </w:r>
            <w:hyperlink w:history="0" r:id="rId166"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blPrEx>
          <w:tblBorders>
            <w:insideH w:val="nil"/>
          </w:tblBorders>
        </w:tblPrEx>
        <w:tc>
          <w:tcPr>
            <w:tcW w:w="794" w:type="dxa"/>
            <w:tcBorders>
              <w:bottom w:val="nil"/>
            </w:tcBorders>
          </w:tcPr>
          <w:p>
            <w:pPr>
              <w:pStyle w:val="0"/>
            </w:pPr>
            <w:r>
              <w:rPr>
                <w:sz w:val="20"/>
              </w:rPr>
              <w:t xml:space="preserve">4</w:t>
            </w:r>
          </w:p>
        </w:tc>
        <w:tc>
          <w:tcPr>
            <w:tcW w:w="2921" w:type="dxa"/>
            <w:tcBorders>
              <w:bottom w:val="nil"/>
            </w:tcBorders>
          </w:tcPr>
          <w:p>
            <w:pPr>
              <w:pStyle w:val="0"/>
            </w:pPr>
            <w:r>
              <w:rPr>
                <w:sz w:val="20"/>
              </w:rPr>
              <w:t xml:space="preserve">Темп роста (индекс роста) реальной среднемесячной заработной платы (2020 год - базовое значение)</w:t>
            </w:r>
          </w:p>
        </w:tc>
        <w:tc>
          <w:tcPr>
            <w:tcW w:w="2494" w:type="dxa"/>
            <w:tcBorders>
              <w:bottom w:val="nil"/>
            </w:tcBorders>
          </w:tcPr>
          <w:p>
            <w:pPr>
              <w:pStyle w:val="0"/>
            </w:pPr>
            <w:hyperlink w:history="0" r:id="rId167"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КонсультантПлюс}">
              <w:r>
                <w:rPr>
                  <w:sz w:val="20"/>
                  <w:color w:val="0000ff"/>
                </w:rPr>
                <w:t xml:space="preserve">Указ</w:t>
              </w:r>
            </w:hyperlink>
            <w:r>
              <w:rPr>
                <w:sz w:val="20"/>
              </w:rPr>
              <w:t xml:space="preserve"> ПРФ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Borders>
              <w:bottom w:val="nil"/>
            </w:tcBorders>
          </w:tcPr>
          <w:p>
            <w:pPr>
              <w:pStyle w:val="0"/>
            </w:pPr>
            <w:r>
              <w:rPr>
                <w:sz w:val="20"/>
              </w:rPr>
              <w:t xml:space="preserve">процентов</w:t>
            </w:r>
          </w:p>
        </w:tc>
        <w:tc>
          <w:tcPr>
            <w:tcW w:w="1304" w:type="dxa"/>
            <w:tcBorders>
              <w:bottom w:val="nil"/>
            </w:tcBorders>
          </w:tcPr>
          <w:p>
            <w:pPr>
              <w:pStyle w:val="0"/>
            </w:pPr>
            <w:r>
              <w:rPr>
                <w:sz w:val="20"/>
              </w:rPr>
              <w:t xml:space="preserve">97,9</w:t>
            </w:r>
          </w:p>
        </w:tc>
        <w:tc>
          <w:tcPr>
            <w:tcW w:w="1304" w:type="dxa"/>
            <w:tcBorders>
              <w:bottom w:val="nil"/>
            </w:tcBorders>
          </w:tcPr>
          <w:p>
            <w:pPr>
              <w:pStyle w:val="0"/>
            </w:pPr>
            <w:r>
              <w:rPr>
                <w:sz w:val="20"/>
              </w:rPr>
              <w:t xml:space="preserve">99,4</w:t>
            </w:r>
          </w:p>
        </w:tc>
        <w:tc>
          <w:tcPr>
            <w:tcW w:w="1304" w:type="dxa"/>
            <w:tcBorders>
              <w:bottom w:val="nil"/>
            </w:tcBorders>
          </w:tcPr>
          <w:p>
            <w:pPr>
              <w:pStyle w:val="0"/>
            </w:pPr>
            <w:r>
              <w:rPr>
                <w:sz w:val="20"/>
              </w:rPr>
              <w:t xml:space="preserve">101,9</w:t>
            </w:r>
          </w:p>
        </w:tc>
        <w:tc>
          <w:tcPr>
            <w:tcW w:w="136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361" w:type="dxa"/>
            <w:tcBorders>
              <w:bottom w:val="nil"/>
            </w:tcBorders>
          </w:tcPr>
          <w:p>
            <w:pPr>
              <w:pStyle w:val="0"/>
            </w:pPr>
            <w:r>
              <w:rPr>
                <w:sz w:val="20"/>
              </w:rPr>
              <w:t xml:space="preserve">-</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1.03.01, 1.04.01, 1.04.02, 1.04.03, 1.05.01, 1.05.02, 1.05.03, 1.05.04, 1.06.01, 1.06.02, 1.07.01, 1.08.01, 1.08.02, 1.L2.01, 1.L2.02, 1.50.01, 2.01.01, 2.50.01, 2.50.02, 2.50.03, 2.50.04, 2.50.05, 2.50.06, 2.51.01, 2.51.02, 2.52.01, 2.52.02, 3.01.01, 3.01.02, 3.01.03, 3.01.04, 3.01.05, 3.01.06,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4 в ред. </w:t>
            </w:r>
            <w:hyperlink w:history="0" r:id="rId16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blPrEx>
          <w:tblBorders>
            <w:insideH w:val="nil"/>
          </w:tblBorders>
        </w:tblPrEx>
        <w:tc>
          <w:tcPr>
            <w:tcW w:w="794" w:type="dxa"/>
            <w:tcBorders>
              <w:bottom w:val="nil"/>
            </w:tcBorders>
          </w:tcPr>
          <w:p>
            <w:pPr>
              <w:pStyle w:val="0"/>
            </w:pPr>
            <w:r>
              <w:rPr>
                <w:sz w:val="20"/>
              </w:rPr>
              <w:t xml:space="preserve">5</w:t>
            </w:r>
          </w:p>
        </w:tc>
        <w:tc>
          <w:tcPr>
            <w:tcW w:w="2921" w:type="dxa"/>
            <w:tcBorders>
              <w:bottom w:val="nil"/>
            </w:tcBorders>
          </w:tcPr>
          <w:p>
            <w:pPr>
              <w:pStyle w:val="0"/>
            </w:pPr>
            <w:r>
              <w:rPr>
                <w:sz w:val="20"/>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(2020 год - базовое значение)</w:t>
            </w:r>
          </w:p>
        </w:tc>
        <w:tc>
          <w:tcPr>
            <w:tcW w:w="2494" w:type="dxa"/>
            <w:tcBorders>
              <w:bottom w:val="nil"/>
            </w:tcBorders>
          </w:tcPr>
          <w:p>
            <w:pPr>
              <w:pStyle w:val="0"/>
            </w:pPr>
            <w:hyperlink w:history="0" r:id="rId169" w:tooltip="Указ Президента РФ от 28.11.2024 N 1014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w:t>
              </w:r>
            </w:hyperlink>
            <w:r>
              <w:rPr>
                <w:sz w:val="20"/>
              </w:rPr>
              <w:t xml:space="preserve"> ПРФ от 28.11.2024 N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Borders>
              <w:bottom w:val="nil"/>
            </w:tcBorders>
          </w:tcPr>
          <w:p>
            <w:pPr>
              <w:pStyle w:val="0"/>
            </w:pPr>
            <w:r>
              <w:rPr>
                <w:sz w:val="20"/>
              </w:rPr>
              <w:t xml:space="preserve">процентов</w:t>
            </w:r>
          </w:p>
        </w:tc>
        <w:tc>
          <w:tcPr>
            <w:tcW w:w="1304" w:type="dxa"/>
            <w:tcBorders>
              <w:bottom w:val="nil"/>
            </w:tcBorders>
          </w:tcPr>
          <w:p>
            <w:pPr>
              <w:pStyle w:val="0"/>
            </w:pPr>
            <w:r>
              <w:rPr>
                <w:sz w:val="20"/>
              </w:rPr>
              <w:t xml:space="preserve">103,2</w:t>
            </w:r>
          </w:p>
        </w:tc>
        <w:tc>
          <w:tcPr>
            <w:tcW w:w="1304" w:type="dxa"/>
            <w:tcBorders>
              <w:bottom w:val="nil"/>
            </w:tcBorders>
          </w:tcPr>
          <w:p>
            <w:pPr>
              <w:pStyle w:val="0"/>
            </w:pPr>
            <w:r>
              <w:rPr>
                <w:sz w:val="20"/>
              </w:rPr>
              <w:t xml:space="preserve">107,0</w:t>
            </w:r>
          </w:p>
        </w:tc>
        <w:tc>
          <w:tcPr>
            <w:tcW w:w="1304" w:type="dxa"/>
            <w:tcBorders>
              <w:bottom w:val="nil"/>
            </w:tcBorders>
          </w:tcPr>
          <w:p>
            <w:pPr>
              <w:pStyle w:val="0"/>
            </w:pPr>
            <w:r>
              <w:rPr>
                <w:sz w:val="20"/>
              </w:rPr>
              <w:t xml:space="preserve">112,1</w:t>
            </w:r>
          </w:p>
        </w:tc>
        <w:tc>
          <w:tcPr>
            <w:tcW w:w="1361" w:type="dxa"/>
            <w:tcBorders>
              <w:bottom w:val="nil"/>
            </w:tcBorders>
          </w:tcPr>
          <w:p>
            <w:pPr>
              <w:pStyle w:val="0"/>
            </w:pPr>
            <w:r>
              <w:rPr>
                <w:sz w:val="20"/>
              </w:rPr>
              <w:t xml:space="preserve">117,3</w:t>
            </w:r>
          </w:p>
        </w:tc>
        <w:tc>
          <w:tcPr>
            <w:tcW w:w="1474" w:type="dxa"/>
            <w:tcBorders>
              <w:bottom w:val="nil"/>
            </w:tcBorders>
          </w:tcPr>
          <w:p>
            <w:pPr>
              <w:pStyle w:val="0"/>
            </w:pPr>
            <w:r>
              <w:rPr>
                <w:sz w:val="20"/>
              </w:rPr>
              <w:t xml:space="preserve">122,9</w:t>
            </w:r>
          </w:p>
        </w:tc>
        <w:tc>
          <w:tcPr>
            <w:tcW w:w="1361" w:type="dxa"/>
            <w:tcBorders>
              <w:bottom w:val="nil"/>
            </w:tcBorders>
          </w:tcPr>
          <w:p>
            <w:pPr>
              <w:pStyle w:val="0"/>
            </w:pPr>
            <w:r>
              <w:rPr>
                <w:sz w:val="20"/>
              </w:rPr>
              <w:t xml:space="preserve">133,3</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1.02.05, 1.03.01, 1.04.01, 1.04.02, 1.04.03, 1.05.01, 1.05.02, 1.05.03, 1.05.04, 1.06.01, 1.06.02, 1.07.01, 1.08.01, 1.08.02, 1.L2.01, 1.L2.02, 1.50.01, 2.01.01, 2.50.01, 2.50.02, 2.50.03, 2.50.04, 2.50.05, 2.50.06, 2.51.01, 2.51.02, 2.52.01, 2.52.02, 3.01.01, 3.01.02, 3.01.03, 3.01.04, 3.01.05, 3.01.06, 3.01.07,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5 в ред. </w:t>
            </w:r>
            <w:hyperlink w:history="0" r:id="rId17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794" w:type="dxa"/>
          </w:tcPr>
          <w:p>
            <w:pPr>
              <w:pStyle w:val="0"/>
            </w:pPr>
            <w:r>
              <w:rPr>
                <w:sz w:val="20"/>
              </w:rPr>
              <w:t xml:space="preserve">5.1</w:t>
            </w:r>
          </w:p>
        </w:tc>
        <w:tc>
          <w:tcPr>
            <w:tcW w:w="2921" w:type="dxa"/>
          </w:tcPr>
          <w:p>
            <w:pPr>
              <w:pStyle w:val="0"/>
            </w:pPr>
            <w:r>
              <w:rPr>
                <w:sz w:val="20"/>
              </w:rPr>
              <w:t xml:space="preserve">Мининвест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109,5</w:t>
            </w:r>
          </w:p>
        </w:tc>
        <w:tc>
          <w:tcPr>
            <w:tcW w:w="1304" w:type="dxa"/>
          </w:tcPr>
          <w:p>
            <w:pPr>
              <w:pStyle w:val="0"/>
            </w:pPr>
            <w:r>
              <w:rPr>
                <w:sz w:val="20"/>
              </w:rPr>
              <w:t xml:space="preserve">114,5</w:t>
            </w:r>
          </w:p>
        </w:tc>
        <w:tc>
          <w:tcPr>
            <w:tcW w:w="1304" w:type="dxa"/>
          </w:tcPr>
          <w:p>
            <w:pPr>
              <w:pStyle w:val="0"/>
            </w:pPr>
            <w:r>
              <w:rPr>
                <w:sz w:val="20"/>
              </w:rPr>
              <w:t xml:space="preserve">119,9</w:t>
            </w:r>
          </w:p>
        </w:tc>
        <w:tc>
          <w:tcPr>
            <w:tcW w:w="1361" w:type="dxa"/>
          </w:tcPr>
          <w:p>
            <w:pPr>
              <w:pStyle w:val="0"/>
            </w:pPr>
            <w:r>
              <w:rPr>
                <w:sz w:val="20"/>
              </w:rPr>
              <w:t xml:space="preserve">109,5</w:t>
            </w:r>
          </w:p>
        </w:tc>
        <w:tc>
          <w:tcPr>
            <w:tcW w:w="1474" w:type="dxa"/>
          </w:tcPr>
          <w:p>
            <w:pPr>
              <w:pStyle w:val="0"/>
            </w:pPr>
            <w:r>
              <w:rPr>
                <w:sz w:val="20"/>
              </w:rPr>
              <w:t xml:space="preserve">114,5</w:t>
            </w:r>
          </w:p>
        </w:tc>
        <w:tc>
          <w:tcPr>
            <w:tcW w:w="1361" w:type="dxa"/>
          </w:tcPr>
          <w:p>
            <w:pPr>
              <w:pStyle w:val="0"/>
            </w:pPr>
            <w:r>
              <w:rPr>
                <w:sz w:val="20"/>
              </w:rPr>
              <w:t xml:space="preserve">119,9</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5.2</w:t>
            </w:r>
          </w:p>
        </w:tc>
        <w:tc>
          <w:tcPr>
            <w:tcW w:w="2921" w:type="dxa"/>
          </w:tcPr>
          <w:p>
            <w:pPr>
              <w:pStyle w:val="0"/>
            </w:pPr>
            <w:r>
              <w:rPr>
                <w:sz w:val="20"/>
              </w:rPr>
              <w:t xml:space="preserve">Минстрой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5.3</w:t>
            </w:r>
          </w:p>
        </w:tc>
        <w:tc>
          <w:tcPr>
            <w:tcW w:w="2921" w:type="dxa"/>
          </w:tcPr>
          <w:p>
            <w:pPr>
              <w:pStyle w:val="0"/>
            </w:pPr>
            <w:r>
              <w:rPr>
                <w:sz w:val="20"/>
              </w:rPr>
              <w:t xml:space="preserve">МТДи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5.4</w:t>
            </w:r>
          </w:p>
        </w:tc>
        <w:tc>
          <w:tcPr>
            <w:tcW w:w="2921" w:type="dxa"/>
          </w:tcPr>
          <w:p>
            <w:pPr>
              <w:pStyle w:val="0"/>
            </w:pPr>
            <w:r>
              <w:rPr>
                <w:sz w:val="20"/>
              </w:rPr>
              <w:t xml:space="preserve">Мингосуправления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5.5</w:t>
            </w:r>
          </w:p>
        </w:tc>
        <w:tc>
          <w:tcPr>
            <w:tcW w:w="2921" w:type="dxa"/>
          </w:tcPr>
          <w:p>
            <w:pPr>
              <w:pStyle w:val="0"/>
            </w:pPr>
            <w:r>
              <w:rPr>
                <w:sz w:val="20"/>
              </w:rPr>
              <w:t xml:space="preserve">Минсельхозпрод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5.6</w:t>
            </w:r>
          </w:p>
        </w:tc>
        <w:tc>
          <w:tcPr>
            <w:tcW w:w="2921" w:type="dxa"/>
          </w:tcPr>
          <w:p>
            <w:pPr>
              <w:pStyle w:val="0"/>
            </w:pPr>
            <w:r>
              <w:rPr>
                <w:sz w:val="20"/>
              </w:rPr>
              <w:t xml:space="preserve">Минэнерго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5.7</w:t>
            </w:r>
          </w:p>
        </w:tc>
        <w:tc>
          <w:tcPr>
            <w:tcW w:w="2921" w:type="dxa"/>
          </w:tcPr>
          <w:p>
            <w:pPr>
              <w:pStyle w:val="0"/>
            </w:pPr>
            <w:r>
              <w:rPr>
                <w:sz w:val="20"/>
              </w:rPr>
              <w:t xml:space="preserve">Министерство образования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5.8</w:t>
            </w:r>
          </w:p>
        </w:tc>
        <w:tc>
          <w:tcPr>
            <w:tcW w:w="2921" w:type="dxa"/>
          </w:tcPr>
          <w:p>
            <w:pPr>
              <w:pStyle w:val="0"/>
            </w:pPr>
            <w:r>
              <w:rPr>
                <w:sz w:val="20"/>
              </w:rPr>
              <w:t xml:space="preserve">Минкультуры и туризма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5.9</w:t>
            </w:r>
          </w:p>
        </w:tc>
        <w:tc>
          <w:tcPr>
            <w:tcW w:w="2921" w:type="dxa"/>
          </w:tcPr>
          <w:p>
            <w:pPr>
              <w:pStyle w:val="0"/>
            </w:pPr>
            <w:r>
              <w:rPr>
                <w:sz w:val="20"/>
              </w:rPr>
              <w:t xml:space="preserve">Министерство ЖКХ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5.10</w:t>
            </w:r>
          </w:p>
        </w:tc>
        <w:tc>
          <w:tcPr>
            <w:tcW w:w="2921" w:type="dxa"/>
          </w:tcPr>
          <w:p>
            <w:pPr>
              <w:pStyle w:val="0"/>
            </w:pPr>
            <w:r>
              <w:rPr>
                <w:sz w:val="20"/>
              </w:rPr>
              <w:t xml:space="preserve">Минспорт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5.11</w:t>
            </w:r>
          </w:p>
        </w:tc>
        <w:tc>
          <w:tcPr>
            <w:tcW w:w="2921" w:type="dxa"/>
          </w:tcPr>
          <w:p>
            <w:pPr>
              <w:pStyle w:val="0"/>
            </w:pPr>
            <w:r>
              <w:rPr>
                <w:sz w:val="20"/>
              </w:rPr>
              <w:t xml:space="preserve">Минсоцразвития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5.12</w:t>
            </w:r>
          </w:p>
        </w:tc>
        <w:tc>
          <w:tcPr>
            <w:tcW w:w="2921" w:type="dxa"/>
          </w:tcPr>
          <w:p>
            <w:pPr>
              <w:pStyle w:val="0"/>
            </w:pPr>
            <w:r>
              <w:rPr>
                <w:sz w:val="20"/>
              </w:rPr>
              <w:t xml:space="preserve">Минблагоустройства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5.13</w:t>
            </w:r>
          </w:p>
        </w:tc>
        <w:tc>
          <w:tcPr>
            <w:tcW w:w="2921" w:type="dxa"/>
          </w:tcPr>
          <w:p>
            <w:pPr>
              <w:pStyle w:val="0"/>
            </w:pPr>
            <w:r>
              <w:rPr>
                <w:sz w:val="20"/>
              </w:rPr>
              <w:t xml:space="preserve">Минжилполитика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5.14</w:t>
            </w:r>
          </w:p>
        </w:tc>
        <w:tc>
          <w:tcPr>
            <w:tcW w:w="2921" w:type="dxa"/>
          </w:tcPr>
          <w:p>
            <w:pPr>
              <w:pStyle w:val="0"/>
            </w:pPr>
            <w:r>
              <w:rPr>
                <w:sz w:val="20"/>
              </w:rPr>
              <w:t xml:space="preserve">Минздрав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99,4</w:t>
            </w:r>
          </w:p>
        </w:tc>
        <w:tc>
          <w:tcPr>
            <w:tcW w:w="1304" w:type="dxa"/>
          </w:tcPr>
          <w:p>
            <w:pPr>
              <w:pStyle w:val="0"/>
            </w:pPr>
            <w:r>
              <w:rPr>
                <w:sz w:val="20"/>
              </w:rPr>
              <w:t xml:space="preserve">105,5</w:t>
            </w:r>
          </w:p>
        </w:tc>
        <w:tc>
          <w:tcPr>
            <w:tcW w:w="1304" w:type="dxa"/>
          </w:tcPr>
          <w:p>
            <w:pPr>
              <w:pStyle w:val="0"/>
            </w:pPr>
            <w:r>
              <w:rPr>
                <w:sz w:val="20"/>
              </w:rPr>
              <w:t xml:space="preserve">110,8</w:t>
            </w:r>
          </w:p>
        </w:tc>
        <w:tc>
          <w:tcPr>
            <w:tcW w:w="1361" w:type="dxa"/>
          </w:tcPr>
          <w:p>
            <w:pPr>
              <w:pStyle w:val="0"/>
            </w:pPr>
            <w:r>
              <w:rPr>
                <w:sz w:val="20"/>
              </w:rPr>
              <w:t xml:space="preserve">99,4</w:t>
            </w:r>
          </w:p>
        </w:tc>
        <w:tc>
          <w:tcPr>
            <w:tcW w:w="1474" w:type="dxa"/>
          </w:tcPr>
          <w:p>
            <w:pPr>
              <w:pStyle w:val="0"/>
            </w:pPr>
            <w:r>
              <w:rPr>
                <w:sz w:val="20"/>
              </w:rPr>
              <w:t xml:space="preserve">105,5</w:t>
            </w:r>
          </w:p>
        </w:tc>
        <w:tc>
          <w:tcPr>
            <w:tcW w:w="1361" w:type="dxa"/>
          </w:tcPr>
          <w:p>
            <w:pPr>
              <w:pStyle w:val="0"/>
            </w:pPr>
            <w:r>
              <w:rPr>
                <w:sz w:val="20"/>
              </w:rPr>
              <w:t xml:space="preserve">110,8</w:t>
            </w:r>
          </w:p>
        </w:tc>
        <w:tc>
          <w:tcPr>
            <w:tcW w:w="1757" w:type="dxa"/>
          </w:tcPr>
          <w:p>
            <w:pPr>
              <w:pStyle w:val="0"/>
            </w:pPr>
            <w:r>
              <w:rPr>
                <w:sz w:val="20"/>
              </w:rPr>
              <w:t xml:space="preserve">X</w:t>
            </w:r>
          </w:p>
        </w:tc>
        <w:tc>
          <w:tcPr>
            <w:tcW w:w="2778" w:type="dxa"/>
          </w:tcPr>
          <w:p>
            <w:pPr>
              <w:pStyle w:val="0"/>
            </w:pPr>
            <w:r>
              <w:rPr>
                <w:sz w:val="20"/>
              </w:rPr>
              <w:t xml:space="preserve">X</w:t>
            </w:r>
          </w:p>
        </w:tc>
      </w:tr>
      <w:tr>
        <w:tblPrEx>
          <w:tblBorders>
            <w:insideH w:val="nil"/>
          </w:tblBorders>
        </w:tblPrEx>
        <w:tc>
          <w:tcPr>
            <w:tcW w:w="794" w:type="dxa"/>
            <w:tcBorders>
              <w:bottom w:val="nil"/>
            </w:tcBorders>
          </w:tcPr>
          <w:p>
            <w:pPr>
              <w:pStyle w:val="0"/>
            </w:pPr>
            <w:r>
              <w:rPr>
                <w:sz w:val="20"/>
              </w:rPr>
              <w:t xml:space="preserve">6</w:t>
            </w:r>
          </w:p>
        </w:tc>
        <w:tc>
          <w:tcPr>
            <w:tcW w:w="2921" w:type="dxa"/>
            <w:tcBorders>
              <w:bottom w:val="nil"/>
            </w:tcBorders>
          </w:tcPr>
          <w:p>
            <w:pPr>
              <w:pStyle w:val="0"/>
            </w:pPr>
            <w:r>
              <w:rPr>
                <w:sz w:val="20"/>
              </w:rPr>
              <w:t xml:space="preserve">Количество созданных рабочих мест</w:t>
            </w:r>
          </w:p>
        </w:tc>
        <w:tc>
          <w:tcPr>
            <w:tcW w:w="2494" w:type="dxa"/>
            <w:tcBorders>
              <w:bottom w:val="nil"/>
            </w:tcBorders>
          </w:tcPr>
          <w:p>
            <w:pPr>
              <w:pStyle w:val="0"/>
            </w:pPr>
            <w:r>
              <w:rPr>
                <w:sz w:val="20"/>
              </w:rPr>
              <w:t xml:space="preserve">СЭР</w:t>
            </w:r>
          </w:p>
        </w:tc>
        <w:tc>
          <w:tcPr>
            <w:tcW w:w="1191" w:type="dxa"/>
            <w:tcBorders>
              <w:bottom w:val="nil"/>
            </w:tcBorders>
          </w:tcPr>
          <w:p>
            <w:pPr>
              <w:pStyle w:val="0"/>
            </w:pPr>
            <w:r>
              <w:rPr>
                <w:sz w:val="20"/>
              </w:rPr>
              <w:t xml:space="preserve">единиц</w:t>
            </w:r>
          </w:p>
        </w:tc>
        <w:tc>
          <w:tcPr>
            <w:tcW w:w="1304" w:type="dxa"/>
            <w:tcBorders>
              <w:bottom w:val="nil"/>
            </w:tcBorders>
          </w:tcPr>
          <w:p>
            <w:pPr>
              <w:pStyle w:val="0"/>
            </w:pPr>
            <w:r>
              <w:rPr>
                <w:sz w:val="20"/>
              </w:rPr>
              <w:t xml:space="preserve">74922</w:t>
            </w:r>
          </w:p>
        </w:tc>
        <w:tc>
          <w:tcPr>
            <w:tcW w:w="1304" w:type="dxa"/>
            <w:tcBorders>
              <w:bottom w:val="nil"/>
            </w:tcBorders>
          </w:tcPr>
          <w:p>
            <w:pPr>
              <w:pStyle w:val="0"/>
            </w:pPr>
            <w:r>
              <w:rPr>
                <w:sz w:val="20"/>
              </w:rPr>
              <w:t xml:space="preserve">70348</w:t>
            </w:r>
          </w:p>
        </w:tc>
        <w:tc>
          <w:tcPr>
            <w:tcW w:w="1304" w:type="dxa"/>
            <w:tcBorders>
              <w:bottom w:val="nil"/>
            </w:tcBorders>
          </w:tcPr>
          <w:p>
            <w:pPr>
              <w:pStyle w:val="0"/>
            </w:pPr>
            <w:r>
              <w:rPr>
                <w:sz w:val="20"/>
              </w:rPr>
              <w:t xml:space="preserve">67853</w:t>
            </w:r>
          </w:p>
        </w:tc>
        <w:tc>
          <w:tcPr>
            <w:tcW w:w="1361" w:type="dxa"/>
            <w:tcBorders>
              <w:bottom w:val="nil"/>
            </w:tcBorders>
          </w:tcPr>
          <w:p>
            <w:pPr>
              <w:pStyle w:val="0"/>
            </w:pPr>
            <w:r>
              <w:rPr>
                <w:sz w:val="20"/>
              </w:rPr>
              <w:t xml:space="preserve">70550</w:t>
            </w:r>
          </w:p>
        </w:tc>
        <w:tc>
          <w:tcPr>
            <w:tcW w:w="1474" w:type="dxa"/>
            <w:tcBorders>
              <w:bottom w:val="nil"/>
            </w:tcBorders>
          </w:tcPr>
          <w:p>
            <w:pPr>
              <w:pStyle w:val="0"/>
            </w:pPr>
            <w:r>
              <w:rPr>
                <w:sz w:val="20"/>
              </w:rPr>
              <w:t xml:space="preserve">73703</w:t>
            </w:r>
          </w:p>
        </w:tc>
        <w:tc>
          <w:tcPr>
            <w:tcW w:w="1361" w:type="dxa"/>
            <w:tcBorders>
              <w:bottom w:val="nil"/>
            </w:tcBorders>
          </w:tcPr>
          <w:p>
            <w:pPr>
              <w:pStyle w:val="0"/>
            </w:pPr>
            <w:r>
              <w:rPr>
                <w:sz w:val="20"/>
              </w:rPr>
              <w:t xml:space="preserve">76236</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1.01.01, 1.02.01, 1.02.02, 1.02.03, 1.02.04, 1.03.01, 1.04.01, 1.04.02, 1.04.03, 1.05.01, 1.05.02, 1.05.03, 1.05.04, 1.06.01, 1.06.02, 1.07.01, 1.08.01, 1.08.02, 1.L2.01, 1.L2.02, 1.50.01, 1.Э2.01, 2.01.01, 2.50.01, 2.50.02, 2.50.03, 2.50.04, 2.50.05, 2.50.06, 2.51.01, 2.51.02, 2.52.01, 2.52.02, 3.01.01, 3.01.02, 3.01.03, 3.01.04, 3.01.05, 3.01.06, 3.01.07, 3.02.02, 3.I2.01, 3.I4.01, 3.I4.02, 3.I5.01, 3.I5.02, 3.I5.03, 4.50.01, 4.50.02, 4.50.03, 4.50.04, 4.50.05, 4.50.06, 4.51.01, 4.52.01, 4.52.02</w:t>
            </w:r>
          </w:p>
        </w:tc>
      </w:tr>
      <w:tr>
        <w:tblPrEx>
          <w:tblBorders>
            <w:insideH w:val="nil"/>
          </w:tblBorders>
        </w:tblPrEx>
        <w:tc>
          <w:tcPr>
            <w:gridSpan w:val="12"/>
            <w:tcW w:w="20043" w:type="dxa"/>
            <w:tcBorders>
              <w:top w:val="nil"/>
            </w:tcBorders>
          </w:tcPr>
          <w:p>
            <w:pPr>
              <w:pStyle w:val="0"/>
              <w:jc w:val="both"/>
            </w:pPr>
            <w:r>
              <w:rPr>
                <w:sz w:val="20"/>
              </w:rPr>
              <w:t xml:space="preserve">(строка 6 в ред. </w:t>
            </w:r>
            <w:hyperlink w:history="0" r:id="rId171"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794" w:type="dxa"/>
          </w:tcPr>
          <w:p>
            <w:pPr>
              <w:pStyle w:val="0"/>
            </w:pPr>
            <w:r>
              <w:rPr>
                <w:sz w:val="20"/>
              </w:rPr>
              <w:t xml:space="preserve">6.1</w:t>
            </w:r>
          </w:p>
        </w:tc>
        <w:tc>
          <w:tcPr>
            <w:tcW w:w="2921" w:type="dxa"/>
          </w:tcPr>
          <w:p>
            <w:pPr>
              <w:pStyle w:val="0"/>
            </w:pPr>
            <w:r>
              <w:rPr>
                <w:sz w:val="20"/>
              </w:rPr>
              <w:t xml:space="preserve">Мининвест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56321</w:t>
            </w:r>
          </w:p>
        </w:tc>
        <w:tc>
          <w:tcPr>
            <w:tcW w:w="1304" w:type="dxa"/>
          </w:tcPr>
          <w:p>
            <w:pPr>
              <w:pStyle w:val="0"/>
            </w:pPr>
            <w:r>
              <w:rPr>
                <w:sz w:val="20"/>
              </w:rPr>
              <w:t xml:space="preserve">49364</w:t>
            </w:r>
          </w:p>
        </w:tc>
        <w:tc>
          <w:tcPr>
            <w:tcW w:w="1304" w:type="dxa"/>
          </w:tcPr>
          <w:p>
            <w:pPr>
              <w:pStyle w:val="0"/>
            </w:pPr>
            <w:r>
              <w:rPr>
                <w:sz w:val="20"/>
              </w:rPr>
              <w:t xml:space="preserve">53498</w:t>
            </w:r>
          </w:p>
        </w:tc>
        <w:tc>
          <w:tcPr>
            <w:tcW w:w="1361" w:type="dxa"/>
          </w:tcPr>
          <w:p>
            <w:pPr>
              <w:pStyle w:val="0"/>
            </w:pPr>
            <w:r>
              <w:rPr>
                <w:sz w:val="20"/>
              </w:rPr>
              <w:t xml:space="preserve">56321</w:t>
            </w:r>
          </w:p>
        </w:tc>
        <w:tc>
          <w:tcPr>
            <w:tcW w:w="1474" w:type="dxa"/>
          </w:tcPr>
          <w:p>
            <w:pPr>
              <w:pStyle w:val="0"/>
            </w:pPr>
            <w:r>
              <w:rPr>
                <w:sz w:val="20"/>
              </w:rPr>
              <w:t xml:space="preserve">49364</w:t>
            </w:r>
          </w:p>
        </w:tc>
        <w:tc>
          <w:tcPr>
            <w:tcW w:w="1361" w:type="dxa"/>
          </w:tcPr>
          <w:p>
            <w:pPr>
              <w:pStyle w:val="0"/>
            </w:pPr>
            <w:r>
              <w:rPr>
                <w:sz w:val="20"/>
              </w:rPr>
              <w:t xml:space="preserve">53498</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6.2</w:t>
            </w:r>
          </w:p>
        </w:tc>
        <w:tc>
          <w:tcPr>
            <w:tcW w:w="2921" w:type="dxa"/>
          </w:tcPr>
          <w:p>
            <w:pPr>
              <w:pStyle w:val="0"/>
            </w:pPr>
            <w:r>
              <w:rPr>
                <w:sz w:val="20"/>
              </w:rPr>
              <w:t xml:space="preserve">МТДи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700</w:t>
            </w:r>
          </w:p>
        </w:tc>
        <w:tc>
          <w:tcPr>
            <w:tcW w:w="1304" w:type="dxa"/>
          </w:tcPr>
          <w:p>
            <w:pPr>
              <w:pStyle w:val="0"/>
            </w:pPr>
            <w:r>
              <w:rPr>
                <w:sz w:val="20"/>
              </w:rPr>
              <w:t xml:space="preserve">1400</w:t>
            </w:r>
          </w:p>
        </w:tc>
        <w:tc>
          <w:tcPr>
            <w:tcW w:w="1304" w:type="dxa"/>
          </w:tcPr>
          <w:p>
            <w:pPr>
              <w:pStyle w:val="0"/>
            </w:pPr>
            <w:r>
              <w:rPr>
                <w:sz w:val="20"/>
              </w:rPr>
              <w:t xml:space="preserve">1600</w:t>
            </w:r>
          </w:p>
        </w:tc>
        <w:tc>
          <w:tcPr>
            <w:tcW w:w="1361" w:type="dxa"/>
          </w:tcPr>
          <w:p>
            <w:pPr>
              <w:pStyle w:val="0"/>
            </w:pPr>
            <w:r>
              <w:rPr>
                <w:sz w:val="20"/>
              </w:rPr>
              <w:t xml:space="preserve">700</w:t>
            </w:r>
          </w:p>
        </w:tc>
        <w:tc>
          <w:tcPr>
            <w:tcW w:w="1474" w:type="dxa"/>
          </w:tcPr>
          <w:p>
            <w:pPr>
              <w:pStyle w:val="0"/>
            </w:pPr>
            <w:r>
              <w:rPr>
                <w:sz w:val="20"/>
              </w:rPr>
              <w:t xml:space="preserve">1400</w:t>
            </w:r>
          </w:p>
        </w:tc>
        <w:tc>
          <w:tcPr>
            <w:tcW w:w="1361" w:type="dxa"/>
          </w:tcPr>
          <w:p>
            <w:pPr>
              <w:pStyle w:val="0"/>
            </w:pPr>
            <w:r>
              <w:rPr>
                <w:sz w:val="20"/>
              </w:rPr>
              <w:t xml:space="preserve">1600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6.3</w:t>
            </w:r>
          </w:p>
        </w:tc>
        <w:tc>
          <w:tcPr>
            <w:tcW w:w="2921" w:type="dxa"/>
          </w:tcPr>
          <w:p>
            <w:pPr>
              <w:pStyle w:val="0"/>
            </w:pPr>
            <w:r>
              <w:rPr>
                <w:sz w:val="20"/>
              </w:rPr>
              <w:t xml:space="preserve">Министерство образования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3200</w:t>
            </w:r>
          </w:p>
        </w:tc>
        <w:tc>
          <w:tcPr>
            <w:tcW w:w="1304" w:type="dxa"/>
          </w:tcPr>
          <w:p>
            <w:pPr>
              <w:pStyle w:val="0"/>
            </w:pPr>
            <w:r>
              <w:rPr>
                <w:sz w:val="20"/>
              </w:rPr>
              <w:t xml:space="preserve">3551</w:t>
            </w:r>
          </w:p>
        </w:tc>
        <w:tc>
          <w:tcPr>
            <w:tcW w:w="1304" w:type="dxa"/>
          </w:tcPr>
          <w:p>
            <w:pPr>
              <w:pStyle w:val="0"/>
            </w:pPr>
            <w:r>
              <w:rPr>
                <w:sz w:val="20"/>
              </w:rPr>
              <w:t xml:space="preserve">3856</w:t>
            </w:r>
          </w:p>
        </w:tc>
        <w:tc>
          <w:tcPr>
            <w:tcW w:w="1361" w:type="dxa"/>
          </w:tcPr>
          <w:p>
            <w:pPr>
              <w:pStyle w:val="0"/>
            </w:pPr>
            <w:r>
              <w:rPr>
                <w:sz w:val="20"/>
              </w:rPr>
              <w:t xml:space="preserve">3200</w:t>
            </w:r>
          </w:p>
        </w:tc>
        <w:tc>
          <w:tcPr>
            <w:tcW w:w="1474" w:type="dxa"/>
          </w:tcPr>
          <w:p>
            <w:pPr>
              <w:pStyle w:val="0"/>
            </w:pPr>
            <w:r>
              <w:rPr>
                <w:sz w:val="20"/>
              </w:rPr>
              <w:t xml:space="preserve">3551</w:t>
            </w:r>
          </w:p>
        </w:tc>
        <w:tc>
          <w:tcPr>
            <w:tcW w:w="1361" w:type="dxa"/>
          </w:tcPr>
          <w:p>
            <w:pPr>
              <w:pStyle w:val="0"/>
            </w:pPr>
            <w:r>
              <w:rPr>
                <w:sz w:val="20"/>
              </w:rPr>
              <w:t xml:space="preserve">3856</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6.4</w:t>
            </w:r>
          </w:p>
        </w:tc>
        <w:tc>
          <w:tcPr>
            <w:tcW w:w="2921" w:type="dxa"/>
          </w:tcPr>
          <w:p>
            <w:pPr>
              <w:pStyle w:val="0"/>
            </w:pPr>
            <w:r>
              <w:rPr>
                <w:sz w:val="20"/>
              </w:rPr>
              <w:t xml:space="preserve">Минсельхозпрод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4268</w:t>
            </w:r>
          </w:p>
        </w:tc>
        <w:tc>
          <w:tcPr>
            <w:tcW w:w="1304" w:type="dxa"/>
          </w:tcPr>
          <w:p>
            <w:pPr>
              <w:pStyle w:val="0"/>
            </w:pPr>
            <w:r>
              <w:rPr>
                <w:sz w:val="20"/>
              </w:rPr>
              <w:t xml:space="preserve">4268</w:t>
            </w:r>
          </w:p>
        </w:tc>
        <w:tc>
          <w:tcPr>
            <w:tcW w:w="1304" w:type="dxa"/>
          </w:tcPr>
          <w:p>
            <w:pPr>
              <w:pStyle w:val="0"/>
            </w:pPr>
            <w:r>
              <w:rPr>
                <w:sz w:val="20"/>
              </w:rPr>
              <w:t xml:space="preserve">4906</w:t>
            </w:r>
          </w:p>
        </w:tc>
        <w:tc>
          <w:tcPr>
            <w:tcW w:w="1361" w:type="dxa"/>
          </w:tcPr>
          <w:p>
            <w:pPr>
              <w:pStyle w:val="0"/>
            </w:pPr>
            <w:r>
              <w:rPr>
                <w:sz w:val="20"/>
              </w:rPr>
              <w:t xml:space="preserve">4268</w:t>
            </w:r>
          </w:p>
        </w:tc>
        <w:tc>
          <w:tcPr>
            <w:tcW w:w="1474" w:type="dxa"/>
          </w:tcPr>
          <w:p>
            <w:pPr>
              <w:pStyle w:val="0"/>
            </w:pPr>
            <w:r>
              <w:rPr>
                <w:sz w:val="20"/>
              </w:rPr>
              <w:t xml:space="preserve">4268</w:t>
            </w:r>
          </w:p>
        </w:tc>
        <w:tc>
          <w:tcPr>
            <w:tcW w:w="1361" w:type="dxa"/>
          </w:tcPr>
          <w:p>
            <w:pPr>
              <w:pStyle w:val="0"/>
            </w:pPr>
            <w:r>
              <w:rPr>
                <w:sz w:val="20"/>
              </w:rPr>
              <w:t xml:space="preserve">4906</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6.5</w:t>
            </w:r>
          </w:p>
        </w:tc>
        <w:tc>
          <w:tcPr>
            <w:tcW w:w="2921" w:type="dxa"/>
          </w:tcPr>
          <w:p>
            <w:pPr>
              <w:pStyle w:val="0"/>
            </w:pPr>
            <w:r>
              <w:rPr>
                <w:sz w:val="20"/>
              </w:rPr>
              <w:t xml:space="preserve">Минздрав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130</w:t>
            </w:r>
          </w:p>
        </w:tc>
        <w:tc>
          <w:tcPr>
            <w:tcW w:w="1304" w:type="dxa"/>
          </w:tcPr>
          <w:p>
            <w:pPr>
              <w:pStyle w:val="0"/>
            </w:pPr>
            <w:r>
              <w:rPr>
                <w:sz w:val="20"/>
              </w:rPr>
              <w:t xml:space="preserve">140</w:t>
            </w:r>
          </w:p>
        </w:tc>
        <w:tc>
          <w:tcPr>
            <w:tcW w:w="1304" w:type="dxa"/>
          </w:tcPr>
          <w:p>
            <w:pPr>
              <w:pStyle w:val="0"/>
            </w:pPr>
            <w:r>
              <w:rPr>
                <w:sz w:val="20"/>
              </w:rPr>
              <w:t xml:space="preserve">50</w:t>
            </w:r>
          </w:p>
        </w:tc>
        <w:tc>
          <w:tcPr>
            <w:tcW w:w="1361" w:type="dxa"/>
          </w:tcPr>
          <w:p>
            <w:pPr>
              <w:pStyle w:val="0"/>
            </w:pPr>
            <w:r>
              <w:rPr>
                <w:sz w:val="20"/>
              </w:rPr>
              <w:t xml:space="preserve">130</w:t>
            </w:r>
          </w:p>
        </w:tc>
        <w:tc>
          <w:tcPr>
            <w:tcW w:w="1474" w:type="dxa"/>
          </w:tcPr>
          <w:p>
            <w:pPr>
              <w:pStyle w:val="0"/>
            </w:pPr>
            <w:r>
              <w:rPr>
                <w:sz w:val="20"/>
              </w:rPr>
              <w:t xml:space="preserve">140</w:t>
            </w:r>
          </w:p>
        </w:tc>
        <w:tc>
          <w:tcPr>
            <w:tcW w:w="1361" w:type="dxa"/>
          </w:tcPr>
          <w:p>
            <w:pPr>
              <w:pStyle w:val="0"/>
            </w:pPr>
            <w:r>
              <w:rPr>
                <w:sz w:val="20"/>
              </w:rPr>
              <w:t xml:space="preserve">50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6.6</w:t>
            </w:r>
          </w:p>
        </w:tc>
        <w:tc>
          <w:tcPr>
            <w:tcW w:w="2921" w:type="dxa"/>
          </w:tcPr>
          <w:p>
            <w:pPr>
              <w:pStyle w:val="0"/>
            </w:pPr>
            <w:r>
              <w:rPr>
                <w:sz w:val="20"/>
              </w:rPr>
              <w:t xml:space="preserve">Минэнерго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800</w:t>
            </w:r>
          </w:p>
        </w:tc>
        <w:tc>
          <w:tcPr>
            <w:tcW w:w="1304" w:type="dxa"/>
          </w:tcPr>
          <w:p>
            <w:pPr>
              <w:pStyle w:val="0"/>
            </w:pPr>
            <w:r>
              <w:rPr>
                <w:sz w:val="20"/>
              </w:rPr>
              <w:t xml:space="preserve">850</w:t>
            </w:r>
          </w:p>
        </w:tc>
        <w:tc>
          <w:tcPr>
            <w:tcW w:w="1304" w:type="dxa"/>
          </w:tcPr>
          <w:p>
            <w:pPr>
              <w:pStyle w:val="0"/>
            </w:pPr>
            <w:r>
              <w:rPr>
                <w:sz w:val="20"/>
              </w:rPr>
              <w:t xml:space="preserve">900</w:t>
            </w:r>
          </w:p>
        </w:tc>
        <w:tc>
          <w:tcPr>
            <w:tcW w:w="1361" w:type="dxa"/>
          </w:tcPr>
          <w:p>
            <w:pPr>
              <w:pStyle w:val="0"/>
            </w:pPr>
            <w:r>
              <w:rPr>
                <w:sz w:val="20"/>
              </w:rPr>
              <w:t xml:space="preserve">800</w:t>
            </w:r>
          </w:p>
        </w:tc>
        <w:tc>
          <w:tcPr>
            <w:tcW w:w="1474" w:type="dxa"/>
          </w:tcPr>
          <w:p>
            <w:pPr>
              <w:pStyle w:val="0"/>
            </w:pPr>
            <w:r>
              <w:rPr>
                <w:sz w:val="20"/>
              </w:rPr>
              <w:t xml:space="preserve">850</w:t>
            </w:r>
          </w:p>
        </w:tc>
        <w:tc>
          <w:tcPr>
            <w:tcW w:w="1361" w:type="dxa"/>
          </w:tcPr>
          <w:p>
            <w:pPr>
              <w:pStyle w:val="0"/>
            </w:pPr>
            <w:r>
              <w:rPr>
                <w:sz w:val="20"/>
              </w:rPr>
              <w:t xml:space="preserve">900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6.7</w:t>
            </w:r>
          </w:p>
        </w:tc>
        <w:tc>
          <w:tcPr>
            <w:tcW w:w="2921" w:type="dxa"/>
          </w:tcPr>
          <w:p>
            <w:pPr>
              <w:pStyle w:val="0"/>
            </w:pPr>
            <w:r>
              <w:rPr>
                <w:sz w:val="20"/>
              </w:rPr>
              <w:t xml:space="preserve">Мингосуправления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500</w:t>
            </w:r>
          </w:p>
        </w:tc>
        <w:tc>
          <w:tcPr>
            <w:tcW w:w="1304" w:type="dxa"/>
          </w:tcPr>
          <w:p>
            <w:pPr>
              <w:pStyle w:val="0"/>
            </w:pPr>
            <w:r>
              <w:rPr>
                <w:sz w:val="20"/>
              </w:rPr>
              <w:t xml:space="preserve">800</w:t>
            </w:r>
          </w:p>
        </w:tc>
        <w:tc>
          <w:tcPr>
            <w:tcW w:w="1304" w:type="dxa"/>
          </w:tcPr>
          <w:p>
            <w:pPr>
              <w:pStyle w:val="0"/>
            </w:pPr>
            <w:r>
              <w:rPr>
                <w:sz w:val="20"/>
              </w:rPr>
              <w:t xml:space="preserve">900</w:t>
            </w:r>
          </w:p>
        </w:tc>
        <w:tc>
          <w:tcPr>
            <w:tcW w:w="1361" w:type="dxa"/>
          </w:tcPr>
          <w:p>
            <w:pPr>
              <w:pStyle w:val="0"/>
            </w:pPr>
            <w:r>
              <w:rPr>
                <w:sz w:val="20"/>
              </w:rPr>
              <w:t xml:space="preserve">500</w:t>
            </w:r>
          </w:p>
        </w:tc>
        <w:tc>
          <w:tcPr>
            <w:tcW w:w="1474" w:type="dxa"/>
          </w:tcPr>
          <w:p>
            <w:pPr>
              <w:pStyle w:val="0"/>
            </w:pPr>
            <w:r>
              <w:rPr>
                <w:sz w:val="20"/>
              </w:rPr>
              <w:t xml:space="preserve">800</w:t>
            </w:r>
          </w:p>
        </w:tc>
        <w:tc>
          <w:tcPr>
            <w:tcW w:w="1361" w:type="dxa"/>
          </w:tcPr>
          <w:p>
            <w:pPr>
              <w:pStyle w:val="0"/>
            </w:pPr>
            <w:r>
              <w:rPr>
                <w:sz w:val="20"/>
              </w:rPr>
              <w:t xml:space="preserve">900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6.8</w:t>
            </w:r>
          </w:p>
        </w:tc>
        <w:tc>
          <w:tcPr>
            <w:tcW w:w="2921" w:type="dxa"/>
          </w:tcPr>
          <w:p>
            <w:pPr>
              <w:pStyle w:val="0"/>
            </w:pPr>
            <w:r>
              <w:rPr>
                <w:sz w:val="20"/>
              </w:rPr>
              <w:t xml:space="preserve">Министерство ЖКХ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2725</w:t>
            </w:r>
          </w:p>
        </w:tc>
        <w:tc>
          <w:tcPr>
            <w:tcW w:w="1304" w:type="dxa"/>
          </w:tcPr>
          <w:p>
            <w:pPr>
              <w:pStyle w:val="0"/>
            </w:pPr>
            <w:r>
              <w:rPr>
                <w:sz w:val="20"/>
              </w:rPr>
              <w:t xml:space="preserve">2898</w:t>
            </w:r>
          </w:p>
        </w:tc>
        <w:tc>
          <w:tcPr>
            <w:tcW w:w="1304" w:type="dxa"/>
          </w:tcPr>
          <w:p>
            <w:pPr>
              <w:pStyle w:val="0"/>
            </w:pPr>
            <w:r>
              <w:rPr>
                <w:sz w:val="20"/>
              </w:rPr>
              <w:t xml:space="preserve">3000</w:t>
            </w:r>
          </w:p>
        </w:tc>
        <w:tc>
          <w:tcPr>
            <w:tcW w:w="1361" w:type="dxa"/>
          </w:tcPr>
          <w:p>
            <w:pPr>
              <w:pStyle w:val="0"/>
            </w:pPr>
            <w:r>
              <w:rPr>
                <w:sz w:val="20"/>
              </w:rPr>
              <w:t xml:space="preserve">2725</w:t>
            </w:r>
          </w:p>
        </w:tc>
        <w:tc>
          <w:tcPr>
            <w:tcW w:w="1474" w:type="dxa"/>
          </w:tcPr>
          <w:p>
            <w:pPr>
              <w:pStyle w:val="0"/>
            </w:pPr>
            <w:r>
              <w:rPr>
                <w:sz w:val="20"/>
              </w:rPr>
              <w:t xml:space="preserve">2898</w:t>
            </w:r>
          </w:p>
        </w:tc>
        <w:tc>
          <w:tcPr>
            <w:tcW w:w="1361" w:type="dxa"/>
          </w:tcPr>
          <w:p>
            <w:pPr>
              <w:pStyle w:val="0"/>
            </w:pPr>
            <w:r>
              <w:rPr>
                <w:sz w:val="20"/>
              </w:rPr>
              <w:t xml:space="preserve">3000</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6.9</w:t>
            </w:r>
          </w:p>
        </w:tc>
        <w:tc>
          <w:tcPr>
            <w:tcW w:w="2921" w:type="dxa"/>
          </w:tcPr>
          <w:p>
            <w:pPr>
              <w:pStyle w:val="0"/>
            </w:pPr>
            <w:r>
              <w:rPr>
                <w:sz w:val="20"/>
              </w:rPr>
              <w:t xml:space="preserve">Минкультуры и туризма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2300</w:t>
            </w:r>
          </w:p>
        </w:tc>
        <w:tc>
          <w:tcPr>
            <w:tcW w:w="1304" w:type="dxa"/>
          </w:tcPr>
          <w:p>
            <w:pPr>
              <w:pStyle w:val="0"/>
            </w:pPr>
            <w:r>
              <w:rPr>
                <w:sz w:val="20"/>
              </w:rPr>
              <w:t xml:space="preserve">2643</w:t>
            </w:r>
          </w:p>
        </w:tc>
        <w:tc>
          <w:tcPr>
            <w:tcW w:w="1304" w:type="dxa"/>
          </w:tcPr>
          <w:p>
            <w:pPr>
              <w:pStyle w:val="0"/>
            </w:pPr>
            <w:r>
              <w:rPr>
                <w:sz w:val="20"/>
              </w:rPr>
              <w:t xml:space="preserve">2445</w:t>
            </w:r>
          </w:p>
        </w:tc>
        <w:tc>
          <w:tcPr>
            <w:tcW w:w="1361" w:type="dxa"/>
          </w:tcPr>
          <w:p>
            <w:pPr>
              <w:pStyle w:val="0"/>
            </w:pPr>
            <w:r>
              <w:rPr>
                <w:sz w:val="20"/>
              </w:rPr>
              <w:t xml:space="preserve">2300</w:t>
            </w:r>
          </w:p>
        </w:tc>
        <w:tc>
          <w:tcPr>
            <w:tcW w:w="1474" w:type="dxa"/>
          </w:tcPr>
          <w:p>
            <w:pPr>
              <w:pStyle w:val="0"/>
            </w:pPr>
            <w:r>
              <w:rPr>
                <w:sz w:val="20"/>
              </w:rPr>
              <w:t xml:space="preserve">2643</w:t>
            </w:r>
          </w:p>
        </w:tc>
        <w:tc>
          <w:tcPr>
            <w:tcW w:w="1361" w:type="dxa"/>
          </w:tcPr>
          <w:p>
            <w:pPr>
              <w:pStyle w:val="0"/>
            </w:pPr>
            <w:r>
              <w:rPr>
                <w:sz w:val="20"/>
              </w:rPr>
              <w:t xml:space="preserve">2445</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6.10</w:t>
            </w:r>
          </w:p>
        </w:tc>
        <w:tc>
          <w:tcPr>
            <w:tcW w:w="2921" w:type="dxa"/>
          </w:tcPr>
          <w:p>
            <w:pPr>
              <w:pStyle w:val="0"/>
            </w:pPr>
            <w:r>
              <w:rPr>
                <w:sz w:val="20"/>
              </w:rPr>
              <w:t xml:space="preserve">Минспорт Московской области</w:t>
            </w:r>
          </w:p>
        </w:tc>
        <w:tc>
          <w:tcPr>
            <w:tcW w:w="2494" w:type="dxa"/>
          </w:tcPr>
          <w:p>
            <w:pPr>
              <w:pStyle w:val="0"/>
            </w:pPr>
            <w:r>
              <w:rPr>
                <w:sz w:val="20"/>
              </w:rPr>
              <w:t xml:space="preserve">X</w:t>
            </w:r>
          </w:p>
        </w:tc>
        <w:tc>
          <w:tcPr>
            <w:tcW w:w="1191" w:type="dxa"/>
          </w:tcPr>
          <w:p>
            <w:pPr>
              <w:pStyle w:val="0"/>
            </w:pPr>
            <w:r>
              <w:rPr>
                <w:sz w:val="20"/>
              </w:rPr>
              <w:t xml:space="preserve">X</w:t>
            </w:r>
          </w:p>
        </w:tc>
        <w:tc>
          <w:tcPr>
            <w:tcW w:w="1304" w:type="dxa"/>
          </w:tcPr>
          <w:p>
            <w:pPr>
              <w:pStyle w:val="0"/>
            </w:pPr>
            <w:r>
              <w:rPr>
                <w:sz w:val="20"/>
              </w:rPr>
              <w:t xml:space="preserve">2256</w:t>
            </w:r>
          </w:p>
        </w:tc>
        <w:tc>
          <w:tcPr>
            <w:tcW w:w="1304" w:type="dxa"/>
          </w:tcPr>
          <w:p>
            <w:pPr>
              <w:pStyle w:val="0"/>
            </w:pPr>
            <w:r>
              <w:rPr>
                <w:sz w:val="20"/>
              </w:rPr>
              <w:t xml:space="preserve">2637</w:t>
            </w:r>
          </w:p>
        </w:tc>
        <w:tc>
          <w:tcPr>
            <w:tcW w:w="1304" w:type="dxa"/>
          </w:tcPr>
          <w:p>
            <w:pPr>
              <w:pStyle w:val="0"/>
            </w:pPr>
            <w:r>
              <w:rPr>
                <w:sz w:val="20"/>
              </w:rPr>
              <w:t xml:space="preserve">2701</w:t>
            </w:r>
          </w:p>
        </w:tc>
        <w:tc>
          <w:tcPr>
            <w:tcW w:w="1361" w:type="dxa"/>
          </w:tcPr>
          <w:p>
            <w:pPr>
              <w:pStyle w:val="0"/>
            </w:pPr>
            <w:r>
              <w:rPr>
                <w:sz w:val="20"/>
              </w:rPr>
              <w:t xml:space="preserve">2256</w:t>
            </w:r>
          </w:p>
        </w:tc>
        <w:tc>
          <w:tcPr>
            <w:tcW w:w="1474" w:type="dxa"/>
          </w:tcPr>
          <w:p>
            <w:pPr>
              <w:pStyle w:val="0"/>
            </w:pPr>
            <w:r>
              <w:rPr>
                <w:sz w:val="20"/>
              </w:rPr>
              <w:t xml:space="preserve">2637</w:t>
            </w:r>
          </w:p>
        </w:tc>
        <w:tc>
          <w:tcPr>
            <w:tcW w:w="1361" w:type="dxa"/>
          </w:tcPr>
          <w:p>
            <w:pPr>
              <w:pStyle w:val="0"/>
            </w:pPr>
            <w:r>
              <w:rPr>
                <w:sz w:val="20"/>
              </w:rPr>
              <w:t xml:space="preserve">2701</w:t>
            </w:r>
          </w:p>
        </w:tc>
        <w:tc>
          <w:tcPr>
            <w:tcW w:w="1757" w:type="dxa"/>
          </w:tcPr>
          <w:p>
            <w:pPr>
              <w:pStyle w:val="0"/>
            </w:pPr>
            <w:r>
              <w:rPr>
                <w:sz w:val="20"/>
              </w:rPr>
              <w:t xml:space="preserve">X</w:t>
            </w:r>
          </w:p>
        </w:tc>
        <w:tc>
          <w:tcPr>
            <w:tcW w:w="2778" w:type="dxa"/>
          </w:tcPr>
          <w:p>
            <w:pPr>
              <w:pStyle w:val="0"/>
            </w:pPr>
            <w:r>
              <w:rPr>
                <w:sz w:val="20"/>
              </w:rPr>
              <w:t xml:space="preserve">X</w:t>
            </w:r>
          </w:p>
        </w:tc>
      </w:tr>
      <w:tr>
        <w:tc>
          <w:tcPr>
            <w:tcW w:w="794" w:type="dxa"/>
          </w:tcPr>
          <w:p>
            <w:pPr>
              <w:pStyle w:val="0"/>
            </w:pPr>
            <w:r>
              <w:rPr>
                <w:sz w:val="20"/>
              </w:rPr>
              <w:t xml:space="preserve">7</w:t>
            </w:r>
          </w:p>
        </w:tc>
        <w:tc>
          <w:tcPr>
            <w:tcW w:w="2921" w:type="dxa"/>
          </w:tcPr>
          <w:p>
            <w:pPr>
              <w:pStyle w:val="0"/>
            </w:pPr>
            <w:r>
              <w:rPr>
                <w:sz w:val="20"/>
              </w:rPr>
              <w:t xml:space="preserve">Индекс совокупной результативности реализации мероприятий, направленных на развитие конкуренции</w:t>
            </w:r>
          </w:p>
        </w:tc>
        <w:tc>
          <w:tcPr>
            <w:tcW w:w="2494" w:type="dxa"/>
          </w:tcPr>
          <w:p>
            <w:pPr>
              <w:pStyle w:val="0"/>
            </w:pPr>
            <w:r>
              <w:rPr>
                <w:sz w:val="20"/>
              </w:rPr>
              <w:t xml:space="preserve">Отраслевой показатель</w:t>
            </w:r>
          </w:p>
        </w:tc>
        <w:tc>
          <w:tcPr>
            <w:tcW w:w="1191" w:type="dxa"/>
          </w:tcPr>
          <w:p>
            <w:pPr>
              <w:pStyle w:val="0"/>
            </w:pPr>
            <w:r>
              <w:rPr>
                <w:sz w:val="20"/>
              </w:rPr>
              <w:t xml:space="preserve">единица</w:t>
            </w:r>
          </w:p>
        </w:tc>
        <w:tc>
          <w:tcPr>
            <w:tcW w:w="1304" w:type="dxa"/>
          </w:tcPr>
          <w:p>
            <w:pPr>
              <w:pStyle w:val="0"/>
            </w:pPr>
            <w:r>
              <w:rPr>
                <w:sz w:val="20"/>
              </w:rPr>
              <w:t xml:space="preserve">-</w:t>
            </w:r>
          </w:p>
        </w:tc>
        <w:tc>
          <w:tcPr>
            <w:tcW w:w="1304" w:type="dxa"/>
          </w:tcPr>
          <w:p>
            <w:pPr>
              <w:pStyle w:val="0"/>
            </w:pPr>
            <w:r>
              <w:rPr>
                <w:sz w:val="20"/>
              </w:rPr>
              <w:t xml:space="preserve">1</w:t>
            </w:r>
          </w:p>
        </w:tc>
        <w:tc>
          <w:tcPr>
            <w:tcW w:w="1304" w:type="dxa"/>
          </w:tcPr>
          <w:p>
            <w:pPr>
              <w:pStyle w:val="0"/>
            </w:pPr>
            <w:r>
              <w:rPr>
                <w:sz w:val="20"/>
              </w:rPr>
              <w:t xml:space="preserve">1</w:t>
            </w:r>
          </w:p>
        </w:tc>
        <w:tc>
          <w:tcPr>
            <w:tcW w:w="1361" w:type="dxa"/>
          </w:tcPr>
          <w:p>
            <w:pPr>
              <w:pStyle w:val="0"/>
            </w:pPr>
            <w:r>
              <w:rPr>
                <w:sz w:val="20"/>
              </w:rPr>
              <w:t xml:space="preserve">1</w:t>
            </w:r>
          </w:p>
        </w:tc>
        <w:tc>
          <w:tcPr>
            <w:tcW w:w="1474" w:type="dxa"/>
          </w:tcPr>
          <w:p>
            <w:pPr>
              <w:pStyle w:val="0"/>
            </w:pPr>
            <w:r>
              <w:rPr>
                <w:sz w:val="20"/>
              </w:rPr>
              <w:t xml:space="preserve">1</w:t>
            </w:r>
          </w:p>
        </w:tc>
        <w:tc>
          <w:tcPr>
            <w:tcW w:w="1361" w:type="dxa"/>
          </w:tcPr>
          <w:p>
            <w:pPr>
              <w:pStyle w:val="0"/>
            </w:pPr>
            <w:r>
              <w:rPr>
                <w:sz w:val="20"/>
              </w:rPr>
              <w:t xml:space="preserve">1</w:t>
            </w:r>
          </w:p>
        </w:tc>
        <w:tc>
          <w:tcPr>
            <w:tcW w:w="1757" w:type="dxa"/>
          </w:tcPr>
          <w:p>
            <w:pPr>
              <w:pStyle w:val="0"/>
            </w:pPr>
            <w:r>
              <w:rPr>
                <w:sz w:val="20"/>
              </w:rPr>
              <w:t xml:space="preserve">Комитет по конкурентной политике Московской области</w:t>
            </w:r>
          </w:p>
        </w:tc>
        <w:tc>
          <w:tcPr>
            <w:tcW w:w="2778" w:type="dxa"/>
          </w:tcPr>
          <w:p>
            <w:pPr>
              <w:pStyle w:val="0"/>
            </w:pPr>
            <w:r>
              <w:rPr>
                <w:sz w:val="20"/>
              </w:rPr>
              <w:t xml:space="preserve">2.01.01, 2.50.01, 2.50.02, 2.50.03, 2.50.04, 2.50.05, 2.50.06, 2.51.01, 2.51.02, 2.52.01, 2.52.02</w:t>
            </w:r>
          </w:p>
        </w:tc>
      </w:tr>
      <w:tr>
        <w:tblPrEx>
          <w:tblBorders>
            <w:insideH w:val="nil"/>
          </w:tblBorders>
        </w:tblPrEx>
        <w:tc>
          <w:tcPr>
            <w:tcW w:w="794" w:type="dxa"/>
            <w:tcBorders>
              <w:bottom w:val="nil"/>
            </w:tcBorders>
          </w:tcPr>
          <w:p>
            <w:pPr>
              <w:pStyle w:val="0"/>
            </w:pPr>
            <w:r>
              <w:rPr>
                <w:sz w:val="20"/>
              </w:rPr>
              <w:t xml:space="preserve">8</w:t>
            </w:r>
          </w:p>
        </w:tc>
        <w:tc>
          <w:tcPr>
            <w:tcW w:w="2921" w:type="dxa"/>
            <w:tcBorders>
              <w:bottom w:val="nil"/>
            </w:tcBorders>
          </w:tcPr>
          <w:p>
            <w:pPr>
              <w:pStyle w:val="0"/>
            </w:pPr>
            <w:r>
              <w:rPr>
                <w:sz w:val="20"/>
              </w:rPr>
              <w:t xml:space="preserve">Количество вновь созданных субъектов МСП</w:t>
            </w:r>
          </w:p>
        </w:tc>
        <w:tc>
          <w:tcPr>
            <w:tcW w:w="2494" w:type="dxa"/>
            <w:tcBorders>
              <w:bottom w:val="nil"/>
            </w:tcBorders>
          </w:tcPr>
          <w:p>
            <w:pPr>
              <w:pStyle w:val="0"/>
            </w:pPr>
            <w:r>
              <w:rPr>
                <w:sz w:val="20"/>
              </w:rPr>
              <w:t xml:space="preserve">Отраслевой показатель</w:t>
            </w:r>
          </w:p>
        </w:tc>
        <w:tc>
          <w:tcPr>
            <w:tcW w:w="1191" w:type="dxa"/>
            <w:tcBorders>
              <w:bottom w:val="nil"/>
            </w:tcBorders>
          </w:tcPr>
          <w:p>
            <w:pPr>
              <w:pStyle w:val="0"/>
            </w:pPr>
            <w:r>
              <w:rPr>
                <w:sz w:val="20"/>
              </w:rPr>
              <w:t xml:space="preserve">тыс. единиц</w:t>
            </w:r>
          </w:p>
        </w:tc>
        <w:tc>
          <w:tcPr>
            <w:tcW w:w="1304" w:type="dxa"/>
            <w:tcBorders>
              <w:bottom w:val="nil"/>
            </w:tcBorders>
          </w:tcPr>
          <w:p>
            <w:pPr>
              <w:pStyle w:val="0"/>
            </w:pPr>
            <w:r>
              <w:rPr>
                <w:sz w:val="20"/>
              </w:rPr>
              <w:t xml:space="preserve">77,483</w:t>
            </w:r>
          </w:p>
        </w:tc>
        <w:tc>
          <w:tcPr>
            <w:tcW w:w="1304" w:type="dxa"/>
            <w:tcBorders>
              <w:bottom w:val="nil"/>
            </w:tcBorders>
          </w:tcPr>
          <w:p>
            <w:pPr>
              <w:pStyle w:val="0"/>
            </w:pPr>
            <w:r>
              <w:rPr>
                <w:sz w:val="20"/>
              </w:rPr>
              <w:t xml:space="preserve">78,00</w:t>
            </w:r>
          </w:p>
        </w:tc>
        <w:tc>
          <w:tcPr>
            <w:tcW w:w="1304" w:type="dxa"/>
            <w:tcBorders>
              <w:bottom w:val="nil"/>
            </w:tcBorders>
          </w:tcPr>
          <w:p>
            <w:pPr>
              <w:pStyle w:val="0"/>
            </w:pPr>
            <w:r>
              <w:rPr>
                <w:sz w:val="20"/>
              </w:rPr>
              <w:t xml:space="preserve">79,00</w:t>
            </w:r>
          </w:p>
        </w:tc>
        <w:tc>
          <w:tcPr>
            <w:tcW w:w="1361" w:type="dxa"/>
            <w:tcBorders>
              <w:bottom w:val="nil"/>
            </w:tcBorders>
          </w:tcPr>
          <w:p>
            <w:pPr>
              <w:pStyle w:val="0"/>
            </w:pPr>
            <w:r>
              <w:rPr>
                <w:sz w:val="20"/>
              </w:rPr>
              <w:t xml:space="preserve">80,00</w:t>
            </w:r>
          </w:p>
        </w:tc>
        <w:tc>
          <w:tcPr>
            <w:tcW w:w="1474" w:type="dxa"/>
            <w:tcBorders>
              <w:bottom w:val="nil"/>
            </w:tcBorders>
          </w:tcPr>
          <w:p>
            <w:pPr>
              <w:pStyle w:val="0"/>
            </w:pPr>
            <w:r>
              <w:rPr>
                <w:sz w:val="20"/>
              </w:rPr>
              <w:t xml:space="preserve">81,00</w:t>
            </w:r>
          </w:p>
        </w:tc>
        <w:tc>
          <w:tcPr>
            <w:tcW w:w="1361" w:type="dxa"/>
            <w:tcBorders>
              <w:bottom w:val="nil"/>
            </w:tcBorders>
          </w:tcPr>
          <w:p>
            <w:pPr>
              <w:pStyle w:val="0"/>
            </w:pPr>
            <w:r>
              <w:rPr>
                <w:sz w:val="20"/>
              </w:rPr>
              <w:t xml:space="preserve">82,00</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3.01.01, 3.01.02, 3.01.03, 3.01.04, 3.01.05, 3.01.06, 3.01.07, 3.I2.01, 3.I4.01, 3.I4.02, 3.I5.01, 3.I5.02, 3.I5.03, 3.02.01 3.02.02</w:t>
            </w:r>
          </w:p>
        </w:tc>
      </w:tr>
      <w:tr>
        <w:tblPrEx>
          <w:tblBorders>
            <w:insideH w:val="nil"/>
          </w:tblBorders>
        </w:tblPrEx>
        <w:tc>
          <w:tcPr>
            <w:gridSpan w:val="12"/>
            <w:tcW w:w="20043" w:type="dxa"/>
            <w:tcBorders>
              <w:top w:val="nil"/>
            </w:tcBorders>
          </w:tcPr>
          <w:p>
            <w:pPr>
              <w:pStyle w:val="0"/>
              <w:jc w:val="both"/>
            </w:pPr>
            <w:r>
              <w:rPr>
                <w:sz w:val="20"/>
              </w:rPr>
              <w:t xml:space="preserve">(в ред. постановлений Правительства МО от 31.10.2023 </w:t>
            </w:r>
            <w:hyperlink w:history="0" r:id="rId172"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1003-ПП</w:t>
              </w:r>
            </w:hyperlink>
            <w:r>
              <w:rPr>
                <w:sz w:val="20"/>
              </w:rPr>
              <w:t xml:space="preserve">, от 09.10.2023</w:t>
            </w:r>
          </w:p>
          <w:p>
            <w:pPr>
              <w:pStyle w:val="0"/>
              <w:jc w:val="both"/>
            </w:pPr>
            <w:hyperlink w:history="0" r:id="rId173" w:tooltip="Постановление Правительства МО от 09.10.2023 N 8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833-ПП</w:t>
              </w:r>
            </w:hyperlink>
            <w:r>
              <w:rPr>
                <w:sz w:val="20"/>
              </w:rPr>
              <w:t xml:space="preserve">, от 08.10.2024 </w:t>
            </w:r>
            <w:hyperlink w:history="0" r:id="rId174"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rPr>
              <w:t xml:space="preserve">, от 25.12.2024 </w:t>
            </w:r>
            <w:hyperlink w:history="0" r:id="rId17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rPr>
              <w:t xml:space="preserve">)</w:t>
            </w:r>
          </w:p>
        </w:tc>
      </w:tr>
      <w:tr>
        <w:tblPrEx>
          <w:tblBorders>
            <w:insideH w:val="nil"/>
          </w:tblBorders>
        </w:tblPrEx>
        <w:tc>
          <w:tcPr>
            <w:tcW w:w="794" w:type="dxa"/>
            <w:tcBorders>
              <w:bottom w:val="nil"/>
            </w:tcBorders>
          </w:tcPr>
          <w:p>
            <w:pPr>
              <w:pStyle w:val="0"/>
            </w:pPr>
            <w:r>
              <w:rPr>
                <w:sz w:val="20"/>
              </w:rPr>
              <w:t xml:space="preserve">9</w:t>
            </w:r>
          </w:p>
        </w:tc>
        <w:tc>
          <w:tcPr>
            <w:tcW w:w="2921" w:type="dxa"/>
            <w:tcBorders>
              <w:bottom w:val="nil"/>
            </w:tcBorders>
          </w:tcPr>
          <w:p>
            <w:pPr>
              <w:pStyle w:val="0"/>
            </w:pPr>
            <w:r>
              <w:rPr>
                <w:sz w:val="20"/>
              </w:rPr>
              <w:t xml:space="preserve">Численность занятых в сфере малого и среднего предпринимательства, включая индивидуальных предпринимателей и самозанятых</w:t>
            </w:r>
          </w:p>
        </w:tc>
        <w:tc>
          <w:tcPr>
            <w:tcW w:w="2494" w:type="dxa"/>
            <w:tcBorders>
              <w:bottom w:val="nil"/>
            </w:tcBorders>
          </w:tcPr>
          <w:p>
            <w:pPr>
              <w:pStyle w:val="0"/>
            </w:pPr>
            <w:hyperlink w:history="0" r:id="rId176"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КонсультантПлюс}">
              <w:r>
                <w:rPr>
                  <w:sz w:val="20"/>
                  <w:color w:val="0000ff"/>
                </w:rPr>
                <w:t xml:space="preserve">Указ</w:t>
              </w:r>
            </w:hyperlink>
            <w:r>
              <w:rPr>
                <w:sz w:val="20"/>
              </w:rPr>
              <w:t xml:space="preserve"> ПРФ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91" w:type="dxa"/>
            <w:tcBorders>
              <w:bottom w:val="nil"/>
            </w:tcBorders>
          </w:tcPr>
          <w:p>
            <w:pPr>
              <w:pStyle w:val="0"/>
            </w:pPr>
            <w:r>
              <w:rPr>
                <w:sz w:val="20"/>
              </w:rPr>
              <w:t xml:space="preserve">тыс. человек</w:t>
            </w:r>
          </w:p>
        </w:tc>
        <w:tc>
          <w:tcPr>
            <w:tcW w:w="1304" w:type="dxa"/>
            <w:tcBorders>
              <w:bottom w:val="nil"/>
            </w:tcBorders>
          </w:tcPr>
          <w:p>
            <w:pPr>
              <w:pStyle w:val="0"/>
            </w:pPr>
            <w:r>
              <w:rPr>
                <w:sz w:val="20"/>
              </w:rPr>
              <w:t xml:space="preserve">1759,105</w:t>
            </w:r>
          </w:p>
        </w:tc>
        <w:tc>
          <w:tcPr>
            <w:tcW w:w="1304" w:type="dxa"/>
            <w:tcBorders>
              <w:bottom w:val="nil"/>
            </w:tcBorders>
          </w:tcPr>
          <w:p>
            <w:pPr>
              <w:pStyle w:val="0"/>
            </w:pPr>
            <w:r>
              <w:rPr>
                <w:sz w:val="20"/>
              </w:rPr>
              <w:t xml:space="preserve">1475</w:t>
            </w:r>
          </w:p>
        </w:tc>
        <w:tc>
          <w:tcPr>
            <w:tcW w:w="1304" w:type="dxa"/>
            <w:tcBorders>
              <w:bottom w:val="nil"/>
            </w:tcBorders>
          </w:tcPr>
          <w:p>
            <w:pPr>
              <w:pStyle w:val="0"/>
            </w:pPr>
            <w:r>
              <w:rPr>
                <w:sz w:val="20"/>
              </w:rPr>
              <w:t xml:space="preserve">1552,639</w:t>
            </w:r>
          </w:p>
        </w:tc>
        <w:tc>
          <w:tcPr>
            <w:tcW w:w="136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361" w:type="dxa"/>
            <w:tcBorders>
              <w:bottom w:val="nil"/>
            </w:tcBorders>
          </w:tcPr>
          <w:p>
            <w:pPr>
              <w:pStyle w:val="0"/>
            </w:pPr>
            <w:r>
              <w:rPr>
                <w:sz w:val="20"/>
              </w:rPr>
              <w:t xml:space="preserve">-</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3.01.01, 3.01.02, 3.01.03, 3.01.04, 3.01.05, 3.01.06, 3.I2.01, 3.I4.01, 3.I4.02, 3.I5.01, 3.I5.02, 3.I5.03, 3.02.01</w:t>
            </w:r>
          </w:p>
        </w:tc>
      </w:tr>
      <w:tr>
        <w:tblPrEx>
          <w:tblBorders>
            <w:insideH w:val="nil"/>
          </w:tblBorders>
        </w:tblPrEx>
        <w:tc>
          <w:tcPr>
            <w:gridSpan w:val="12"/>
            <w:tcW w:w="20043" w:type="dxa"/>
            <w:tcBorders>
              <w:top w:val="nil"/>
            </w:tcBorders>
          </w:tcPr>
          <w:p>
            <w:pPr>
              <w:pStyle w:val="0"/>
              <w:jc w:val="both"/>
            </w:pPr>
            <w:r>
              <w:rPr>
                <w:sz w:val="20"/>
              </w:rPr>
              <w:t xml:space="preserve">(строка 9 в ред. </w:t>
            </w:r>
            <w:hyperlink w:history="0" r:id="rId17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blPrEx>
          <w:tblBorders>
            <w:insideH w:val="nil"/>
          </w:tblBorders>
        </w:tblPrEx>
        <w:tc>
          <w:tcPr>
            <w:tcW w:w="794" w:type="dxa"/>
            <w:tcBorders>
              <w:bottom w:val="nil"/>
            </w:tcBorders>
          </w:tcPr>
          <w:p>
            <w:pPr>
              <w:pStyle w:val="0"/>
            </w:pPr>
            <w:r>
              <w:rPr>
                <w:sz w:val="20"/>
              </w:rPr>
              <w:t xml:space="preserve">10</w:t>
            </w:r>
          </w:p>
        </w:tc>
        <w:tc>
          <w:tcPr>
            <w:tcW w:w="2921" w:type="dxa"/>
            <w:tcBorders>
              <w:bottom w:val="nil"/>
            </w:tcBorders>
          </w:tcPr>
          <w:p>
            <w:pPr>
              <w:pStyle w:val="0"/>
            </w:pPr>
            <w:r>
              <w:rPr>
                <w:sz w:val="20"/>
              </w:rPr>
              <w:t xml:space="preserve">Индекс физического объема оборота розничной торговли</w:t>
            </w:r>
          </w:p>
        </w:tc>
        <w:tc>
          <w:tcPr>
            <w:tcW w:w="2494" w:type="dxa"/>
            <w:tcBorders>
              <w:bottom w:val="nil"/>
            </w:tcBorders>
          </w:tcPr>
          <w:p>
            <w:pPr>
              <w:pStyle w:val="0"/>
            </w:pPr>
            <w:r>
              <w:rPr>
                <w:sz w:val="20"/>
              </w:rPr>
              <w:t xml:space="preserve">СЭР</w:t>
            </w:r>
          </w:p>
        </w:tc>
        <w:tc>
          <w:tcPr>
            <w:tcW w:w="1191" w:type="dxa"/>
            <w:tcBorders>
              <w:bottom w:val="nil"/>
            </w:tcBorders>
          </w:tcPr>
          <w:p>
            <w:pPr>
              <w:pStyle w:val="0"/>
            </w:pPr>
            <w:r>
              <w:rPr>
                <w:sz w:val="20"/>
              </w:rPr>
              <w:t xml:space="preserve">процент</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102,8</w:t>
            </w:r>
          </w:p>
        </w:tc>
        <w:tc>
          <w:tcPr>
            <w:tcW w:w="1304" w:type="dxa"/>
            <w:tcBorders>
              <w:bottom w:val="nil"/>
            </w:tcBorders>
          </w:tcPr>
          <w:p>
            <w:pPr>
              <w:pStyle w:val="0"/>
            </w:pPr>
            <w:r>
              <w:rPr>
                <w:sz w:val="20"/>
              </w:rPr>
              <w:t xml:space="preserve">105,6</w:t>
            </w:r>
          </w:p>
        </w:tc>
        <w:tc>
          <w:tcPr>
            <w:tcW w:w="1361" w:type="dxa"/>
            <w:tcBorders>
              <w:bottom w:val="nil"/>
            </w:tcBorders>
          </w:tcPr>
          <w:p>
            <w:pPr>
              <w:pStyle w:val="0"/>
            </w:pPr>
            <w:r>
              <w:rPr>
                <w:sz w:val="20"/>
              </w:rPr>
              <w:t xml:space="preserve">106,9</w:t>
            </w:r>
          </w:p>
        </w:tc>
        <w:tc>
          <w:tcPr>
            <w:tcW w:w="1474" w:type="dxa"/>
            <w:tcBorders>
              <w:bottom w:val="nil"/>
            </w:tcBorders>
          </w:tcPr>
          <w:p>
            <w:pPr>
              <w:pStyle w:val="0"/>
            </w:pPr>
            <w:r>
              <w:rPr>
                <w:sz w:val="20"/>
              </w:rPr>
              <w:t xml:space="preserve">104,9</w:t>
            </w:r>
          </w:p>
        </w:tc>
        <w:tc>
          <w:tcPr>
            <w:tcW w:w="1361" w:type="dxa"/>
            <w:tcBorders>
              <w:bottom w:val="nil"/>
            </w:tcBorders>
          </w:tcPr>
          <w:p>
            <w:pPr>
              <w:pStyle w:val="0"/>
            </w:pPr>
            <w:r>
              <w:rPr>
                <w:sz w:val="20"/>
              </w:rPr>
              <w:t xml:space="preserve">104,1</w:t>
            </w:r>
          </w:p>
        </w:tc>
        <w:tc>
          <w:tcPr>
            <w:tcW w:w="1757" w:type="dxa"/>
            <w:tcBorders>
              <w:bottom w:val="nil"/>
            </w:tcBorders>
          </w:tcPr>
          <w:p>
            <w:pPr>
              <w:pStyle w:val="0"/>
            </w:pPr>
            <w:r>
              <w:rPr>
                <w:sz w:val="20"/>
              </w:rPr>
              <w:t xml:space="preserve">Минсельхозпрод Московской области</w:t>
            </w:r>
          </w:p>
        </w:tc>
        <w:tc>
          <w:tcPr>
            <w:tcW w:w="2778" w:type="dxa"/>
            <w:tcBorders>
              <w:bottom w:val="nil"/>
            </w:tcBorders>
          </w:tcPr>
          <w:p>
            <w:pPr>
              <w:pStyle w:val="0"/>
            </w:pPr>
            <w:r>
              <w:rPr>
                <w:sz w:val="20"/>
              </w:rPr>
              <w:t xml:space="preserve">4.50.01, 4.50.02, 4.50.03, 4.50.04, 4.50.06</w:t>
            </w:r>
          </w:p>
        </w:tc>
      </w:tr>
      <w:tr>
        <w:tblPrEx>
          <w:tblBorders>
            <w:insideH w:val="nil"/>
          </w:tblBorders>
        </w:tblPrEx>
        <w:tc>
          <w:tcPr>
            <w:gridSpan w:val="12"/>
            <w:tcW w:w="20043" w:type="dxa"/>
            <w:tcBorders>
              <w:top w:val="nil"/>
            </w:tcBorders>
          </w:tcPr>
          <w:p>
            <w:pPr>
              <w:pStyle w:val="0"/>
              <w:jc w:val="both"/>
            </w:pPr>
            <w:r>
              <w:rPr>
                <w:sz w:val="20"/>
              </w:rPr>
              <w:t xml:space="preserve">(строка 10 в ред. </w:t>
            </w:r>
            <w:hyperlink w:history="0" r:id="rId178" w:tooltip="Постановление Правительства МО от 09.10.2023 N 8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09.10.2023 N 833-ПП)</w:t>
            </w:r>
          </w:p>
        </w:tc>
      </w:tr>
      <w:tr>
        <w:tc>
          <w:tcPr>
            <w:tcW w:w="794" w:type="dxa"/>
          </w:tcPr>
          <w:p>
            <w:pPr>
              <w:pStyle w:val="0"/>
            </w:pPr>
            <w:r>
              <w:rPr>
                <w:sz w:val="20"/>
              </w:rPr>
              <w:t xml:space="preserve">11</w:t>
            </w:r>
          </w:p>
        </w:tc>
        <w:tc>
          <w:tcPr>
            <w:tcW w:w="2921" w:type="dxa"/>
          </w:tcPr>
          <w:p>
            <w:pPr>
              <w:pStyle w:val="0"/>
            </w:pPr>
            <w:r>
              <w:rPr>
                <w:sz w:val="20"/>
              </w:rPr>
              <w:t xml:space="preserve">Индекс физического объема оборота оптовой торговли</w:t>
            </w:r>
          </w:p>
        </w:tc>
        <w:tc>
          <w:tcPr>
            <w:tcW w:w="2494" w:type="dxa"/>
          </w:tcPr>
          <w:p>
            <w:pPr>
              <w:pStyle w:val="0"/>
            </w:pPr>
            <w:r>
              <w:rPr>
                <w:sz w:val="20"/>
              </w:rPr>
              <w:t xml:space="preserve">СЭР</w:t>
            </w:r>
          </w:p>
        </w:tc>
        <w:tc>
          <w:tcPr>
            <w:tcW w:w="1191" w:type="dxa"/>
          </w:tcPr>
          <w:p>
            <w:pPr>
              <w:pStyle w:val="0"/>
            </w:pPr>
            <w:r>
              <w:rPr>
                <w:sz w:val="20"/>
              </w:rPr>
              <w:t xml:space="preserve">процент</w:t>
            </w:r>
          </w:p>
        </w:tc>
        <w:tc>
          <w:tcPr>
            <w:tcW w:w="1304" w:type="dxa"/>
          </w:tcPr>
          <w:p>
            <w:pPr>
              <w:pStyle w:val="0"/>
            </w:pPr>
            <w:r>
              <w:rPr>
                <w:sz w:val="20"/>
              </w:rPr>
              <w:t xml:space="preserve">-</w:t>
            </w:r>
          </w:p>
        </w:tc>
        <w:tc>
          <w:tcPr>
            <w:tcW w:w="1304" w:type="dxa"/>
          </w:tcPr>
          <w:p>
            <w:pPr>
              <w:pStyle w:val="0"/>
            </w:pPr>
            <w:r>
              <w:rPr>
                <w:sz w:val="20"/>
              </w:rPr>
              <w:t xml:space="preserve">102,1</w:t>
            </w:r>
          </w:p>
        </w:tc>
        <w:tc>
          <w:tcPr>
            <w:tcW w:w="1304" w:type="dxa"/>
          </w:tcPr>
          <w:p>
            <w:pPr>
              <w:pStyle w:val="0"/>
            </w:pPr>
            <w:r>
              <w:rPr>
                <w:sz w:val="20"/>
              </w:rPr>
              <w:t xml:space="preserve">105,8</w:t>
            </w:r>
          </w:p>
        </w:tc>
        <w:tc>
          <w:tcPr>
            <w:tcW w:w="1361" w:type="dxa"/>
          </w:tcPr>
          <w:p>
            <w:pPr>
              <w:pStyle w:val="0"/>
            </w:pPr>
            <w:r>
              <w:rPr>
                <w:sz w:val="20"/>
              </w:rPr>
              <w:t xml:space="preserve">106,0</w:t>
            </w:r>
          </w:p>
        </w:tc>
        <w:tc>
          <w:tcPr>
            <w:tcW w:w="1474" w:type="dxa"/>
          </w:tcPr>
          <w:p>
            <w:pPr>
              <w:pStyle w:val="0"/>
            </w:pPr>
            <w:r>
              <w:rPr>
                <w:sz w:val="20"/>
              </w:rPr>
              <w:t xml:space="preserve">106,2</w:t>
            </w:r>
          </w:p>
        </w:tc>
        <w:tc>
          <w:tcPr>
            <w:tcW w:w="1361" w:type="dxa"/>
          </w:tcPr>
          <w:p>
            <w:pPr>
              <w:pStyle w:val="0"/>
            </w:pPr>
            <w:r>
              <w:rPr>
                <w:sz w:val="20"/>
              </w:rPr>
              <w:t xml:space="preserve">106,4</w:t>
            </w:r>
          </w:p>
        </w:tc>
        <w:tc>
          <w:tcPr>
            <w:tcW w:w="1757" w:type="dxa"/>
          </w:tcPr>
          <w:p>
            <w:pPr>
              <w:pStyle w:val="0"/>
            </w:pPr>
            <w:r>
              <w:rPr>
                <w:sz w:val="20"/>
              </w:rPr>
              <w:t xml:space="preserve">Минсельхозпрод Московской области</w:t>
            </w:r>
          </w:p>
        </w:tc>
        <w:tc>
          <w:tcPr>
            <w:tcW w:w="2778" w:type="dxa"/>
          </w:tcPr>
          <w:p>
            <w:pPr>
              <w:pStyle w:val="0"/>
            </w:pPr>
            <w:r>
              <w:rPr>
                <w:sz w:val="20"/>
              </w:rPr>
              <w:t xml:space="preserve">4.50.05</w:t>
            </w:r>
          </w:p>
        </w:tc>
      </w:tr>
      <w:tr>
        <w:tblPrEx>
          <w:tblBorders>
            <w:insideH w:val="nil"/>
          </w:tblBorders>
        </w:tblPrEx>
        <w:tc>
          <w:tcPr>
            <w:tcW w:w="794" w:type="dxa"/>
            <w:tcBorders>
              <w:bottom w:val="nil"/>
            </w:tcBorders>
          </w:tcPr>
          <w:p>
            <w:pPr>
              <w:pStyle w:val="0"/>
            </w:pPr>
            <w:r>
              <w:rPr>
                <w:sz w:val="20"/>
              </w:rPr>
              <w:t xml:space="preserve">12</w:t>
            </w:r>
          </w:p>
        </w:tc>
        <w:tc>
          <w:tcPr>
            <w:tcW w:w="2921" w:type="dxa"/>
            <w:tcBorders>
              <w:bottom w:val="nil"/>
            </w:tcBorders>
          </w:tcPr>
          <w:p>
            <w:pPr>
              <w:pStyle w:val="0"/>
            </w:pPr>
            <w:r>
              <w:rPr>
                <w:sz w:val="20"/>
              </w:rPr>
              <w:t xml:space="preserve">Индекс физического объема оборота общественного питания</w:t>
            </w:r>
          </w:p>
        </w:tc>
        <w:tc>
          <w:tcPr>
            <w:tcW w:w="2494" w:type="dxa"/>
            <w:tcBorders>
              <w:bottom w:val="nil"/>
            </w:tcBorders>
          </w:tcPr>
          <w:p>
            <w:pPr>
              <w:pStyle w:val="0"/>
            </w:pPr>
            <w:r>
              <w:rPr>
                <w:sz w:val="20"/>
              </w:rPr>
              <w:t xml:space="preserve">СЭР</w:t>
            </w:r>
          </w:p>
        </w:tc>
        <w:tc>
          <w:tcPr>
            <w:tcW w:w="1191" w:type="dxa"/>
            <w:tcBorders>
              <w:bottom w:val="nil"/>
            </w:tcBorders>
          </w:tcPr>
          <w:p>
            <w:pPr>
              <w:pStyle w:val="0"/>
            </w:pPr>
            <w:r>
              <w:rPr>
                <w:sz w:val="20"/>
              </w:rPr>
              <w:t xml:space="preserve">процент</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102,7</w:t>
            </w:r>
          </w:p>
        </w:tc>
        <w:tc>
          <w:tcPr>
            <w:tcW w:w="1304" w:type="dxa"/>
            <w:tcBorders>
              <w:bottom w:val="nil"/>
            </w:tcBorders>
          </w:tcPr>
          <w:p>
            <w:pPr>
              <w:pStyle w:val="0"/>
            </w:pPr>
            <w:r>
              <w:rPr>
                <w:sz w:val="20"/>
              </w:rPr>
              <w:t xml:space="preserve">105,0</w:t>
            </w:r>
          </w:p>
        </w:tc>
        <w:tc>
          <w:tcPr>
            <w:tcW w:w="1361" w:type="dxa"/>
            <w:tcBorders>
              <w:bottom w:val="nil"/>
            </w:tcBorders>
          </w:tcPr>
          <w:p>
            <w:pPr>
              <w:pStyle w:val="0"/>
            </w:pPr>
            <w:r>
              <w:rPr>
                <w:sz w:val="20"/>
              </w:rPr>
              <w:t xml:space="preserve">105,4</w:t>
            </w:r>
          </w:p>
        </w:tc>
        <w:tc>
          <w:tcPr>
            <w:tcW w:w="1474" w:type="dxa"/>
            <w:tcBorders>
              <w:bottom w:val="nil"/>
            </w:tcBorders>
          </w:tcPr>
          <w:p>
            <w:pPr>
              <w:pStyle w:val="0"/>
            </w:pPr>
            <w:r>
              <w:rPr>
                <w:sz w:val="20"/>
              </w:rPr>
              <w:t xml:space="preserve">104,4</w:t>
            </w:r>
          </w:p>
        </w:tc>
        <w:tc>
          <w:tcPr>
            <w:tcW w:w="1361" w:type="dxa"/>
            <w:tcBorders>
              <w:bottom w:val="nil"/>
            </w:tcBorders>
          </w:tcPr>
          <w:p>
            <w:pPr>
              <w:pStyle w:val="0"/>
            </w:pPr>
            <w:r>
              <w:rPr>
                <w:sz w:val="20"/>
              </w:rPr>
              <w:t xml:space="preserve">103,8</w:t>
            </w:r>
          </w:p>
        </w:tc>
        <w:tc>
          <w:tcPr>
            <w:tcW w:w="1757" w:type="dxa"/>
            <w:tcBorders>
              <w:bottom w:val="nil"/>
            </w:tcBorders>
          </w:tcPr>
          <w:p>
            <w:pPr>
              <w:pStyle w:val="0"/>
            </w:pPr>
            <w:r>
              <w:rPr>
                <w:sz w:val="20"/>
              </w:rPr>
              <w:t xml:space="preserve">Минсельхозпрод Московской области</w:t>
            </w:r>
          </w:p>
        </w:tc>
        <w:tc>
          <w:tcPr>
            <w:tcW w:w="2778" w:type="dxa"/>
            <w:tcBorders>
              <w:bottom w:val="nil"/>
            </w:tcBorders>
          </w:tcPr>
          <w:p>
            <w:pPr>
              <w:pStyle w:val="0"/>
            </w:pPr>
            <w:r>
              <w:rPr>
                <w:sz w:val="20"/>
              </w:rPr>
              <w:t xml:space="preserve">4.51.01</w:t>
            </w:r>
          </w:p>
        </w:tc>
      </w:tr>
      <w:tr>
        <w:tblPrEx>
          <w:tblBorders>
            <w:insideH w:val="nil"/>
          </w:tblBorders>
        </w:tblPrEx>
        <w:tc>
          <w:tcPr>
            <w:gridSpan w:val="12"/>
            <w:tcW w:w="20043" w:type="dxa"/>
            <w:tcBorders>
              <w:top w:val="nil"/>
            </w:tcBorders>
          </w:tcPr>
          <w:p>
            <w:pPr>
              <w:pStyle w:val="0"/>
              <w:jc w:val="both"/>
            </w:pPr>
            <w:r>
              <w:rPr>
                <w:sz w:val="20"/>
              </w:rPr>
              <w:t xml:space="preserve">(строка 12 в ред. </w:t>
            </w:r>
            <w:hyperlink w:history="0" r:id="rId179" w:tooltip="Постановление Правительства МО от 16.08.2024 N 87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16.08.2024 N 872-ПП)</w:t>
            </w:r>
          </w:p>
        </w:tc>
      </w:tr>
      <w:tr>
        <w:tc>
          <w:tcPr>
            <w:tcW w:w="794" w:type="dxa"/>
          </w:tcPr>
          <w:p>
            <w:pPr>
              <w:pStyle w:val="0"/>
            </w:pPr>
            <w:r>
              <w:rPr>
                <w:sz w:val="20"/>
              </w:rPr>
              <w:t xml:space="preserve">13</w:t>
            </w:r>
          </w:p>
        </w:tc>
        <w:tc>
          <w:tcPr>
            <w:tcW w:w="2921" w:type="dxa"/>
          </w:tcPr>
          <w:p>
            <w:pPr>
              <w:pStyle w:val="0"/>
            </w:pPr>
            <w:r>
              <w:rPr>
                <w:sz w:val="20"/>
              </w:rPr>
              <w:t xml:space="preserve">Темп роста оборота организаций, осуществляющих деятельность по предоставлению бытовых услуг населению</w:t>
            </w:r>
          </w:p>
        </w:tc>
        <w:tc>
          <w:tcPr>
            <w:tcW w:w="2494" w:type="dxa"/>
          </w:tcPr>
          <w:p>
            <w:pPr>
              <w:pStyle w:val="0"/>
            </w:pPr>
            <w:r>
              <w:rPr>
                <w:sz w:val="20"/>
              </w:rPr>
              <w:t xml:space="preserve">Отраслевой показатель</w:t>
            </w:r>
          </w:p>
        </w:tc>
        <w:tc>
          <w:tcPr>
            <w:tcW w:w="1191" w:type="dxa"/>
          </w:tcPr>
          <w:p>
            <w:pPr>
              <w:pStyle w:val="0"/>
            </w:pPr>
            <w:r>
              <w:rPr>
                <w:sz w:val="20"/>
              </w:rPr>
              <w:t xml:space="preserve">процент</w:t>
            </w:r>
          </w:p>
        </w:tc>
        <w:tc>
          <w:tcPr>
            <w:tcW w:w="1304" w:type="dxa"/>
          </w:tcPr>
          <w:p>
            <w:pPr>
              <w:pStyle w:val="0"/>
            </w:pPr>
            <w:r>
              <w:rPr>
                <w:sz w:val="20"/>
              </w:rPr>
              <w:t xml:space="preserve">-</w:t>
            </w:r>
          </w:p>
        </w:tc>
        <w:tc>
          <w:tcPr>
            <w:tcW w:w="1304" w:type="dxa"/>
          </w:tcPr>
          <w:p>
            <w:pPr>
              <w:pStyle w:val="0"/>
            </w:pPr>
            <w:r>
              <w:rPr>
                <w:sz w:val="20"/>
              </w:rPr>
              <w:t xml:space="preserve">101,5</w:t>
            </w:r>
          </w:p>
        </w:tc>
        <w:tc>
          <w:tcPr>
            <w:tcW w:w="1304" w:type="dxa"/>
          </w:tcPr>
          <w:p>
            <w:pPr>
              <w:pStyle w:val="0"/>
            </w:pPr>
            <w:r>
              <w:rPr>
                <w:sz w:val="20"/>
              </w:rPr>
              <w:t xml:space="preserve">102,2</w:t>
            </w:r>
          </w:p>
        </w:tc>
        <w:tc>
          <w:tcPr>
            <w:tcW w:w="1361" w:type="dxa"/>
          </w:tcPr>
          <w:p>
            <w:pPr>
              <w:pStyle w:val="0"/>
            </w:pPr>
            <w:r>
              <w:rPr>
                <w:sz w:val="20"/>
              </w:rPr>
              <w:t xml:space="preserve">102,8</w:t>
            </w:r>
          </w:p>
        </w:tc>
        <w:tc>
          <w:tcPr>
            <w:tcW w:w="1474" w:type="dxa"/>
          </w:tcPr>
          <w:p>
            <w:pPr>
              <w:pStyle w:val="0"/>
            </w:pPr>
            <w:r>
              <w:rPr>
                <w:sz w:val="20"/>
              </w:rPr>
              <w:t xml:space="preserve">103,7</w:t>
            </w:r>
          </w:p>
        </w:tc>
        <w:tc>
          <w:tcPr>
            <w:tcW w:w="1361" w:type="dxa"/>
          </w:tcPr>
          <w:p>
            <w:pPr>
              <w:pStyle w:val="0"/>
            </w:pPr>
            <w:r>
              <w:rPr>
                <w:sz w:val="20"/>
              </w:rPr>
              <w:t xml:space="preserve">105,4</w:t>
            </w:r>
          </w:p>
        </w:tc>
        <w:tc>
          <w:tcPr>
            <w:tcW w:w="1757" w:type="dxa"/>
          </w:tcPr>
          <w:p>
            <w:pPr>
              <w:pStyle w:val="0"/>
            </w:pPr>
            <w:r>
              <w:rPr>
                <w:sz w:val="20"/>
              </w:rPr>
              <w:t xml:space="preserve">Минсельхозпрод Московской области</w:t>
            </w:r>
          </w:p>
        </w:tc>
        <w:tc>
          <w:tcPr>
            <w:tcW w:w="2778" w:type="dxa"/>
          </w:tcPr>
          <w:p>
            <w:pPr>
              <w:pStyle w:val="0"/>
            </w:pPr>
            <w:r>
              <w:rPr>
                <w:sz w:val="20"/>
              </w:rPr>
              <w:t xml:space="preserve">4.52.01, 4.52.02</w:t>
            </w:r>
          </w:p>
        </w:tc>
      </w:tr>
      <w:tr>
        <w:tblPrEx>
          <w:tblBorders>
            <w:insideH w:val="nil"/>
          </w:tblBorders>
        </w:tblPrEx>
        <w:tc>
          <w:tcPr>
            <w:tcW w:w="794" w:type="dxa"/>
            <w:tcBorders>
              <w:bottom w:val="nil"/>
            </w:tcBorders>
          </w:tcPr>
          <w:p>
            <w:pPr>
              <w:pStyle w:val="0"/>
            </w:pPr>
            <w:r>
              <w:rPr>
                <w:sz w:val="20"/>
              </w:rPr>
              <w:t xml:space="preserve">14</w:t>
            </w:r>
          </w:p>
        </w:tc>
        <w:tc>
          <w:tcPr>
            <w:tcW w:w="2921" w:type="dxa"/>
            <w:tcBorders>
              <w:bottom w:val="nil"/>
            </w:tcBorders>
          </w:tcPr>
          <w:p>
            <w:pPr>
              <w:pStyle w:val="0"/>
            </w:pPr>
            <w:r>
              <w:rPr>
                <w:sz w:val="20"/>
              </w:rPr>
              <w:t xml:space="preserve">Среднее снижение времени протекания процессов</w:t>
            </w:r>
          </w:p>
        </w:tc>
        <w:tc>
          <w:tcPr>
            <w:tcW w:w="2494" w:type="dxa"/>
            <w:tcBorders>
              <w:bottom w:val="nil"/>
            </w:tcBorders>
          </w:tcPr>
          <w:p>
            <w:pPr>
              <w:pStyle w:val="0"/>
            </w:pPr>
            <w:r>
              <w:rPr>
                <w:sz w:val="20"/>
              </w:rPr>
              <w:t xml:space="preserve">Отраслевой показатель</w:t>
            </w:r>
          </w:p>
        </w:tc>
        <w:tc>
          <w:tcPr>
            <w:tcW w:w="1191" w:type="dxa"/>
            <w:tcBorders>
              <w:bottom w:val="nil"/>
            </w:tcBorders>
          </w:tcPr>
          <w:p>
            <w:pPr>
              <w:pStyle w:val="0"/>
            </w:pPr>
            <w:r>
              <w:rPr>
                <w:sz w:val="20"/>
              </w:rPr>
              <w:t xml:space="preserve">процент</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5</w:t>
            </w:r>
          </w:p>
        </w:tc>
        <w:tc>
          <w:tcPr>
            <w:tcW w:w="136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361" w:type="dxa"/>
            <w:tcBorders>
              <w:bottom w:val="nil"/>
            </w:tcBorders>
          </w:tcPr>
          <w:p>
            <w:pPr>
              <w:pStyle w:val="0"/>
            </w:pPr>
            <w:r>
              <w:rPr>
                <w:sz w:val="20"/>
              </w:rPr>
              <w:t xml:space="preserve">-</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1.07.02</w:t>
            </w:r>
          </w:p>
        </w:tc>
      </w:tr>
      <w:tr>
        <w:tblPrEx>
          <w:tblBorders>
            <w:insideH w:val="nil"/>
          </w:tblBorders>
        </w:tblPrEx>
        <w:tc>
          <w:tcPr>
            <w:gridSpan w:val="12"/>
            <w:tcW w:w="20043" w:type="dxa"/>
            <w:tcBorders>
              <w:top w:val="nil"/>
            </w:tcBorders>
          </w:tcPr>
          <w:p>
            <w:pPr>
              <w:pStyle w:val="0"/>
              <w:jc w:val="both"/>
            </w:pPr>
            <w:r>
              <w:rPr>
                <w:sz w:val="20"/>
              </w:rPr>
              <w:t xml:space="preserve">(строка 14 в ред. </w:t>
            </w:r>
            <w:hyperlink w:history="0" r:id="rId180" w:tooltip="Постановление Правительства МО от 26.12.2023 N 1301-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26.12.2023 N 1301-ПП)</w:t>
            </w:r>
          </w:p>
        </w:tc>
      </w:tr>
      <w:tr>
        <w:tblPrEx>
          <w:tblBorders>
            <w:insideH w:val="nil"/>
          </w:tblBorders>
        </w:tblPrEx>
        <w:tc>
          <w:tcPr>
            <w:tcW w:w="794" w:type="dxa"/>
            <w:tcBorders>
              <w:bottom w:val="nil"/>
            </w:tcBorders>
          </w:tcPr>
          <w:p>
            <w:pPr>
              <w:pStyle w:val="0"/>
            </w:pPr>
            <w:r>
              <w:rPr>
                <w:sz w:val="20"/>
              </w:rPr>
              <w:t xml:space="preserve">15</w:t>
            </w:r>
          </w:p>
        </w:tc>
        <w:tc>
          <w:tcPr>
            <w:tcW w:w="2921" w:type="dxa"/>
            <w:tcBorders>
              <w:bottom w:val="nil"/>
            </w:tcBorders>
          </w:tcPr>
          <w:p>
            <w:pPr>
              <w:pStyle w:val="0"/>
            </w:pPr>
            <w:r>
              <w:rPr>
                <w:sz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2494" w:type="dxa"/>
            <w:tcBorders>
              <w:bottom w:val="nil"/>
            </w:tcBorders>
          </w:tcPr>
          <w:p>
            <w:pPr>
              <w:pStyle w:val="0"/>
            </w:pPr>
            <w:r>
              <w:rPr>
                <w:sz w:val="20"/>
              </w:rPr>
              <w:t xml:space="preserve">Региональный проект "Создание благоприятных условий для осуществления деятельности самозанятыми гражданами"</w:t>
            </w:r>
          </w:p>
        </w:tc>
        <w:tc>
          <w:tcPr>
            <w:tcW w:w="1191" w:type="dxa"/>
            <w:tcBorders>
              <w:bottom w:val="nil"/>
            </w:tcBorders>
          </w:tcPr>
          <w:p>
            <w:pPr>
              <w:pStyle w:val="0"/>
            </w:pPr>
            <w:r>
              <w:rPr>
                <w:sz w:val="20"/>
              </w:rPr>
              <w:t xml:space="preserve">тыс. человек</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180,435</w:t>
            </w:r>
          </w:p>
        </w:tc>
        <w:tc>
          <w:tcPr>
            <w:tcW w:w="1304" w:type="dxa"/>
            <w:tcBorders>
              <w:bottom w:val="nil"/>
            </w:tcBorders>
          </w:tcPr>
          <w:p>
            <w:pPr>
              <w:pStyle w:val="0"/>
            </w:pPr>
            <w:r>
              <w:rPr>
                <w:sz w:val="20"/>
              </w:rPr>
              <w:t xml:space="preserve">186,266</w:t>
            </w:r>
          </w:p>
        </w:tc>
        <w:tc>
          <w:tcPr>
            <w:tcW w:w="136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361" w:type="dxa"/>
            <w:tcBorders>
              <w:bottom w:val="nil"/>
            </w:tcBorders>
          </w:tcPr>
          <w:p>
            <w:pPr>
              <w:pStyle w:val="0"/>
            </w:pPr>
            <w:r>
              <w:rPr>
                <w:sz w:val="20"/>
              </w:rPr>
              <w:t xml:space="preserve">-</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3.I2.01</w:t>
            </w:r>
          </w:p>
        </w:tc>
      </w:tr>
      <w:tr>
        <w:tblPrEx>
          <w:tblBorders>
            <w:insideH w:val="nil"/>
          </w:tblBorders>
        </w:tblPrEx>
        <w:tc>
          <w:tcPr>
            <w:gridSpan w:val="12"/>
            <w:tcW w:w="20043" w:type="dxa"/>
            <w:tcBorders>
              <w:top w:val="nil"/>
            </w:tcBorders>
          </w:tcPr>
          <w:p>
            <w:pPr>
              <w:pStyle w:val="0"/>
              <w:jc w:val="both"/>
            </w:pPr>
            <w:r>
              <w:rPr>
                <w:sz w:val="20"/>
              </w:rPr>
              <w:t xml:space="preserve">(строка 15 введена </w:t>
            </w:r>
            <w:hyperlink w:history="0" r:id="rId181"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31.10.2023 N 1003-ПП)</w:t>
            </w:r>
          </w:p>
        </w:tc>
      </w:tr>
      <w:tr>
        <w:tblPrEx>
          <w:tblBorders>
            <w:insideH w:val="nil"/>
          </w:tblBorders>
        </w:tblPrEx>
        <w:tc>
          <w:tcPr>
            <w:tcW w:w="794" w:type="dxa"/>
            <w:tcBorders>
              <w:bottom w:val="nil"/>
            </w:tcBorders>
          </w:tcPr>
          <w:p>
            <w:pPr>
              <w:pStyle w:val="0"/>
            </w:pPr>
            <w:r>
              <w:rPr>
                <w:sz w:val="20"/>
              </w:rPr>
              <w:t xml:space="preserve">16</w:t>
            </w:r>
          </w:p>
        </w:tc>
        <w:tc>
          <w:tcPr>
            <w:tcW w:w="2921" w:type="dxa"/>
            <w:tcBorders>
              <w:bottom w:val="nil"/>
            </w:tcBorders>
          </w:tcPr>
          <w:p>
            <w:pPr>
              <w:pStyle w:val="0"/>
            </w:pPr>
            <w:r>
              <w:rPr>
                <w:sz w:val="20"/>
              </w:rPr>
              <w:t xml:space="preserve">Количество инвестиционных проектов, занесенных в АИС "Инвестор", находящихся на сопровождении Министерства и ОМСУ, в расчете на одного специалиста</w:t>
            </w:r>
          </w:p>
        </w:tc>
        <w:tc>
          <w:tcPr>
            <w:tcW w:w="2494" w:type="dxa"/>
            <w:tcBorders>
              <w:bottom w:val="nil"/>
            </w:tcBorders>
          </w:tcPr>
          <w:p>
            <w:pPr>
              <w:pStyle w:val="0"/>
            </w:pPr>
            <w:r>
              <w:rPr>
                <w:sz w:val="20"/>
              </w:rPr>
              <w:t xml:space="preserve">Отраслевой показатель</w:t>
            </w:r>
          </w:p>
        </w:tc>
        <w:tc>
          <w:tcPr>
            <w:tcW w:w="1191" w:type="dxa"/>
            <w:tcBorders>
              <w:bottom w:val="nil"/>
            </w:tcBorders>
          </w:tcPr>
          <w:p>
            <w:pPr>
              <w:pStyle w:val="0"/>
            </w:pPr>
            <w:r>
              <w:rPr>
                <w:sz w:val="20"/>
              </w:rPr>
              <w:t xml:space="preserve">единиц</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w:t>
            </w:r>
          </w:p>
        </w:tc>
        <w:tc>
          <w:tcPr>
            <w:tcW w:w="1304" w:type="dxa"/>
            <w:tcBorders>
              <w:bottom w:val="nil"/>
            </w:tcBorders>
          </w:tcPr>
          <w:p>
            <w:pPr>
              <w:pStyle w:val="0"/>
            </w:pPr>
            <w:r>
              <w:rPr>
                <w:sz w:val="20"/>
              </w:rPr>
              <w:t xml:space="preserve">-</w:t>
            </w:r>
          </w:p>
        </w:tc>
        <w:tc>
          <w:tcPr>
            <w:tcW w:w="1361" w:type="dxa"/>
            <w:tcBorders>
              <w:bottom w:val="nil"/>
            </w:tcBorders>
          </w:tcPr>
          <w:p>
            <w:pPr>
              <w:pStyle w:val="0"/>
            </w:pPr>
            <w:r>
              <w:rPr>
                <w:sz w:val="20"/>
              </w:rPr>
              <w:t xml:space="preserve">16</w:t>
            </w:r>
          </w:p>
        </w:tc>
        <w:tc>
          <w:tcPr>
            <w:tcW w:w="1474" w:type="dxa"/>
            <w:tcBorders>
              <w:bottom w:val="nil"/>
            </w:tcBorders>
          </w:tcPr>
          <w:p>
            <w:pPr>
              <w:pStyle w:val="0"/>
            </w:pPr>
            <w:r>
              <w:rPr>
                <w:sz w:val="20"/>
              </w:rPr>
              <w:t xml:space="preserve">17</w:t>
            </w:r>
          </w:p>
        </w:tc>
        <w:tc>
          <w:tcPr>
            <w:tcW w:w="1361" w:type="dxa"/>
            <w:tcBorders>
              <w:bottom w:val="nil"/>
            </w:tcBorders>
          </w:tcPr>
          <w:p>
            <w:pPr>
              <w:pStyle w:val="0"/>
            </w:pPr>
            <w:r>
              <w:rPr>
                <w:sz w:val="20"/>
              </w:rPr>
              <w:t xml:space="preserve">19</w:t>
            </w:r>
          </w:p>
        </w:tc>
        <w:tc>
          <w:tcPr>
            <w:tcW w:w="1757" w:type="dxa"/>
            <w:tcBorders>
              <w:bottom w:val="nil"/>
            </w:tcBorders>
          </w:tcPr>
          <w:p>
            <w:pPr>
              <w:pStyle w:val="0"/>
            </w:pPr>
            <w:r>
              <w:rPr>
                <w:sz w:val="20"/>
              </w:rPr>
              <w:t xml:space="preserve">Мининвест Московской области</w:t>
            </w:r>
          </w:p>
        </w:tc>
        <w:tc>
          <w:tcPr>
            <w:tcW w:w="2778" w:type="dxa"/>
            <w:tcBorders>
              <w:bottom w:val="nil"/>
            </w:tcBorders>
          </w:tcPr>
          <w:p>
            <w:pPr>
              <w:pStyle w:val="0"/>
            </w:pPr>
            <w:r>
              <w:rPr>
                <w:sz w:val="20"/>
              </w:rPr>
              <w:t xml:space="preserve">1.50.02</w:t>
            </w:r>
          </w:p>
        </w:tc>
      </w:tr>
      <w:tr>
        <w:tblPrEx>
          <w:tblBorders>
            <w:insideH w:val="nil"/>
          </w:tblBorders>
        </w:tblPrEx>
        <w:tc>
          <w:tcPr>
            <w:gridSpan w:val="12"/>
            <w:tcW w:w="20043" w:type="dxa"/>
            <w:tcBorders>
              <w:top w:val="nil"/>
            </w:tcBorders>
          </w:tcPr>
          <w:p>
            <w:pPr>
              <w:pStyle w:val="0"/>
              <w:jc w:val="both"/>
            </w:pPr>
            <w:r>
              <w:rPr>
                <w:sz w:val="20"/>
              </w:rPr>
              <w:t xml:space="preserve">(строка 16 введена </w:t>
            </w:r>
            <w:hyperlink w:history="0" r:id="rId18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rPr>
              <w:t xml:space="preserve"> Правительства МО от 25.12.2024 N 1684-ПП)</w:t>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2"/>
        <w:outlineLvl w:val="1"/>
        <w:jc w:val="center"/>
      </w:pPr>
      <w:r>
        <w:rPr>
          <w:sz w:val="20"/>
        </w:rPr>
        <w:t xml:space="preserve">5. Подпрограмма 1 "Инвестиции в Подмосковье"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МО от 08.10.2024 </w:t>
            </w:r>
            <w:hyperlink w:history="0" r:id="rId183"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и от 25.12.2024 </w:t>
            </w:r>
            <w:hyperlink w:history="0" r:id="rId184"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 в подразд. 5.1 одновременно внесены изменения. Редакция подразд. 5.1 с изменениями, внесенными </w:t>
            </w:r>
            <w:hyperlink w:history="0" r:id="rId18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color w:val="392c69"/>
              </w:rPr>
              <w:t xml:space="preserve"> 25.12.2024 N 1684-ПП,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5.1. Перечень мероприятий Подпрограммы 1</w:t>
      </w:r>
    </w:p>
    <w:p>
      <w:pPr>
        <w:pStyle w:val="2"/>
        <w:jc w:val="center"/>
      </w:pPr>
      <w:r>
        <w:rPr>
          <w:sz w:val="20"/>
        </w:rPr>
        <w:t xml:space="preserve">"Инвестиции в Подмосковье"</w:t>
      </w:r>
    </w:p>
    <w:p>
      <w:pPr>
        <w:pStyle w:val="0"/>
        <w:jc w:val="center"/>
      </w:pPr>
      <w:r>
        <w:rPr>
          <w:sz w:val="20"/>
        </w:rPr>
      </w:r>
    </w:p>
    <w:p>
      <w:pPr>
        <w:pStyle w:val="0"/>
        <w:jc w:val="center"/>
      </w:pPr>
      <w:r>
        <w:rPr>
          <w:sz w:val="20"/>
        </w:rPr>
        <w:t xml:space="preserve">(в ред. </w:t>
      </w:r>
      <w:hyperlink w:history="0" r:id="rId186"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58"/>
        <w:gridCol w:w="1587"/>
        <w:gridCol w:w="2098"/>
        <w:gridCol w:w="1531"/>
        <w:gridCol w:w="1644"/>
        <w:gridCol w:w="1644"/>
        <w:gridCol w:w="1077"/>
        <w:gridCol w:w="1304"/>
        <w:gridCol w:w="1474"/>
        <w:gridCol w:w="1361"/>
        <w:gridCol w:w="1361"/>
        <w:gridCol w:w="1587"/>
        <w:gridCol w:w="1417"/>
        <w:gridCol w:w="1531"/>
      </w:tblGrid>
      <w:tr>
        <w:tc>
          <w:tcPr>
            <w:tcW w:w="680"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Мероприятие подпрограммы</w:t>
            </w:r>
          </w:p>
        </w:tc>
        <w:tc>
          <w:tcPr>
            <w:tcW w:w="1587" w:type="dxa"/>
            <w:vMerge w:val="restart"/>
          </w:tcPr>
          <w:p>
            <w:pPr>
              <w:pStyle w:val="0"/>
              <w:jc w:val="center"/>
            </w:pPr>
            <w:r>
              <w:rPr>
                <w:sz w:val="20"/>
              </w:rPr>
              <w:t xml:space="preserve">Сроки исполнения мероприятия</w:t>
            </w:r>
          </w:p>
        </w:tc>
        <w:tc>
          <w:tcPr>
            <w:tcW w:w="2098" w:type="dxa"/>
            <w:vMerge w:val="restart"/>
          </w:tcPr>
          <w:p>
            <w:pPr>
              <w:pStyle w:val="0"/>
              <w:jc w:val="center"/>
            </w:pPr>
            <w:r>
              <w:rPr>
                <w:sz w:val="20"/>
              </w:rPr>
              <w:t xml:space="preserve">Источники финансирования</w:t>
            </w:r>
          </w:p>
        </w:tc>
        <w:tc>
          <w:tcPr>
            <w:tcW w:w="1531" w:type="dxa"/>
            <w:vMerge w:val="restart"/>
          </w:tcPr>
          <w:p>
            <w:pPr>
              <w:pStyle w:val="0"/>
              <w:jc w:val="center"/>
            </w:pPr>
            <w:r>
              <w:rPr>
                <w:sz w:val="20"/>
              </w:rPr>
              <w:t xml:space="preserve">Всего (тыс. руб.)</w:t>
            </w:r>
          </w:p>
        </w:tc>
        <w:tc>
          <w:tcPr>
            <w:gridSpan w:val="9"/>
            <w:tcW w:w="12869" w:type="dxa"/>
          </w:tcPr>
          <w:p>
            <w:pPr>
              <w:pStyle w:val="0"/>
              <w:jc w:val="center"/>
            </w:pPr>
            <w:r>
              <w:rPr>
                <w:sz w:val="20"/>
              </w:rPr>
              <w:t xml:space="preserve">Объем финансирования по годам (тыс. руб.)</w:t>
            </w:r>
          </w:p>
        </w:tc>
        <w:tc>
          <w:tcPr>
            <w:tcW w:w="1531" w:type="dxa"/>
            <w:vMerge w:val="restart"/>
          </w:tcPr>
          <w:p>
            <w:pPr>
              <w:pStyle w:val="0"/>
              <w:jc w:val="center"/>
            </w:pPr>
            <w:r>
              <w:rPr>
                <w:sz w:val="20"/>
              </w:rPr>
              <w:t xml:space="preserve">Ответственный за выполнение мероприятия</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2023 год</w:t>
            </w:r>
          </w:p>
        </w:tc>
        <w:tc>
          <w:tcPr>
            <w:tcW w:w="1644" w:type="dxa"/>
          </w:tcPr>
          <w:p>
            <w:pPr>
              <w:pStyle w:val="0"/>
              <w:jc w:val="center"/>
            </w:pPr>
            <w:r>
              <w:rPr>
                <w:sz w:val="20"/>
              </w:rPr>
              <w:t xml:space="preserve">2024 год</w:t>
            </w:r>
          </w:p>
        </w:tc>
        <w:tc>
          <w:tcPr>
            <w:gridSpan w:val="5"/>
            <w:tcW w:w="6577" w:type="dxa"/>
          </w:tcPr>
          <w:p>
            <w:pPr>
              <w:pStyle w:val="0"/>
              <w:jc w:val="center"/>
            </w:pPr>
            <w:r>
              <w:rPr>
                <w:sz w:val="20"/>
              </w:rPr>
              <w:t xml:space="preserve">2025 год</w:t>
            </w:r>
          </w:p>
        </w:tc>
        <w:tc>
          <w:tcPr>
            <w:tcW w:w="1587" w:type="dxa"/>
          </w:tcPr>
          <w:p>
            <w:pPr>
              <w:pStyle w:val="0"/>
              <w:jc w:val="center"/>
            </w:pPr>
            <w:r>
              <w:rPr>
                <w:sz w:val="20"/>
              </w:rPr>
              <w:t xml:space="preserve">2026 год</w:t>
            </w:r>
          </w:p>
        </w:tc>
        <w:tc>
          <w:tcPr>
            <w:tcW w:w="1417" w:type="dxa"/>
          </w:tcPr>
          <w:p>
            <w:pPr>
              <w:pStyle w:val="0"/>
              <w:jc w:val="center"/>
            </w:pPr>
            <w:r>
              <w:rPr>
                <w:sz w:val="20"/>
              </w:rPr>
              <w:t xml:space="preserve">2027 год</w:t>
            </w:r>
          </w:p>
        </w:tc>
        <w:tc>
          <w:tcPr>
            <w:vMerge w:val="continue"/>
          </w:tcPr>
          <w:p/>
        </w:tc>
      </w:tr>
      <w:tr>
        <w:tc>
          <w:tcPr>
            <w:tcW w:w="680" w:type="dxa"/>
          </w:tcPr>
          <w:p>
            <w:pPr>
              <w:pStyle w:val="0"/>
              <w:jc w:val="center"/>
            </w:pPr>
            <w:r>
              <w:rPr>
                <w:sz w:val="20"/>
              </w:rPr>
              <w:t xml:space="preserve">1</w:t>
            </w:r>
          </w:p>
        </w:tc>
        <w:tc>
          <w:tcPr>
            <w:tcW w:w="3458" w:type="dxa"/>
          </w:tcPr>
          <w:p>
            <w:pPr>
              <w:pStyle w:val="0"/>
              <w:jc w:val="center"/>
            </w:pPr>
            <w:r>
              <w:rPr>
                <w:sz w:val="20"/>
              </w:rPr>
              <w:t xml:space="preserve">2</w:t>
            </w:r>
          </w:p>
        </w:tc>
        <w:tc>
          <w:tcPr>
            <w:tcW w:w="1587" w:type="dxa"/>
          </w:tcPr>
          <w:p>
            <w:pPr>
              <w:pStyle w:val="0"/>
              <w:jc w:val="center"/>
            </w:pPr>
            <w:r>
              <w:rPr>
                <w:sz w:val="20"/>
              </w:rPr>
              <w:t xml:space="preserve">3</w:t>
            </w:r>
          </w:p>
        </w:tc>
        <w:tc>
          <w:tcPr>
            <w:tcW w:w="2098" w:type="dxa"/>
          </w:tcPr>
          <w:p>
            <w:pPr>
              <w:pStyle w:val="0"/>
              <w:jc w:val="center"/>
            </w:pPr>
            <w:r>
              <w:rPr>
                <w:sz w:val="20"/>
              </w:rPr>
              <w:t xml:space="preserve">4</w:t>
            </w:r>
          </w:p>
        </w:tc>
        <w:tc>
          <w:tcPr>
            <w:tcW w:w="1531" w:type="dxa"/>
          </w:tcPr>
          <w:p>
            <w:pPr>
              <w:pStyle w:val="0"/>
              <w:jc w:val="center"/>
            </w:pPr>
            <w:r>
              <w:rPr>
                <w:sz w:val="20"/>
              </w:rPr>
              <w:t xml:space="preserve">5</w:t>
            </w:r>
          </w:p>
        </w:tc>
        <w:tc>
          <w:tcPr>
            <w:tcW w:w="1644" w:type="dxa"/>
          </w:tcPr>
          <w:p>
            <w:pPr>
              <w:pStyle w:val="0"/>
              <w:jc w:val="center"/>
            </w:pPr>
            <w:r>
              <w:rPr>
                <w:sz w:val="20"/>
              </w:rPr>
              <w:t xml:space="preserve">6</w:t>
            </w:r>
          </w:p>
        </w:tc>
        <w:tc>
          <w:tcPr>
            <w:tcW w:w="1644" w:type="dxa"/>
          </w:tcPr>
          <w:p>
            <w:pPr>
              <w:pStyle w:val="0"/>
              <w:jc w:val="center"/>
            </w:pPr>
            <w:r>
              <w:rPr>
                <w:sz w:val="20"/>
              </w:rPr>
              <w:t xml:space="preserve">7</w:t>
            </w:r>
          </w:p>
        </w:tc>
        <w:tc>
          <w:tcPr>
            <w:gridSpan w:val="5"/>
            <w:tcW w:w="6577" w:type="dxa"/>
          </w:tcPr>
          <w:p>
            <w:pPr>
              <w:pStyle w:val="0"/>
              <w:jc w:val="center"/>
            </w:pPr>
            <w:r>
              <w:rPr>
                <w:sz w:val="20"/>
              </w:rPr>
              <w:t xml:space="preserve">8</w:t>
            </w:r>
          </w:p>
        </w:tc>
        <w:tc>
          <w:tcPr>
            <w:tcW w:w="1587" w:type="dxa"/>
          </w:tcPr>
          <w:p>
            <w:pPr>
              <w:pStyle w:val="0"/>
              <w:jc w:val="center"/>
            </w:pPr>
            <w:r>
              <w:rPr>
                <w:sz w:val="20"/>
              </w:rPr>
              <w:t xml:space="preserve">9</w:t>
            </w:r>
          </w:p>
        </w:tc>
        <w:tc>
          <w:tcPr>
            <w:tcW w:w="1417" w:type="dxa"/>
          </w:tcPr>
          <w:p>
            <w:pPr>
              <w:pStyle w:val="0"/>
              <w:jc w:val="center"/>
            </w:pPr>
            <w:r>
              <w:rPr>
                <w:sz w:val="20"/>
              </w:rPr>
              <w:t xml:space="preserve">10</w:t>
            </w:r>
          </w:p>
        </w:tc>
        <w:tc>
          <w:tcPr>
            <w:tcW w:w="1531" w:type="dxa"/>
          </w:tcPr>
          <w:p>
            <w:pPr>
              <w:pStyle w:val="0"/>
              <w:jc w:val="center"/>
            </w:pPr>
            <w:r>
              <w:rPr>
                <w:sz w:val="20"/>
              </w:rPr>
              <w:t xml:space="preserve">11</w:t>
            </w:r>
          </w:p>
        </w:tc>
      </w:tr>
      <w:tr>
        <w:tc>
          <w:tcPr>
            <w:tcW w:w="680" w:type="dxa"/>
            <w:vMerge w:val="restart"/>
          </w:tcPr>
          <w:p>
            <w:pPr>
              <w:pStyle w:val="0"/>
              <w:outlineLvl w:val="3"/>
            </w:pPr>
            <w:r>
              <w:rPr>
                <w:sz w:val="20"/>
              </w:rPr>
              <w:t xml:space="preserve">1</w:t>
            </w:r>
          </w:p>
        </w:tc>
        <w:tc>
          <w:tcPr>
            <w:tcW w:w="3458" w:type="dxa"/>
            <w:vMerge w:val="restart"/>
          </w:tcPr>
          <w:p>
            <w:pPr>
              <w:pStyle w:val="0"/>
            </w:pPr>
            <w:r>
              <w:rPr>
                <w:sz w:val="20"/>
              </w:rPr>
              <w:t xml:space="preserve">Основное мероприятие 01. Организация внешних связей и выставочной деятельности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877596,00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292532,00</w:t>
            </w:r>
          </w:p>
        </w:tc>
        <w:tc>
          <w:tcPr>
            <w:tcW w:w="1587" w:type="dxa"/>
          </w:tcPr>
          <w:p>
            <w:pPr>
              <w:pStyle w:val="0"/>
            </w:pPr>
            <w:r>
              <w:rPr>
                <w:sz w:val="20"/>
              </w:rPr>
              <w:t xml:space="preserve">292532,00</w:t>
            </w:r>
          </w:p>
        </w:tc>
        <w:tc>
          <w:tcPr>
            <w:tcW w:w="1417" w:type="dxa"/>
          </w:tcPr>
          <w:p>
            <w:pPr>
              <w:pStyle w:val="0"/>
            </w:pPr>
            <w:r>
              <w:rPr>
                <w:sz w:val="20"/>
              </w:rPr>
              <w:t xml:space="preserve">292532,00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877596,00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292532,00</w:t>
            </w:r>
          </w:p>
        </w:tc>
        <w:tc>
          <w:tcPr>
            <w:tcW w:w="1587" w:type="dxa"/>
          </w:tcPr>
          <w:p>
            <w:pPr>
              <w:pStyle w:val="0"/>
            </w:pPr>
            <w:r>
              <w:rPr>
                <w:sz w:val="20"/>
              </w:rPr>
              <w:t xml:space="preserve">292532,00</w:t>
            </w:r>
          </w:p>
        </w:tc>
        <w:tc>
          <w:tcPr>
            <w:tcW w:w="1417" w:type="dxa"/>
          </w:tcPr>
          <w:p>
            <w:pPr>
              <w:pStyle w:val="0"/>
            </w:pPr>
            <w:r>
              <w:rPr>
                <w:sz w:val="20"/>
              </w:rPr>
              <w:t xml:space="preserve">292532,00</w:t>
            </w:r>
          </w:p>
        </w:tc>
        <w:tc>
          <w:tcPr>
            <w:vMerge w:val="continue"/>
          </w:tcPr>
          <w:p/>
        </w:tc>
      </w:tr>
      <w:tr>
        <w:tc>
          <w:tcPr>
            <w:tcW w:w="680" w:type="dxa"/>
            <w:vMerge w:val="restart"/>
          </w:tcPr>
          <w:p>
            <w:pPr>
              <w:pStyle w:val="0"/>
            </w:pPr>
            <w:r>
              <w:rPr>
                <w:sz w:val="20"/>
              </w:rPr>
              <w:t xml:space="preserve">1.1</w:t>
            </w:r>
          </w:p>
        </w:tc>
        <w:tc>
          <w:tcPr>
            <w:tcW w:w="3458" w:type="dxa"/>
            <w:vMerge w:val="restart"/>
          </w:tcPr>
          <w:bookmarkStart w:id="1064" w:name="P1064"/>
          <w:bookmarkEnd w:id="1064"/>
          <w:p>
            <w:pPr>
              <w:pStyle w:val="0"/>
            </w:pPr>
            <w:r>
              <w:rPr>
                <w:sz w:val="20"/>
              </w:rPr>
              <w:t xml:space="preserve">Мероприятие 01.01. Проведение мероприятий в Российской Федерации и за рубежом в сфере инвестиционного, научно-технического и инновационного развития Московской области, развития малого и среднего предпринимательства и (или) организации участия в них делегаций Московской области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877596,00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292532,00</w:t>
            </w:r>
          </w:p>
        </w:tc>
        <w:tc>
          <w:tcPr>
            <w:tcW w:w="1587" w:type="dxa"/>
          </w:tcPr>
          <w:p>
            <w:pPr>
              <w:pStyle w:val="0"/>
            </w:pPr>
            <w:r>
              <w:rPr>
                <w:sz w:val="20"/>
              </w:rPr>
              <w:t xml:space="preserve">292532,00</w:t>
            </w:r>
          </w:p>
        </w:tc>
        <w:tc>
          <w:tcPr>
            <w:tcW w:w="1417" w:type="dxa"/>
          </w:tcPr>
          <w:p>
            <w:pPr>
              <w:pStyle w:val="0"/>
            </w:pPr>
            <w:r>
              <w:rPr>
                <w:sz w:val="20"/>
              </w:rPr>
              <w:t xml:space="preserve">292532,00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877596,00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292532,00</w:t>
            </w:r>
          </w:p>
        </w:tc>
        <w:tc>
          <w:tcPr>
            <w:tcW w:w="1587" w:type="dxa"/>
          </w:tcPr>
          <w:p>
            <w:pPr>
              <w:pStyle w:val="0"/>
            </w:pPr>
            <w:r>
              <w:rPr>
                <w:sz w:val="20"/>
              </w:rPr>
              <w:t xml:space="preserve">292532,00</w:t>
            </w:r>
          </w:p>
        </w:tc>
        <w:tc>
          <w:tcPr>
            <w:tcW w:w="1417" w:type="dxa"/>
          </w:tcPr>
          <w:p>
            <w:pPr>
              <w:pStyle w:val="0"/>
            </w:pPr>
            <w:r>
              <w:rPr>
                <w:sz w:val="20"/>
              </w:rPr>
              <w:t xml:space="preserve">292532,00</w:t>
            </w:r>
          </w:p>
        </w:tc>
        <w:tc>
          <w:tcPr>
            <w:vMerge w:val="continue"/>
          </w:tcPr>
          <w:p/>
        </w:tc>
      </w:tr>
      <w:tr>
        <w:tc>
          <w:tcPr>
            <w:vMerge w:val="continue"/>
          </w:tcPr>
          <w:p/>
        </w:tc>
        <w:tc>
          <w:tcPr>
            <w:tcW w:w="3458" w:type="dxa"/>
            <w:vMerge w:val="restart"/>
          </w:tcPr>
          <w:p>
            <w:pPr>
              <w:pStyle w:val="0"/>
            </w:pPr>
            <w:r>
              <w:rPr>
                <w:sz w:val="20"/>
              </w:rPr>
              <w:t xml:space="preserve">Результат 1. Организованы и проведены конференции, форумы, выставки и ярмарки, а также презентации (онлайн-презентации), видеоконференции и роуд-шоу в сфере инвестиционного, научно-технического и инновационного развития Московской области в Российской Федерации и за рубежом, и организовано участие в них делегаций,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36</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12</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12</w:t>
            </w:r>
          </w:p>
        </w:tc>
        <w:tc>
          <w:tcPr>
            <w:tcW w:w="1587" w:type="dxa"/>
          </w:tcPr>
          <w:p>
            <w:pPr>
              <w:pStyle w:val="0"/>
            </w:pPr>
            <w:r>
              <w:rPr>
                <w:sz w:val="20"/>
              </w:rPr>
              <w:t xml:space="preserve">12</w:t>
            </w:r>
          </w:p>
        </w:tc>
        <w:tc>
          <w:tcPr>
            <w:tcW w:w="1417" w:type="dxa"/>
          </w:tcPr>
          <w:p>
            <w:pPr>
              <w:pStyle w:val="0"/>
            </w:pPr>
            <w:r>
              <w:rPr>
                <w:sz w:val="20"/>
              </w:rPr>
              <w:t xml:space="preserve">12</w:t>
            </w:r>
          </w:p>
        </w:tc>
        <w:tc>
          <w:tcPr>
            <w:vMerge w:val="continue"/>
          </w:tcPr>
          <w:p/>
        </w:tc>
      </w:tr>
      <w:tr>
        <w:tc>
          <w:tcPr>
            <w:tcW w:w="680" w:type="dxa"/>
            <w:vMerge w:val="restart"/>
          </w:tcPr>
          <w:p>
            <w:pPr>
              <w:pStyle w:val="0"/>
              <w:outlineLvl w:val="3"/>
            </w:pPr>
            <w:r>
              <w:rPr>
                <w:sz w:val="20"/>
              </w:rPr>
              <w:t xml:space="preserve">2</w:t>
            </w:r>
          </w:p>
        </w:tc>
        <w:tc>
          <w:tcPr>
            <w:tcW w:w="3458" w:type="dxa"/>
            <w:vMerge w:val="restart"/>
          </w:tcPr>
          <w:p>
            <w:pPr>
              <w:pStyle w:val="0"/>
            </w:pPr>
            <w:r>
              <w:rPr>
                <w:sz w:val="20"/>
              </w:rPr>
              <w:t xml:space="preserve">Основное мероприятие 02. 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587" w:type="dxa"/>
            <w:vMerge w:val="restart"/>
          </w:tcPr>
          <w:p>
            <w:pPr>
              <w:pStyle w:val="0"/>
            </w:pPr>
            <w:r>
              <w:rPr>
                <w:sz w:val="20"/>
              </w:rPr>
              <w:t xml:space="preserve">2023-2026</w:t>
            </w:r>
          </w:p>
        </w:tc>
        <w:tc>
          <w:tcPr>
            <w:tcW w:w="2098" w:type="dxa"/>
          </w:tcPr>
          <w:p>
            <w:pPr>
              <w:pStyle w:val="0"/>
            </w:pPr>
            <w:r>
              <w:rPr>
                <w:sz w:val="20"/>
              </w:rPr>
              <w:t xml:space="preserve">Итого:</w:t>
            </w:r>
          </w:p>
        </w:tc>
        <w:tc>
          <w:tcPr>
            <w:tcW w:w="1531" w:type="dxa"/>
          </w:tcPr>
          <w:p>
            <w:pPr>
              <w:pStyle w:val="0"/>
            </w:pPr>
            <w:r>
              <w:rPr>
                <w:sz w:val="20"/>
              </w:rPr>
              <w:t xml:space="preserve">39572475,78</w:t>
            </w:r>
          </w:p>
        </w:tc>
        <w:tc>
          <w:tcPr>
            <w:tcW w:w="1644" w:type="dxa"/>
          </w:tcPr>
          <w:p>
            <w:pPr>
              <w:pStyle w:val="0"/>
            </w:pPr>
            <w:r>
              <w:rPr>
                <w:sz w:val="20"/>
              </w:rPr>
              <w:t xml:space="preserve">4981105,41</w:t>
            </w:r>
          </w:p>
        </w:tc>
        <w:tc>
          <w:tcPr>
            <w:tcW w:w="1644" w:type="dxa"/>
          </w:tcPr>
          <w:p>
            <w:pPr>
              <w:pStyle w:val="0"/>
            </w:pPr>
            <w:r>
              <w:rPr>
                <w:sz w:val="20"/>
              </w:rPr>
              <w:t xml:space="preserve">11318438,37</w:t>
            </w:r>
          </w:p>
        </w:tc>
        <w:tc>
          <w:tcPr>
            <w:gridSpan w:val="5"/>
            <w:tcW w:w="6577" w:type="dxa"/>
          </w:tcPr>
          <w:p>
            <w:pPr>
              <w:pStyle w:val="0"/>
            </w:pPr>
            <w:r>
              <w:rPr>
                <w:sz w:val="20"/>
              </w:rPr>
              <w:t xml:space="preserve">15571850,00</w:t>
            </w:r>
          </w:p>
        </w:tc>
        <w:tc>
          <w:tcPr>
            <w:tcW w:w="1587" w:type="dxa"/>
          </w:tcPr>
          <w:p>
            <w:pPr>
              <w:pStyle w:val="0"/>
            </w:pPr>
            <w:r>
              <w:rPr>
                <w:sz w:val="20"/>
              </w:rPr>
              <w:t xml:space="preserve">7701082,00</w:t>
            </w:r>
          </w:p>
        </w:tc>
        <w:tc>
          <w:tcPr>
            <w:tcW w:w="1417" w:type="dxa"/>
          </w:tcPr>
          <w:p>
            <w:pPr>
              <w:pStyle w:val="0"/>
            </w:pPr>
            <w:r>
              <w:rPr>
                <w:sz w:val="20"/>
              </w:rPr>
              <w:t xml:space="preserve">-</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39504643,00</w:t>
            </w:r>
          </w:p>
        </w:tc>
        <w:tc>
          <w:tcPr>
            <w:tcW w:w="1644" w:type="dxa"/>
          </w:tcPr>
          <w:p>
            <w:pPr>
              <w:pStyle w:val="0"/>
            </w:pPr>
            <w:r>
              <w:rPr>
                <w:sz w:val="20"/>
              </w:rPr>
              <w:t xml:space="preserve">4938849,00</w:t>
            </w:r>
          </w:p>
        </w:tc>
        <w:tc>
          <w:tcPr>
            <w:tcW w:w="1644" w:type="dxa"/>
          </w:tcPr>
          <w:p>
            <w:pPr>
              <w:pStyle w:val="0"/>
            </w:pPr>
            <w:r>
              <w:rPr>
                <w:sz w:val="20"/>
              </w:rPr>
              <w:t xml:space="preserve">11293067,00</w:t>
            </w:r>
          </w:p>
        </w:tc>
        <w:tc>
          <w:tcPr>
            <w:gridSpan w:val="5"/>
            <w:tcW w:w="6577" w:type="dxa"/>
          </w:tcPr>
          <w:p>
            <w:pPr>
              <w:pStyle w:val="0"/>
            </w:pPr>
            <w:r>
              <w:rPr>
                <w:sz w:val="20"/>
              </w:rPr>
              <w:t xml:space="preserve">15571645,00</w:t>
            </w:r>
          </w:p>
        </w:tc>
        <w:tc>
          <w:tcPr>
            <w:tcW w:w="1587" w:type="dxa"/>
          </w:tcPr>
          <w:p>
            <w:pPr>
              <w:pStyle w:val="0"/>
            </w:pPr>
            <w:r>
              <w:rPr>
                <w:sz w:val="20"/>
              </w:rPr>
              <w:t xml:space="preserve">7701082,00</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бюджетов муниципальных образований Московской области</w:t>
            </w:r>
          </w:p>
        </w:tc>
        <w:tc>
          <w:tcPr>
            <w:tcW w:w="1531" w:type="dxa"/>
          </w:tcPr>
          <w:p>
            <w:pPr>
              <w:pStyle w:val="0"/>
            </w:pPr>
            <w:r>
              <w:rPr>
                <w:sz w:val="20"/>
              </w:rPr>
              <w:t xml:space="preserve">550,90</w:t>
            </w:r>
          </w:p>
        </w:tc>
        <w:tc>
          <w:tcPr>
            <w:tcW w:w="1644" w:type="dxa"/>
          </w:tcPr>
          <w:p>
            <w:pPr>
              <w:pStyle w:val="0"/>
            </w:pPr>
            <w:r>
              <w:rPr>
                <w:sz w:val="20"/>
              </w:rPr>
              <w:t xml:space="preserve">345,90</w:t>
            </w:r>
          </w:p>
        </w:tc>
        <w:tc>
          <w:tcPr>
            <w:tcW w:w="1644" w:type="dxa"/>
          </w:tcPr>
          <w:p>
            <w:pPr>
              <w:pStyle w:val="0"/>
            </w:pPr>
            <w:r>
              <w:rPr>
                <w:sz w:val="20"/>
              </w:rPr>
              <w:t xml:space="preserve">-</w:t>
            </w:r>
          </w:p>
        </w:tc>
        <w:tc>
          <w:tcPr>
            <w:gridSpan w:val="5"/>
            <w:tcW w:w="6577" w:type="dxa"/>
          </w:tcPr>
          <w:p>
            <w:pPr>
              <w:pStyle w:val="0"/>
            </w:pPr>
            <w:r>
              <w:rPr>
                <w:sz w:val="20"/>
              </w:rPr>
              <w:t xml:space="preserve">205,00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Внебюджетные средства</w:t>
            </w:r>
          </w:p>
        </w:tc>
        <w:tc>
          <w:tcPr>
            <w:tcW w:w="1531" w:type="dxa"/>
          </w:tcPr>
          <w:p>
            <w:pPr>
              <w:pStyle w:val="0"/>
            </w:pPr>
            <w:r>
              <w:rPr>
                <w:sz w:val="20"/>
              </w:rPr>
              <w:t xml:space="preserve">67281,88</w:t>
            </w:r>
          </w:p>
        </w:tc>
        <w:tc>
          <w:tcPr>
            <w:tcW w:w="1644" w:type="dxa"/>
          </w:tcPr>
          <w:p>
            <w:pPr>
              <w:pStyle w:val="0"/>
            </w:pPr>
            <w:r>
              <w:rPr>
                <w:sz w:val="20"/>
              </w:rPr>
              <w:t xml:space="preserve">41910,51</w:t>
            </w:r>
          </w:p>
        </w:tc>
        <w:tc>
          <w:tcPr>
            <w:tcW w:w="1644" w:type="dxa"/>
          </w:tcPr>
          <w:p>
            <w:pPr>
              <w:pStyle w:val="0"/>
            </w:pPr>
            <w:r>
              <w:rPr>
                <w:sz w:val="20"/>
              </w:rPr>
              <w:t xml:space="preserve">25371,37</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2.1</w:t>
            </w:r>
          </w:p>
        </w:tc>
        <w:tc>
          <w:tcPr>
            <w:tcW w:w="3458" w:type="dxa"/>
            <w:vMerge w:val="restart"/>
          </w:tcPr>
          <w:bookmarkStart w:id="1146" w:name="P1146"/>
          <w:bookmarkEnd w:id="1146"/>
          <w:p>
            <w:pPr>
              <w:pStyle w:val="0"/>
            </w:pPr>
            <w:r>
              <w:rPr>
                <w:sz w:val="20"/>
              </w:rPr>
              <w:t xml:space="preserve">Мероприятие 02.01. 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587" w:type="dxa"/>
            <w:vMerge w:val="restart"/>
          </w:tcPr>
          <w:p>
            <w:pPr>
              <w:pStyle w:val="0"/>
            </w:pPr>
            <w:r>
              <w:rPr>
                <w:sz w:val="20"/>
              </w:rPr>
              <w:t xml:space="preserve">2023-2025</w:t>
            </w:r>
          </w:p>
        </w:tc>
        <w:tc>
          <w:tcPr>
            <w:tcW w:w="2098" w:type="dxa"/>
          </w:tcPr>
          <w:p>
            <w:pPr>
              <w:pStyle w:val="0"/>
            </w:pPr>
            <w:r>
              <w:rPr>
                <w:sz w:val="20"/>
              </w:rPr>
              <w:t xml:space="preserve">Итого:</w:t>
            </w:r>
          </w:p>
        </w:tc>
        <w:tc>
          <w:tcPr>
            <w:tcW w:w="1531" w:type="dxa"/>
          </w:tcPr>
          <w:p>
            <w:pPr>
              <w:pStyle w:val="0"/>
            </w:pPr>
            <w:r>
              <w:rPr>
                <w:sz w:val="20"/>
              </w:rPr>
              <w:t xml:space="preserve">26140,90</w:t>
            </w:r>
          </w:p>
        </w:tc>
        <w:tc>
          <w:tcPr>
            <w:tcW w:w="1644" w:type="dxa"/>
          </w:tcPr>
          <w:p>
            <w:pPr>
              <w:pStyle w:val="0"/>
            </w:pPr>
            <w:r>
              <w:rPr>
                <w:sz w:val="20"/>
              </w:rPr>
              <w:t xml:space="preserve">16765,90</w:t>
            </w:r>
          </w:p>
        </w:tc>
        <w:tc>
          <w:tcPr>
            <w:tcW w:w="1644" w:type="dxa"/>
          </w:tcPr>
          <w:p>
            <w:pPr>
              <w:pStyle w:val="0"/>
            </w:pPr>
            <w:r>
              <w:rPr>
                <w:sz w:val="20"/>
              </w:rPr>
              <w:t xml:space="preserve">-</w:t>
            </w:r>
          </w:p>
        </w:tc>
        <w:tc>
          <w:tcPr>
            <w:gridSpan w:val="5"/>
            <w:tcW w:w="6577" w:type="dxa"/>
          </w:tcPr>
          <w:p>
            <w:pPr>
              <w:pStyle w:val="0"/>
            </w:pPr>
            <w:r>
              <w:rPr>
                <w:sz w:val="20"/>
              </w:rPr>
              <w:t xml:space="preserve">9375,00</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 органы местного самоуправления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25590,00</w:t>
            </w:r>
          </w:p>
        </w:tc>
        <w:tc>
          <w:tcPr>
            <w:tcW w:w="1644" w:type="dxa"/>
          </w:tcPr>
          <w:p>
            <w:pPr>
              <w:pStyle w:val="0"/>
            </w:pPr>
            <w:r>
              <w:rPr>
                <w:sz w:val="20"/>
              </w:rPr>
              <w:t xml:space="preserve">16420,00</w:t>
            </w:r>
          </w:p>
        </w:tc>
        <w:tc>
          <w:tcPr>
            <w:tcW w:w="1644" w:type="dxa"/>
          </w:tcPr>
          <w:p>
            <w:pPr>
              <w:pStyle w:val="0"/>
            </w:pPr>
            <w:r>
              <w:rPr>
                <w:sz w:val="20"/>
              </w:rPr>
              <w:t xml:space="preserve">-</w:t>
            </w:r>
          </w:p>
        </w:tc>
        <w:tc>
          <w:tcPr>
            <w:gridSpan w:val="5"/>
            <w:tcW w:w="6577" w:type="dxa"/>
          </w:tcPr>
          <w:p>
            <w:pPr>
              <w:pStyle w:val="0"/>
            </w:pPr>
            <w:r>
              <w:rPr>
                <w:sz w:val="20"/>
              </w:rPr>
              <w:t xml:space="preserve">9170,00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бюджетов муниципальных образований Московской области</w:t>
            </w:r>
          </w:p>
        </w:tc>
        <w:tc>
          <w:tcPr>
            <w:tcW w:w="1531" w:type="dxa"/>
          </w:tcPr>
          <w:p>
            <w:pPr>
              <w:pStyle w:val="0"/>
            </w:pPr>
            <w:r>
              <w:rPr>
                <w:sz w:val="20"/>
              </w:rPr>
              <w:t xml:space="preserve">550,90</w:t>
            </w:r>
          </w:p>
        </w:tc>
        <w:tc>
          <w:tcPr>
            <w:tcW w:w="1644" w:type="dxa"/>
          </w:tcPr>
          <w:p>
            <w:pPr>
              <w:pStyle w:val="0"/>
            </w:pPr>
            <w:r>
              <w:rPr>
                <w:sz w:val="20"/>
              </w:rPr>
              <w:t xml:space="preserve">345,90</w:t>
            </w:r>
          </w:p>
        </w:tc>
        <w:tc>
          <w:tcPr>
            <w:tcW w:w="1644" w:type="dxa"/>
          </w:tcPr>
          <w:p>
            <w:pPr>
              <w:pStyle w:val="0"/>
            </w:pPr>
            <w:r>
              <w:rPr>
                <w:sz w:val="20"/>
              </w:rPr>
              <w:t xml:space="preserve">-</w:t>
            </w:r>
          </w:p>
        </w:tc>
        <w:tc>
          <w:tcPr>
            <w:gridSpan w:val="5"/>
            <w:tcW w:w="6577" w:type="dxa"/>
          </w:tcPr>
          <w:p>
            <w:pPr>
              <w:pStyle w:val="0"/>
            </w:pPr>
            <w:r>
              <w:rPr>
                <w:sz w:val="20"/>
              </w:rPr>
              <w:t xml:space="preserve">205,00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Созданы индустриальные (промышленные) парки, промышленные технопарки (нарастающим итогом),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w:t>
            </w:r>
          </w:p>
        </w:tc>
        <w:tc>
          <w:tcPr>
            <w:tcW w:w="1644" w:type="dxa"/>
          </w:tcPr>
          <w:p>
            <w:pPr>
              <w:pStyle w:val="0"/>
            </w:pPr>
            <w:r>
              <w:rPr>
                <w:sz w:val="20"/>
              </w:rPr>
              <w:t xml:space="preserve">1</w:t>
            </w:r>
          </w:p>
        </w:tc>
        <w:tc>
          <w:tcPr>
            <w:tcW w:w="1644" w:type="dxa"/>
          </w:tcPr>
          <w:p>
            <w:pPr>
              <w:pStyle w:val="0"/>
            </w:pPr>
            <w:r>
              <w:rPr>
                <w:sz w:val="20"/>
              </w:rPr>
              <w:t xml:space="preserve">-</w:t>
            </w:r>
          </w:p>
        </w:tc>
        <w:tc>
          <w:tcPr>
            <w:tcW w:w="1077" w:type="dxa"/>
          </w:tcPr>
          <w:p>
            <w:pPr>
              <w:pStyle w:val="0"/>
            </w:pPr>
            <w:r>
              <w:rPr>
                <w:sz w:val="20"/>
              </w:rPr>
              <w:t xml:space="preserve">2</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2</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2.2</w:t>
            </w:r>
          </w:p>
        </w:tc>
        <w:tc>
          <w:tcPr>
            <w:tcW w:w="3458" w:type="dxa"/>
            <w:vMerge w:val="restart"/>
          </w:tcPr>
          <w:p>
            <w:pPr>
              <w:pStyle w:val="0"/>
            </w:pPr>
            <w:r>
              <w:rPr>
                <w:sz w:val="20"/>
              </w:rPr>
              <w:t xml:space="preserve">Мероприятие 02.02. Возмещение затрат юридических лиц на создание объектов инженерной и транспортной инфраструктуры на территориях индустриальных (промышленных) парков и территориях, на которых планируется создание инновационно-технологических центров</w:t>
            </w:r>
          </w:p>
        </w:tc>
        <w:tc>
          <w:tcPr>
            <w:tcW w:w="1587" w:type="dxa"/>
            <w:vMerge w:val="restart"/>
          </w:tcPr>
          <w:p>
            <w:pPr>
              <w:pStyle w:val="0"/>
            </w:pPr>
            <w:r>
              <w:rPr>
                <w:sz w:val="20"/>
              </w:rPr>
              <w:t xml:space="preserve">2023-2024</w:t>
            </w:r>
          </w:p>
        </w:tc>
        <w:tc>
          <w:tcPr>
            <w:tcW w:w="2098" w:type="dxa"/>
          </w:tcPr>
          <w:p>
            <w:pPr>
              <w:pStyle w:val="0"/>
            </w:pPr>
            <w:r>
              <w:rPr>
                <w:sz w:val="20"/>
              </w:rPr>
              <w:t xml:space="preserve">Итого:</w:t>
            </w:r>
          </w:p>
        </w:tc>
        <w:tc>
          <w:tcPr>
            <w:tcW w:w="1531" w:type="dxa"/>
          </w:tcPr>
          <w:p>
            <w:pPr>
              <w:pStyle w:val="0"/>
            </w:pPr>
            <w:r>
              <w:rPr>
                <w:sz w:val="20"/>
              </w:rPr>
              <w:t xml:space="preserve">55826,00</w:t>
            </w:r>
          </w:p>
        </w:tc>
        <w:tc>
          <w:tcPr>
            <w:tcW w:w="1644" w:type="dxa"/>
          </w:tcPr>
          <w:p>
            <w:pPr>
              <w:pStyle w:val="0"/>
            </w:pPr>
            <w:r>
              <w:rPr>
                <w:sz w:val="20"/>
              </w:rPr>
              <w:t xml:space="preserve">55826,00</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55826,00</w:t>
            </w:r>
          </w:p>
        </w:tc>
        <w:tc>
          <w:tcPr>
            <w:tcW w:w="1644" w:type="dxa"/>
          </w:tcPr>
          <w:p>
            <w:pPr>
              <w:pStyle w:val="0"/>
            </w:pPr>
            <w:r>
              <w:rPr>
                <w:sz w:val="20"/>
              </w:rPr>
              <w:t xml:space="preserve">55826,00</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Резиденты привлечены в индустриальные (промышленные) парки, промышленные технопарки (нарастающим итогом),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8</w:t>
            </w:r>
          </w:p>
        </w:tc>
        <w:tc>
          <w:tcPr>
            <w:tcW w:w="1644" w:type="dxa"/>
          </w:tcPr>
          <w:p>
            <w:pPr>
              <w:pStyle w:val="0"/>
            </w:pPr>
            <w:r>
              <w:rPr>
                <w:sz w:val="20"/>
              </w:rPr>
              <w:t xml:space="preserve">7</w:t>
            </w:r>
          </w:p>
        </w:tc>
        <w:tc>
          <w:tcPr>
            <w:tcW w:w="1644" w:type="dxa"/>
          </w:tcPr>
          <w:p>
            <w:pPr>
              <w:pStyle w:val="0"/>
            </w:pPr>
            <w:r>
              <w:rPr>
                <w:sz w:val="20"/>
              </w:rPr>
              <w:t xml:space="preserve">8</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2.3</w:t>
            </w:r>
          </w:p>
        </w:tc>
        <w:tc>
          <w:tcPr>
            <w:tcW w:w="3458" w:type="dxa"/>
            <w:vMerge w:val="restart"/>
          </w:tcPr>
          <w:bookmarkStart w:id="1239" w:name="P1239"/>
          <w:bookmarkEnd w:id="1239"/>
          <w:p>
            <w:pPr>
              <w:pStyle w:val="0"/>
            </w:pPr>
            <w:r>
              <w:rPr>
                <w:sz w:val="20"/>
              </w:rPr>
              <w:t xml:space="preserve">Мероприятие 02.03.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w:t>
            </w:r>
          </w:p>
        </w:tc>
        <w:tc>
          <w:tcPr>
            <w:tcW w:w="1587" w:type="dxa"/>
            <w:vMerge w:val="restart"/>
          </w:tcPr>
          <w:p>
            <w:pPr>
              <w:pStyle w:val="0"/>
            </w:pPr>
            <w:r>
              <w:rPr>
                <w:sz w:val="20"/>
              </w:rPr>
              <w:t xml:space="preserve">2023-2025</w:t>
            </w:r>
          </w:p>
        </w:tc>
        <w:tc>
          <w:tcPr>
            <w:tcW w:w="2098" w:type="dxa"/>
          </w:tcPr>
          <w:p>
            <w:pPr>
              <w:pStyle w:val="0"/>
            </w:pPr>
            <w:r>
              <w:rPr>
                <w:sz w:val="20"/>
              </w:rPr>
              <w:t xml:space="preserve">Итого:</w:t>
            </w:r>
          </w:p>
        </w:tc>
        <w:tc>
          <w:tcPr>
            <w:tcW w:w="1531" w:type="dxa"/>
          </w:tcPr>
          <w:p>
            <w:pPr>
              <w:pStyle w:val="0"/>
            </w:pPr>
            <w:r>
              <w:rPr>
                <w:sz w:val="20"/>
              </w:rPr>
              <w:t xml:space="preserve">4779443,52</w:t>
            </w:r>
          </w:p>
        </w:tc>
        <w:tc>
          <w:tcPr>
            <w:tcW w:w="1644" w:type="dxa"/>
          </w:tcPr>
          <w:p>
            <w:pPr>
              <w:pStyle w:val="0"/>
            </w:pPr>
            <w:r>
              <w:rPr>
                <w:sz w:val="20"/>
              </w:rPr>
              <w:t xml:space="preserve">844414,00</w:t>
            </w:r>
          </w:p>
        </w:tc>
        <w:tc>
          <w:tcPr>
            <w:tcW w:w="1644" w:type="dxa"/>
          </w:tcPr>
          <w:p>
            <w:pPr>
              <w:pStyle w:val="0"/>
            </w:pPr>
            <w:r>
              <w:rPr>
                <w:sz w:val="20"/>
              </w:rPr>
              <w:t xml:space="preserve">2597166,52</w:t>
            </w:r>
          </w:p>
        </w:tc>
        <w:tc>
          <w:tcPr>
            <w:gridSpan w:val="5"/>
            <w:tcW w:w="6577" w:type="dxa"/>
          </w:tcPr>
          <w:p>
            <w:pPr>
              <w:pStyle w:val="0"/>
            </w:pPr>
            <w:r>
              <w:rPr>
                <w:sz w:val="20"/>
              </w:rPr>
              <w:t xml:space="preserve">1337863,00</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АО "КРМО", 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4757953,00</w:t>
            </w:r>
          </w:p>
        </w:tc>
        <w:tc>
          <w:tcPr>
            <w:tcW w:w="1644" w:type="dxa"/>
          </w:tcPr>
          <w:p>
            <w:pPr>
              <w:pStyle w:val="0"/>
            </w:pPr>
            <w:r>
              <w:rPr>
                <w:sz w:val="20"/>
              </w:rPr>
              <w:t xml:space="preserve">844414,00</w:t>
            </w:r>
          </w:p>
        </w:tc>
        <w:tc>
          <w:tcPr>
            <w:tcW w:w="1644" w:type="dxa"/>
          </w:tcPr>
          <w:p>
            <w:pPr>
              <w:pStyle w:val="0"/>
            </w:pPr>
            <w:r>
              <w:rPr>
                <w:sz w:val="20"/>
              </w:rPr>
              <w:t xml:space="preserve">2575676,00</w:t>
            </w:r>
          </w:p>
        </w:tc>
        <w:tc>
          <w:tcPr>
            <w:gridSpan w:val="5"/>
            <w:tcW w:w="6577" w:type="dxa"/>
          </w:tcPr>
          <w:p>
            <w:pPr>
              <w:pStyle w:val="0"/>
            </w:pPr>
            <w:r>
              <w:rPr>
                <w:sz w:val="20"/>
              </w:rPr>
              <w:t xml:space="preserve">1337863,00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Внебюджетные средства</w:t>
            </w:r>
          </w:p>
        </w:tc>
        <w:tc>
          <w:tcPr>
            <w:tcW w:w="1531" w:type="dxa"/>
          </w:tcPr>
          <w:p>
            <w:pPr>
              <w:pStyle w:val="0"/>
            </w:pPr>
            <w:r>
              <w:rPr>
                <w:sz w:val="20"/>
              </w:rPr>
              <w:t xml:space="preserve">21490,52</w:t>
            </w:r>
          </w:p>
        </w:tc>
        <w:tc>
          <w:tcPr>
            <w:tcW w:w="1644" w:type="dxa"/>
          </w:tcPr>
          <w:p>
            <w:pPr>
              <w:pStyle w:val="0"/>
            </w:pPr>
            <w:r>
              <w:rPr>
                <w:sz w:val="20"/>
              </w:rPr>
              <w:t xml:space="preserve">-</w:t>
            </w:r>
          </w:p>
        </w:tc>
        <w:tc>
          <w:tcPr>
            <w:tcW w:w="1644" w:type="dxa"/>
          </w:tcPr>
          <w:p>
            <w:pPr>
              <w:pStyle w:val="0"/>
            </w:pPr>
            <w:r>
              <w:rPr>
                <w:sz w:val="20"/>
              </w:rPr>
              <w:t xml:space="preserve">21490,52</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Резиденты привлечены на территорию создаваемого индустриального (промышленного) парка (нарастающим итогом),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w:t>
            </w:r>
          </w:p>
        </w:tc>
        <w:tc>
          <w:tcPr>
            <w:tcW w:w="1644" w:type="dxa"/>
          </w:tcPr>
          <w:p>
            <w:pPr>
              <w:pStyle w:val="0"/>
            </w:pPr>
            <w:r>
              <w:rPr>
                <w:sz w:val="20"/>
              </w:rPr>
              <w:t xml:space="preserve">5</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Введены в эксплуатацию объекты инфраструктуры, а также выполнены работы (услуги) по технологическому присоединению (подключению),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10</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2.4</w:t>
            </w:r>
          </w:p>
        </w:tc>
        <w:tc>
          <w:tcPr>
            <w:tcW w:w="3458" w:type="dxa"/>
            <w:vMerge w:val="restart"/>
          </w:tcPr>
          <w:bookmarkStart w:id="1314" w:name="P1314"/>
          <w:bookmarkEnd w:id="1314"/>
          <w:p>
            <w:pPr>
              <w:pStyle w:val="0"/>
            </w:pPr>
            <w:r>
              <w:rPr>
                <w:sz w:val="20"/>
              </w:rPr>
              <w:t xml:space="preserve">Мероприятие 02.04.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w:t>
            </w:r>
            <w:hyperlink w:history="0" w:anchor="P2743" w:tooltip="&lt;1&gt; Расходы не осуществляются до подписания дополнительного соглашения к соглашению о создании на территории г. Дубны (Московская область) особой экономической зоны технико-внедренческого типа от 18 января 2006 г. N 6680-ГГ/Ф7, которым будет утверждено увеличение границ особой экономической зоны технико-внедренческого типа &quot;Дубна&quot;.">
              <w:r>
                <w:rPr>
                  <w:sz w:val="20"/>
                  <w:color w:val="0000ff"/>
                </w:rPr>
                <w:t xml:space="preserve">&lt;1&gt;</w:t>
              </w:r>
            </w:hyperlink>
          </w:p>
        </w:tc>
        <w:tc>
          <w:tcPr>
            <w:tcW w:w="1587" w:type="dxa"/>
            <w:vMerge w:val="restart"/>
          </w:tcPr>
          <w:p>
            <w:pPr>
              <w:pStyle w:val="0"/>
            </w:pPr>
            <w:r>
              <w:rPr>
                <w:sz w:val="20"/>
              </w:rPr>
              <w:t xml:space="preserve">2023-2026</w:t>
            </w:r>
          </w:p>
        </w:tc>
        <w:tc>
          <w:tcPr>
            <w:tcW w:w="2098" w:type="dxa"/>
          </w:tcPr>
          <w:p>
            <w:pPr>
              <w:pStyle w:val="0"/>
            </w:pPr>
            <w:r>
              <w:rPr>
                <w:sz w:val="20"/>
              </w:rPr>
              <w:t xml:space="preserve">Итого:</w:t>
            </w:r>
          </w:p>
        </w:tc>
        <w:tc>
          <w:tcPr>
            <w:tcW w:w="1531" w:type="dxa"/>
          </w:tcPr>
          <w:p>
            <w:pPr>
              <w:pStyle w:val="0"/>
            </w:pPr>
            <w:r>
              <w:rPr>
                <w:sz w:val="20"/>
              </w:rPr>
              <w:t xml:space="preserve">6442358,36</w:t>
            </w:r>
          </w:p>
        </w:tc>
        <w:tc>
          <w:tcPr>
            <w:tcW w:w="1644" w:type="dxa"/>
          </w:tcPr>
          <w:p>
            <w:pPr>
              <w:pStyle w:val="0"/>
            </w:pPr>
            <w:r>
              <w:rPr>
                <w:sz w:val="20"/>
              </w:rPr>
              <w:t xml:space="preserve">2184170,51</w:t>
            </w:r>
          </w:p>
        </w:tc>
        <w:tc>
          <w:tcPr>
            <w:tcW w:w="1644" w:type="dxa"/>
          </w:tcPr>
          <w:p>
            <w:pPr>
              <w:pStyle w:val="0"/>
            </w:pPr>
            <w:r>
              <w:rPr>
                <w:sz w:val="20"/>
              </w:rPr>
              <w:t xml:space="preserve">473183,85</w:t>
            </w:r>
          </w:p>
        </w:tc>
        <w:tc>
          <w:tcPr>
            <w:gridSpan w:val="5"/>
            <w:tcW w:w="6577" w:type="dxa"/>
          </w:tcPr>
          <w:p>
            <w:pPr>
              <w:pStyle w:val="0"/>
            </w:pPr>
            <w:r>
              <w:rPr>
                <w:sz w:val="20"/>
              </w:rPr>
              <w:t xml:space="preserve">2947692,00</w:t>
            </w:r>
          </w:p>
        </w:tc>
        <w:tc>
          <w:tcPr>
            <w:tcW w:w="1587" w:type="dxa"/>
          </w:tcPr>
          <w:p>
            <w:pPr>
              <w:pStyle w:val="0"/>
            </w:pPr>
            <w:r>
              <w:rPr>
                <w:sz w:val="20"/>
              </w:rPr>
              <w:t xml:space="preserve">837312,00</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6396567,00</w:t>
            </w:r>
          </w:p>
        </w:tc>
        <w:tc>
          <w:tcPr>
            <w:tcW w:w="1644" w:type="dxa"/>
          </w:tcPr>
          <w:p>
            <w:pPr>
              <w:pStyle w:val="0"/>
            </w:pPr>
            <w:r>
              <w:rPr>
                <w:sz w:val="20"/>
              </w:rPr>
              <w:t xml:space="preserve">2142260,00</w:t>
            </w:r>
          </w:p>
        </w:tc>
        <w:tc>
          <w:tcPr>
            <w:tcW w:w="1644" w:type="dxa"/>
          </w:tcPr>
          <w:p>
            <w:pPr>
              <w:pStyle w:val="0"/>
            </w:pPr>
            <w:r>
              <w:rPr>
                <w:sz w:val="20"/>
              </w:rPr>
              <w:t xml:space="preserve">469303,00</w:t>
            </w:r>
          </w:p>
        </w:tc>
        <w:tc>
          <w:tcPr>
            <w:gridSpan w:val="5"/>
            <w:tcW w:w="6577" w:type="dxa"/>
          </w:tcPr>
          <w:p>
            <w:pPr>
              <w:pStyle w:val="0"/>
            </w:pPr>
            <w:r>
              <w:rPr>
                <w:sz w:val="20"/>
              </w:rPr>
              <w:t xml:space="preserve">2947692,00</w:t>
            </w:r>
          </w:p>
        </w:tc>
        <w:tc>
          <w:tcPr>
            <w:tcW w:w="1587" w:type="dxa"/>
          </w:tcPr>
          <w:p>
            <w:pPr>
              <w:pStyle w:val="0"/>
            </w:pPr>
            <w:r>
              <w:rPr>
                <w:sz w:val="20"/>
              </w:rPr>
              <w:t xml:space="preserve">837312,00</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Внебюджетные средства</w:t>
            </w:r>
          </w:p>
        </w:tc>
        <w:tc>
          <w:tcPr>
            <w:tcW w:w="1531" w:type="dxa"/>
          </w:tcPr>
          <w:p>
            <w:pPr>
              <w:pStyle w:val="0"/>
            </w:pPr>
            <w:r>
              <w:rPr>
                <w:sz w:val="20"/>
              </w:rPr>
              <w:t xml:space="preserve">45791,36</w:t>
            </w:r>
          </w:p>
        </w:tc>
        <w:tc>
          <w:tcPr>
            <w:tcW w:w="1644" w:type="dxa"/>
          </w:tcPr>
          <w:p>
            <w:pPr>
              <w:pStyle w:val="0"/>
            </w:pPr>
            <w:r>
              <w:rPr>
                <w:sz w:val="20"/>
              </w:rPr>
              <w:t xml:space="preserve">41910,51</w:t>
            </w:r>
          </w:p>
        </w:tc>
        <w:tc>
          <w:tcPr>
            <w:tcW w:w="1644" w:type="dxa"/>
          </w:tcPr>
          <w:p>
            <w:pPr>
              <w:pStyle w:val="0"/>
            </w:pPr>
            <w:r>
              <w:rPr>
                <w:sz w:val="20"/>
              </w:rPr>
              <w:t xml:space="preserve">3880,85</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Резидентами особой экономической зоны технико-внедренческого типа "Дубна" осуществлены инвестиции в объеме,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11306,82</w:t>
            </w:r>
          </w:p>
        </w:tc>
        <w:tc>
          <w:tcPr>
            <w:tcW w:w="1644" w:type="dxa"/>
          </w:tcPr>
          <w:p>
            <w:pPr>
              <w:pStyle w:val="0"/>
            </w:pPr>
            <w:r>
              <w:rPr>
                <w:sz w:val="20"/>
              </w:rPr>
              <w:t xml:space="preserve">11306,82</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Введены в эксплуатацию объекты инфраструктуры особой экономической зоны технико-внедренческого типа "Дубна",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17</w:t>
            </w:r>
          </w:p>
        </w:tc>
        <w:tc>
          <w:tcPr>
            <w:tcW w:w="1644" w:type="dxa"/>
          </w:tcPr>
          <w:p>
            <w:pPr>
              <w:pStyle w:val="0"/>
            </w:pPr>
            <w:r>
              <w:rPr>
                <w:sz w:val="20"/>
              </w:rPr>
              <w:t xml:space="preserve">-</w:t>
            </w:r>
          </w:p>
        </w:tc>
        <w:tc>
          <w:tcPr>
            <w:tcW w:w="1644" w:type="dxa"/>
          </w:tcPr>
          <w:p>
            <w:pPr>
              <w:pStyle w:val="0"/>
            </w:pPr>
            <w:r>
              <w:rPr>
                <w:sz w:val="20"/>
              </w:rPr>
              <w:t xml:space="preserve">3</w:t>
            </w:r>
          </w:p>
        </w:tc>
        <w:tc>
          <w:tcPr>
            <w:tcW w:w="1077" w:type="dxa"/>
          </w:tcPr>
          <w:p>
            <w:pPr>
              <w:pStyle w:val="0"/>
            </w:pPr>
            <w:r>
              <w:rPr>
                <w:sz w:val="20"/>
              </w:rPr>
              <w:t xml:space="preserve">6</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6</w:t>
            </w:r>
          </w:p>
        </w:tc>
        <w:tc>
          <w:tcPr>
            <w:tcW w:w="1587" w:type="dxa"/>
          </w:tcPr>
          <w:p>
            <w:pPr>
              <w:pStyle w:val="0"/>
            </w:pPr>
            <w:r>
              <w:rPr>
                <w:sz w:val="20"/>
              </w:rPr>
              <w:t xml:space="preserve">8</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2.5</w:t>
            </w:r>
          </w:p>
        </w:tc>
        <w:tc>
          <w:tcPr>
            <w:tcW w:w="3458" w:type="dxa"/>
            <w:vMerge w:val="restart"/>
          </w:tcPr>
          <w:bookmarkStart w:id="1396" w:name="P1396"/>
          <w:bookmarkEnd w:id="1396"/>
          <w:p>
            <w:pPr>
              <w:pStyle w:val="0"/>
            </w:pPr>
            <w:r>
              <w:rPr>
                <w:sz w:val="20"/>
              </w:rPr>
              <w:t xml:space="preserve">Мероприятие 02.05. Финансовое обеспечение затрат АО "ОЭЗ ТВТ "Дубна" на осуществление капитальных вложений в объекты капитального строительства, находящиеся в собственности указанного юридического лица, в целях создания индустриальных парков в городских округах Московской области, с последующим увеличением уставного капитала указанного юридического лица</w:t>
            </w:r>
          </w:p>
        </w:tc>
        <w:tc>
          <w:tcPr>
            <w:tcW w:w="1587" w:type="dxa"/>
            <w:vMerge w:val="restart"/>
          </w:tcPr>
          <w:p>
            <w:pPr>
              <w:pStyle w:val="0"/>
            </w:pPr>
            <w:r>
              <w:rPr>
                <w:sz w:val="20"/>
              </w:rPr>
              <w:t xml:space="preserve">2023-2026</w:t>
            </w:r>
          </w:p>
        </w:tc>
        <w:tc>
          <w:tcPr>
            <w:tcW w:w="2098" w:type="dxa"/>
          </w:tcPr>
          <w:p>
            <w:pPr>
              <w:pStyle w:val="0"/>
            </w:pPr>
            <w:r>
              <w:rPr>
                <w:sz w:val="20"/>
              </w:rPr>
              <w:t xml:space="preserve">Итого:</w:t>
            </w:r>
          </w:p>
        </w:tc>
        <w:tc>
          <w:tcPr>
            <w:tcW w:w="1531" w:type="dxa"/>
          </w:tcPr>
          <w:p>
            <w:pPr>
              <w:pStyle w:val="0"/>
            </w:pPr>
            <w:r>
              <w:rPr>
                <w:sz w:val="20"/>
              </w:rPr>
              <w:t xml:space="preserve">28268707,00</w:t>
            </w:r>
          </w:p>
        </w:tc>
        <w:tc>
          <w:tcPr>
            <w:tcW w:w="1644" w:type="dxa"/>
          </w:tcPr>
          <w:p>
            <w:pPr>
              <w:pStyle w:val="0"/>
            </w:pPr>
            <w:r>
              <w:rPr>
                <w:sz w:val="20"/>
              </w:rPr>
              <w:t xml:space="preserve">1879929,00</w:t>
            </w:r>
          </w:p>
        </w:tc>
        <w:tc>
          <w:tcPr>
            <w:tcW w:w="1644" w:type="dxa"/>
          </w:tcPr>
          <w:p>
            <w:pPr>
              <w:pStyle w:val="0"/>
            </w:pPr>
            <w:r>
              <w:rPr>
                <w:sz w:val="20"/>
              </w:rPr>
              <w:t xml:space="preserve">8248088,00</w:t>
            </w:r>
          </w:p>
        </w:tc>
        <w:tc>
          <w:tcPr>
            <w:gridSpan w:val="5"/>
            <w:tcW w:w="6577" w:type="dxa"/>
          </w:tcPr>
          <w:p>
            <w:pPr>
              <w:pStyle w:val="0"/>
            </w:pPr>
            <w:r>
              <w:rPr>
                <w:sz w:val="20"/>
              </w:rPr>
              <w:t xml:space="preserve">11276920,00</w:t>
            </w:r>
          </w:p>
        </w:tc>
        <w:tc>
          <w:tcPr>
            <w:tcW w:w="1587" w:type="dxa"/>
          </w:tcPr>
          <w:p>
            <w:pPr>
              <w:pStyle w:val="0"/>
            </w:pPr>
            <w:r>
              <w:rPr>
                <w:sz w:val="20"/>
              </w:rPr>
              <w:t xml:space="preserve">6863770,00</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28268707,00</w:t>
            </w:r>
          </w:p>
        </w:tc>
        <w:tc>
          <w:tcPr>
            <w:tcW w:w="1644" w:type="dxa"/>
          </w:tcPr>
          <w:p>
            <w:pPr>
              <w:pStyle w:val="0"/>
            </w:pPr>
            <w:r>
              <w:rPr>
                <w:sz w:val="20"/>
              </w:rPr>
              <w:t xml:space="preserve">1879929,00</w:t>
            </w:r>
          </w:p>
        </w:tc>
        <w:tc>
          <w:tcPr>
            <w:tcW w:w="1644" w:type="dxa"/>
          </w:tcPr>
          <w:p>
            <w:pPr>
              <w:pStyle w:val="0"/>
            </w:pPr>
            <w:r>
              <w:rPr>
                <w:sz w:val="20"/>
              </w:rPr>
              <w:t xml:space="preserve">8248088,00</w:t>
            </w:r>
          </w:p>
        </w:tc>
        <w:tc>
          <w:tcPr>
            <w:gridSpan w:val="5"/>
            <w:tcW w:w="6577" w:type="dxa"/>
          </w:tcPr>
          <w:p>
            <w:pPr>
              <w:pStyle w:val="0"/>
            </w:pPr>
            <w:r>
              <w:rPr>
                <w:sz w:val="20"/>
              </w:rPr>
              <w:t xml:space="preserve">11276920,00</w:t>
            </w:r>
          </w:p>
        </w:tc>
        <w:tc>
          <w:tcPr>
            <w:tcW w:w="1587" w:type="dxa"/>
          </w:tcPr>
          <w:p>
            <w:pPr>
              <w:pStyle w:val="0"/>
            </w:pPr>
            <w:r>
              <w:rPr>
                <w:sz w:val="20"/>
              </w:rPr>
              <w:t xml:space="preserve">6863770,00</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Введены в эксплуатацию объекты инфраструктуры индустриальных парков в городских округах Московской области,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18</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11</w:t>
            </w:r>
          </w:p>
        </w:tc>
        <w:tc>
          <w:tcPr>
            <w:tcW w:w="1587" w:type="dxa"/>
          </w:tcPr>
          <w:p>
            <w:pPr>
              <w:pStyle w:val="0"/>
            </w:pPr>
            <w:r>
              <w:rPr>
                <w:sz w:val="20"/>
              </w:rPr>
              <w:t xml:space="preserve">7</w:t>
            </w:r>
          </w:p>
        </w:tc>
        <w:tc>
          <w:tcPr>
            <w:tcW w:w="1417" w:type="dxa"/>
          </w:tcPr>
          <w:p>
            <w:pPr>
              <w:pStyle w:val="0"/>
            </w:pPr>
            <w:r>
              <w:rPr>
                <w:sz w:val="20"/>
              </w:rPr>
              <w:t xml:space="preserve">-</w:t>
            </w:r>
          </w:p>
        </w:tc>
        <w:tc>
          <w:tcPr>
            <w:vMerge w:val="continue"/>
          </w:tcPr>
          <w:p/>
        </w:tc>
      </w:tr>
      <w:tr>
        <w:tc>
          <w:tcPr>
            <w:tcW w:w="680" w:type="dxa"/>
            <w:vMerge w:val="restart"/>
          </w:tcPr>
          <w:p>
            <w:pPr>
              <w:pStyle w:val="0"/>
              <w:outlineLvl w:val="3"/>
            </w:pPr>
            <w:r>
              <w:rPr>
                <w:sz w:val="20"/>
              </w:rPr>
              <w:t xml:space="preserve">3</w:t>
            </w:r>
          </w:p>
        </w:tc>
        <w:tc>
          <w:tcPr>
            <w:tcW w:w="3458" w:type="dxa"/>
            <w:vMerge w:val="restart"/>
          </w:tcPr>
          <w:p>
            <w:pPr>
              <w:pStyle w:val="0"/>
            </w:pPr>
            <w:r>
              <w:rPr>
                <w:sz w:val="20"/>
              </w:rPr>
              <w:t xml:space="preserve">Основное мероприятие 03. Осуществление мероприятий по реализации стратегий социально-экономического развития наукоградов Российской Федерации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1383758,70</w:t>
            </w:r>
          </w:p>
        </w:tc>
        <w:tc>
          <w:tcPr>
            <w:tcW w:w="1644" w:type="dxa"/>
          </w:tcPr>
          <w:p>
            <w:pPr>
              <w:pStyle w:val="0"/>
            </w:pPr>
            <w:r>
              <w:rPr>
                <w:sz w:val="20"/>
              </w:rPr>
              <w:t xml:space="preserve">361542,80</w:t>
            </w:r>
          </w:p>
        </w:tc>
        <w:tc>
          <w:tcPr>
            <w:tcW w:w="1644" w:type="dxa"/>
          </w:tcPr>
          <w:p>
            <w:pPr>
              <w:pStyle w:val="0"/>
            </w:pPr>
            <w:r>
              <w:rPr>
                <w:sz w:val="20"/>
              </w:rPr>
              <w:t xml:space="preserve">294109,20</w:t>
            </w:r>
          </w:p>
        </w:tc>
        <w:tc>
          <w:tcPr>
            <w:gridSpan w:val="5"/>
            <w:tcW w:w="6577" w:type="dxa"/>
          </w:tcPr>
          <w:p>
            <w:pPr>
              <w:pStyle w:val="0"/>
            </w:pPr>
            <w:r>
              <w:rPr>
                <w:sz w:val="20"/>
              </w:rPr>
              <w:t xml:space="preserve">311487,60</w:t>
            </w:r>
          </w:p>
        </w:tc>
        <w:tc>
          <w:tcPr>
            <w:tcW w:w="1587" w:type="dxa"/>
          </w:tcPr>
          <w:p>
            <w:pPr>
              <w:pStyle w:val="0"/>
            </w:pPr>
            <w:r>
              <w:rPr>
                <w:sz w:val="20"/>
              </w:rPr>
              <w:t xml:space="preserve">206034,20</w:t>
            </w:r>
          </w:p>
        </w:tc>
        <w:tc>
          <w:tcPr>
            <w:tcW w:w="1417" w:type="dxa"/>
          </w:tcPr>
          <w:p>
            <w:pPr>
              <w:pStyle w:val="0"/>
            </w:pPr>
            <w:r>
              <w:rPr>
                <w:sz w:val="20"/>
              </w:rPr>
              <w:t xml:space="preserve">210584,90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575476,00</w:t>
            </w:r>
          </w:p>
        </w:tc>
        <w:tc>
          <w:tcPr>
            <w:tcW w:w="1644" w:type="dxa"/>
          </w:tcPr>
          <w:p>
            <w:pPr>
              <w:pStyle w:val="0"/>
            </w:pPr>
            <w:r>
              <w:rPr>
                <w:sz w:val="20"/>
              </w:rPr>
              <w:t xml:space="preserve">142477,00</w:t>
            </w:r>
          </w:p>
        </w:tc>
        <w:tc>
          <w:tcPr>
            <w:tcW w:w="1644" w:type="dxa"/>
          </w:tcPr>
          <w:p>
            <w:pPr>
              <w:pStyle w:val="0"/>
            </w:pPr>
            <w:r>
              <w:rPr>
                <w:sz w:val="20"/>
              </w:rPr>
              <w:t xml:space="preserve">116816,00</w:t>
            </w:r>
          </w:p>
        </w:tc>
        <w:tc>
          <w:tcPr>
            <w:gridSpan w:val="5"/>
            <w:tcW w:w="6577" w:type="dxa"/>
          </w:tcPr>
          <w:p>
            <w:pPr>
              <w:pStyle w:val="0"/>
            </w:pPr>
            <w:r>
              <w:rPr>
                <w:sz w:val="20"/>
              </w:rPr>
              <w:t xml:space="preserve">127509,00</w:t>
            </w:r>
          </w:p>
        </w:tc>
        <w:tc>
          <w:tcPr>
            <w:tcW w:w="1587" w:type="dxa"/>
          </w:tcPr>
          <w:p>
            <w:pPr>
              <w:pStyle w:val="0"/>
            </w:pPr>
            <w:r>
              <w:rPr>
                <w:sz w:val="20"/>
              </w:rPr>
              <w:t xml:space="preserve">91382,00</w:t>
            </w:r>
          </w:p>
        </w:tc>
        <w:tc>
          <w:tcPr>
            <w:tcW w:w="1417" w:type="dxa"/>
          </w:tcPr>
          <w:p>
            <w:pPr>
              <w:pStyle w:val="0"/>
            </w:pPr>
            <w:r>
              <w:rPr>
                <w:sz w:val="20"/>
              </w:rPr>
              <w:t xml:space="preserve">97292,00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682140,00</w:t>
            </w:r>
          </w:p>
        </w:tc>
        <w:tc>
          <w:tcPr>
            <w:tcW w:w="1644" w:type="dxa"/>
          </w:tcPr>
          <w:p>
            <w:pPr>
              <w:pStyle w:val="0"/>
            </w:pPr>
            <w:r>
              <w:rPr>
                <w:sz w:val="20"/>
              </w:rPr>
              <w:t xml:space="preserve">181333,00</w:t>
            </w:r>
          </w:p>
        </w:tc>
        <w:tc>
          <w:tcPr>
            <w:tcW w:w="1644" w:type="dxa"/>
          </w:tcPr>
          <w:p>
            <w:pPr>
              <w:pStyle w:val="0"/>
            </w:pPr>
            <w:r>
              <w:rPr>
                <w:sz w:val="20"/>
              </w:rPr>
              <w:t xml:space="preserve">148674,00</w:t>
            </w:r>
          </w:p>
        </w:tc>
        <w:tc>
          <w:tcPr>
            <w:gridSpan w:val="5"/>
            <w:tcW w:w="6577" w:type="dxa"/>
          </w:tcPr>
          <w:p>
            <w:pPr>
              <w:pStyle w:val="0"/>
            </w:pPr>
            <w:r>
              <w:rPr>
                <w:sz w:val="20"/>
              </w:rPr>
              <w:t xml:space="preserve">155844,00</w:t>
            </w:r>
          </w:p>
        </w:tc>
        <w:tc>
          <w:tcPr>
            <w:tcW w:w="1587" w:type="dxa"/>
          </w:tcPr>
          <w:p>
            <w:pPr>
              <w:pStyle w:val="0"/>
            </w:pPr>
            <w:r>
              <w:rPr>
                <w:sz w:val="20"/>
              </w:rPr>
              <w:t xml:space="preserve">98997,00</w:t>
            </w:r>
          </w:p>
        </w:tc>
        <w:tc>
          <w:tcPr>
            <w:tcW w:w="1417" w:type="dxa"/>
          </w:tcPr>
          <w:p>
            <w:pPr>
              <w:pStyle w:val="0"/>
            </w:pPr>
            <w:r>
              <w:rPr>
                <w:sz w:val="20"/>
              </w:rPr>
              <w:t xml:space="preserve">97292,00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бюджетов муниципальных образований Московской области</w:t>
            </w:r>
          </w:p>
        </w:tc>
        <w:tc>
          <w:tcPr>
            <w:tcW w:w="1531" w:type="dxa"/>
          </w:tcPr>
          <w:p>
            <w:pPr>
              <w:pStyle w:val="0"/>
            </w:pPr>
            <w:r>
              <w:rPr>
                <w:sz w:val="20"/>
              </w:rPr>
              <w:t xml:space="preserve">126142,70</w:t>
            </w:r>
          </w:p>
        </w:tc>
        <w:tc>
          <w:tcPr>
            <w:tcW w:w="1644" w:type="dxa"/>
          </w:tcPr>
          <w:p>
            <w:pPr>
              <w:pStyle w:val="0"/>
            </w:pPr>
            <w:r>
              <w:rPr>
                <w:sz w:val="20"/>
              </w:rPr>
              <w:t xml:space="preserve">37732,80</w:t>
            </w:r>
          </w:p>
        </w:tc>
        <w:tc>
          <w:tcPr>
            <w:tcW w:w="1644" w:type="dxa"/>
          </w:tcPr>
          <w:p>
            <w:pPr>
              <w:pStyle w:val="0"/>
            </w:pPr>
            <w:r>
              <w:rPr>
                <w:sz w:val="20"/>
              </w:rPr>
              <w:t xml:space="preserve">28619,20</w:t>
            </w:r>
          </w:p>
        </w:tc>
        <w:tc>
          <w:tcPr>
            <w:gridSpan w:val="5"/>
            <w:tcW w:w="6577" w:type="dxa"/>
          </w:tcPr>
          <w:p>
            <w:pPr>
              <w:pStyle w:val="0"/>
            </w:pPr>
            <w:r>
              <w:rPr>
                <w:sz w:val="20"/>
              </w:rPr>
              <w:t xml:space="preserve">28134,60</w:t>
            </w:r>
          </w:p>
        </w:tc>
        <w:tc>
          <w:tcPr>
            <w:tcW w:w="1587" w:type="dxa"/>
          </w:tcPr>
          <w:p>
            <w:pPr>
              <w:pStyle w:val="0"/>
            </w:pPr>
            <w:r>
              <w:rPr>
                <w:sz w:val="20"/>
              </w:rPr>
              <w:t xml:space="preserve">15655,20</w:t>
            </w:r>
          </w:p>
        </w:tc>
        <w:tc>
          <w:tcPr>
            <w:tcW w:w="1417" w:type="dxa"/>
          </w:tcPr>
          <w:p>
            <w:pPr>
              <w:pStyle w:val="0"/>
            </w:pPr>
            <w:r>
              <w:rPr>
                <w:sz w:val="20"/>
              </w:rPr>
              <w:t xml:space="preserve">16000,90</w:t>
            </w:r>
          </w:p>
        </w:tc>
        <w:tc>
          <w:tcPr>
            <w:vMerge w:val="continue"/>
          </w:tcPr>
          <w:p/>
        </w:tc>
      </w:tr>
      <w:tr>
        <w:tc>
          <w:tcPr>
            <w:tcW w:w="680" w:type="dxa"/>
            <w:vMerge w:val="restart"/>
          </w:tcPr>
          <w:p>
            <w:pPr>
              <w:pStyle w:val="0"/>
            </w:pPr>
            <w:r>
              <w:rPr>
                <w:sz w:val="20"/>
              </w:rPr>
              <w:t xml:space="preserve">3.1</w:t>
            </w:r>
          </w:p>
        </w:tc>
        <w:tc>
          <w:tcPr>
            <w:tcW w:w="3458" w:type="dxa"/>
            <w:vMerge w:val="restart"/>
          </w:tcPr>
          <w:bookmarkStart w:id="1471" w:name="P1471"/>
          <w:bookmarkEnd w:id="1471"/>
          <w:p>
            <w:pPr>
              <w:pStyle w:val="0"/>
            </w:pPr>
            <w:r>
              <w:rPr>
                <w:sz w:val="20"/>
              </w:rPr>
              <w:t xml:space="preserve">Мероприятие 03.01.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1383758,70</w:t>
            </w:r>
          </w:p>
        </w:tc>
        <w:tc>
          <w:tcPr>
            <w:tcW w:w="1644" w:type="dxa"/>
          </w:tcPr>
          <w:p>
            <w:pPr>
              <w:pStyle w:val="0"/>
            </w:pPr>
            <w:r>
              <w:rPr>
                <w:sz w:val="20"/>
              </w:rPr>
              <w:t xml:space="preserve">361542,80</w:t>
            </w:r>
          </w:p>
        </w:tc>
        <w:tc>
          <w:tcPr>
            <w:tcW w:w="1644" w:type="dxa"/>
          </w:tcPr>
          <w:p>
            <w:pPr>
              <w:pStyle w:val="0"/>
            </w:pPr>
            <w:r>
              <w:rPr>
                <w:sz w:val="20"/>
              </w:rPr>
              <w:t xml:space="preserve">294109,20</w:t>
            </w:r>
          </w:p>
        </w:tc>
        <w:tc>
          <w:tcPr>
            <w:gridSpan w:val="5"/>
            <w:tcW w:w="6577" w:type="dxa"/>
          </w:tcPr>
          <w:p>
            <w:pPr>
              <w:pStyle w:val="0"/>
            </w:pPr>
            <w:r>
              <w:rPr>
                <w:sz w:val="20"/>
              </w:rPr>
              <w:t xml:space="preserve">311487,60</w:t>
            </w:r>
          </w:p>
        </w:tc>
        <w:tc>
          <w:tcPr>
            <w:tcW w:w="1587" w:type="dxa"/>
          </w:tcPr>
          <w:p>
            <w:pPr>
              <w:pStyle w:val="0"/>
            </w:pPr>
            <w:r>
              <w:rPr>
                <w:sz w:val="20"/>
              </w:rPr>
              <w:t xml:space="preserve">206034,20</w:t>
            </w:r>
          </w:p>
        </w:tc>
        <w:tc>
          <w:tcPr>
            <w:tcW w:w="1417" w:type="dxa"/>
          </w:tcPr>
          <w:p>
            <w:pPr>
              <w:pStyle w:val="0"/>
            </w:pPr>
            <w:r>
              <w:rPr>
                <w:sz w:val="20"/>
              </w:rPr>
              <w:t xml:space="preserve">210584,90</w:t>
            </w:r>
          </w:p>
        </w:tc>
        <w:tc>
          <w:tcPr>
            <w:tcW w:w="1531" w:type="dxa"/>
            <w:vMerge w:val="restart"/>
          </w:tcPr>
          <w:p>
            <w:pPr>
              <w:pStyle w:val="0"/>
            </w:pPr>
            <w:r>
              <w:rPr>
                <w:sz w:val="20"/>
              </w:rPr>
              <w:t xml:space="preserve">Органы местного самоуправления муниципальных образований Московской области, 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575476,00</w:t>
            </w:r>
          </w:p>
        </w:tc>
        <w:tc>
          <w:tcPr>
            <w:tcW w:w="1644" w:type="dxa"/>
          </w:tcPr>
          <w:p>
            <w:pPr>
              <w:pStyle w:val="0"/>
            </w:pPr>
            <w:r>
              <w:rPr>
                <w:sz w:val="20"/>
              </w:rPr>
              <w:t xml:space="preserve">142477,00</w:t>
            </w:r>
          </w:p>
        </w:tc>
        <w:tc>
          <w:tcPr>
            <w:tcW w:w="1644" w:type="dxa"/>
          </w:tcPr>
          <w:p>
            <w:pPr>
              <w:pStyle w:val="0"/>
            </w:pPr>
            <w:r>
              <w:rPr>
                <w:sz w:val="20"/>
              </w:rPr>
              <w:t xml:space="preserve">116816,00</w:t>
            </w:r>
          </w:p>
        </w:tc>
        <w:tc>
          <w:tcPr>
            <w:gridSpan w:val="5"/>
            <w:tcW w:w="6577" w:type="dxa"/>
          </w:tcPr>
          <w:p>
            <w:pPr>
              <w:pStyle w:val="0"/>
            </w:pPr>
            <w:r>
              <w:rPr>
                <w:sz w:val="20"/>
              </w:rPr>
              <w:t xml:space="preserve">127509,00</w:t>
            </w:r>
          </w:p>
        </w:tc>
        <w:tc>
          <w:tcPr>
            <w:tcW w:w="1587" w:type="dxa"/>
          </w:tcPr>
          <w:p>
            <w:pPr>
              <w:pStyle w:val="0"/>
            </w:pPr>
            <w:r>
              <w:rPr>
                <w:sz w:val="20"/>
              </w:rPr>
              <w:t xml:space="preserve">91382,00</w:t>
            </w:r>
          </w:p>
        </w:tc>
        <w:tc>
          <w:tcPr>
            <w:tcW w:w="1417" w:type="dxa"/>
          </w:tcPr>
          <w:p>
            <w:pPr>
              <w:pStyle w:val="0"/>
            </w:pPr>
            <w:r>
              <w:rPr>
                <w:sz w:val="20"/>
              </w:rPr>
              <w:t xml:space="preserve">97292,00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682140,00</w:t>
            </w:r>
          </w:p>
        </w:tc>
        <w:tc>
          <w:tcPr>
            <w:tcW w:w="1644" w:type="dxa"/>
          </w:tcPr>
          <w:p>
            <w:pPr>
              <w:pStyle w:val="0"/>
            </w:pPr>
            <w:r>
              <w:rPr>
                <w:sz w:val="20"/>
              </w:rPr>
              <w:t xml:space="preserve">181333,00</w:t>
            </w:r>
          </w:p>
        </w:tc>
        <w:tc>
          <w:tcPr>
            <w:tcW w:w="1644" w:type="dxa"/>
          </w:tcPr>
          <w:p>
            <w:pPr>
              <w:pStyle w:val="0"/>
            </w:pPr>
            <w:r>
              <w:rPr>
                <w:sz w:val="20"/>
              </w:rPr>
              <w:t xml:space="preserve">148674,00</w:t>
            </w:r>
          </w:p>
        </w:tc>
        <w:tc>
          <w:tcPr>
            <w:gridSpan w:val="5"/>
            <w:tcW w:w="6577" w:type="dxa"/>
          </w:tcPr>
          <w:p>
            <w:pPr>
              <w:pStyle w:val="0"/>
            </w:pPr>
            <w:r>
              <w:rPr>
                <w:sz w:val="20"/>
              </w:rPr>
              <w:t xml:space="preserve">155844,00</w:t>
            </w:r>
          </w:p>
        </w:tc>
        <w:tc>
          <w:tcPr>
            <w:tcW w:w="1587" w:type="dxa"/>
          </w:tcPr>
          <w:p>
            <w:pPr>
              <w:pStyle w:val="0"/>
            </w:pPr>
            <w:r>
              <w:rPr>
                <w:sz w:val="20"/>
              </w:rPr>
              <w:t xml:space="preserve">98997,00</w:t>
            </w:r>
          </w:p>
        </w:tc>
        <w:tc>
          <w:tcPr>
            <w:tcW w:w="1417" w:type="dxa"/>
          </w:tcPr>
          <w:p>
            <w:pPr>
              <w:pStyle w:val="0"/>
            </w:pPr>
            <w:r>
              <w:rPr>
                <w:sz w:val="20"/>
              </w:rPr>
              <w:t xml:space="preserve">97292,00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бюджетов муниципальных образований Московской области</w:t>
            </w:r>
          </w:p>
        </w:tc>
        <w:tc>
          <w:tcPr>
            <w:tcW w:w="1531" w:type="dxa"/>
          </w:tcPr>
          <w:p>
            <w:pPr>
              <w:pStyle w:val="0"/>
            </w:pPr>
            <w:r>
              <w:rPr>
                <w:sz w:val="20"/>
              </w:rPr>
              <w:t xml:space="preserve">126142,70</w:t>
            </w:r>
          </w:p>
        </w:tc>
        <w:tc>
          <w:tcPr>
            <w:tcW w:w="1644" w:type="dxa"/>
          </w:tcPr>
          <w:p>
            <w:pPr>
              <w:pStyle w:val="0"/>
            </w:pPr>
            <w:r>
              <w:rPr>
                <w:sz w:val="20"/>
              </w:rPr>
              <w:t xml:space="preserve">37732,80</w:t>
            </w:r>
          </w:p>
        </w:tc>
        <w:tc>
          <w:tcPr>
            <w:tcW w:w="1644" w:type="dxa"/>
          </w:tcPr>
          <w:p>
            <w:pPr>
              <w:pStyle w:val="0"/>
            </w:pPr>
            <w:r>
              <w:rPr>
                <w:sz w:val="20"/>
              </w:rPr>
              <w:t xml:space="preserve">28619,20</w:t>
            </w:r>
          </w:p>
        </w:tc>
        <w:tc>
          <w:tcPr>
            <w:gridSpan w:val="5"/>
            <w:tcW w:w="6577" w:type="dxa"/>
          </w:tcPr>
          <w:p>
            <w:pPr>
              <w:pStyle w:val="0"/>
            </w:pPr>
            <w:r>
              <w:rPr>
                <w:sz w:val="20"/>
              </w:rPr>
              <w:t xml:space="preserve">28134,60</w:t>
            </w:r>
          </w:p>
        </w:tc>
        <w:tc>
          <w:tcPr>
            <w:tcW w:w="1587" w:type="dxa"/>
          </w:tcPr>
          <w:p>
            <w:pPr>
              <w:pStyle w:val="0"/>
            </w:pPr>
            <w:r>
              <w:rPr>
                <w:sz w:val="20"/>
              </w:rPr>
              <w:t xml:space="preserve">15655,20</w:t>
            </w:r>
          </w:p>
        </w:tc>
        <w:tc>
          <w:tcPr>
            <w:tcW w:w="1417" w:type="dxa"/>
          </w:tcPr>
          <w:p>
            <w:pPr>
              <w:pStyle w:val="0"/>
            </w:pPr>
            <w:r>
              <w:rPr>
                <w:sz w:val="20"/>
              </w:rPr>
              <w:t xml:space="preserve">16000,90</w:t>
            </w:r>
          </w:p>
        </w:tc>
        <w:tc>
          <w:tcPr>
            <w:vMerge w:val="continue"/>
          </w:tcPr>
          <w:p/>
        </w:tc>
      </w:tr>
      <w:tr>
        <w:tc>
          <w:tcPr>
            <w:vMerge w:val="continue"/>
          </w:tcPr>
          <w:p/>
        </w:tc>
        <w:tc>
          <w:tcPr>
            <w:tcW w:w="3458" w:type="dxa"/>
            <w:vMerge w:val="restart"/>
          </w:tcPr>
          <w:p>
            <w:pPr>
              <w:pStyle w:val="0"/>
            </w:pPr>
            <w:r>
              <w:rPr>
                <w:sz w:val="20"/>
              </w:rPr>
              <w:t xml:space="preserve">Результат 1. Общий объем товаров (выполненных работ, оказанных услуг), произведенных научно-производственными комплексами наукоградов Российской Федерации, в общем объеме произведенных товаров (выполненных работ, оказанных услуг) в наукоградах Российской Федерации, за исключением организаций, образующих инфраструктуру наукоградов Российской Федерации, процентов</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53</w:t>
            </w:r>
          </w:p>
        </w:tc>
        <w:tc>
          <w:tcPr>
            <w:tcW w:w="1644" w:type="dxa"/>
          </w:tcPr>
          <w:p>
            <w:pPr>
              <w:pStyle w:val="0"/>
            </w:pPr>
            <w:r>
              <w:rPr>
                <w:sz w:val="20"/>
              </w:rPr>
              <w:t xml:space="preserve">53</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Реализованы мероприятия, способствующие развитию научно-производственного комплекса наукограда (в том числе малых и средних предприятий), сохранению и развитию его инфраструктуры, а также мероприятия, способствующие реализации инновационных проектов, направленных на создание и развитие производства высокотехнологичной промышленной продукции и (или) инновационных товаров и услуг в соответствии с приоритетными направлениями развития науки, технологий и техники Российской Федерации, представленных субъектами Российской Федерации, на территориях которых расположены муниципальные образования, имеющие статус наукограда Российской Федерации,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25</w:t>
            </w:r>
          </w:p>
        </w:tc>
        <w:tc>
          <w:tcPr>
            <w:tcW w:w="1644" w:type="dxa"/>
          </w:tcPr>
          <w:p>
            <w:pPr>
              <w:pStyle w:val="0"/>
            </w:pPr>
            <w:r>
              <w:rPr>
                <w:sz w:val="20"/>
              </w:rPr>
              <w:t xml:space="preserve">-</w:t>
            </w:r>
          </w:p>
        </w:tc>
        <w:tc>
          <w:tcPr>
            <w:tcW w:w="1644" w:type="dxa"/>
          </w:tcPr>
          <w:p>
            <w:pPr>
              <w:pStyle w:val="0"/>
            </w:pPr>
            <w:r>
              <w:rPr>
                <w:sz w:val="20"/>
              </w:rPr>
              <w:t xml:space="preserve">7</w:t>
            </w:r>
          </w:p>
        </w:tc>
        <w:tc>
          <w:tcPr>
            <w:tcW w:w="1077" w:type="dxa"/>
          </w:tcPr>
          <w:p>
            <w:pPr>
              <w:pStyle w:val="0"/>
            </w:pPr>
            <w:r>
              <w:rPr>
                <w:sz w:val="20"/>
              </w:rPr>
              <w:t xml:space="preserve">8</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8</w:t>
            </w:r>
          </w:p>
        </w:tc>
        <w:tc>
          <w:tcPr>
            <w:tcW w:w="1587" w:type="dxa"/>
          </w:tcPr>
          <w:p>
            <w:pPr>
              <w:pStyle w:val="0"/>
            </w:pPr>
            <w:r>
              <w:rPr>
                <w:sz w:val="20"/>
              </w:rPr>
              <w:t xml:space="preserve">5</w:t>
            </w:r>
          </w:p>
        </w:tc>
        <w:tc>
          <w:tcPr>
            <w:tcW w:w="1417" w:type="dxa"/>
          </w:tcPr>
          <w:p>
            <w:pPr>
              <w:pStyle w:val="0"/>
            </w:pPr>
            <w:r>
              <w:rPr>
                <w:sz w:val="20"/>
              </w:rPr>
              <w:t xml:space="preserve">5</w:t>
            </w:r>
          </w:p>
        </w:tc>
        <w:tc>
          <w:tcPr>
            <w:vMerge w:val="continue"/>
          </w:tcPr>
          <w:p/>
        </w:tc>
      </w:tr>
      <w:tr>
        <w:tc>
          <w:tcPr>
            <w:tcW w:w="680" w:type="dxa"/>
            <w:vMerge w:val="restart"/>
          </w:tcPr>
          <w:p>
            <w:pPr>
              <w:pStyle w:val="0"/>
              <w:outlineLvl w:val="3"/>
            </w:pPr>
            <w:r>
              <w:rPr>
                <w:sz w:val="20"/>
              </w:rPr>
              <w:t xml:space="preserve">4</w:t>
            </w:r>
          </w:p>
        </w:tc>
        <w:tc>
          <w:tcPr>
            <w:tcW w:w="3458" w:type="dxa"/>
            <w:vMerge w:val="restart"/>
          </w:tcPr>
          <w:p>
            <w:pPr>
              <w:pStyle w:val="0"/>
            </w:pPr>
            <w:r>
              <w:rPr>
                <w:sz w:val="20"/>
              </w:rPr>
              <w:t xml:space="preserve">Основное мероприятие 04. Грантовая поддержка науки и инноваций</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492500,00</w:t>
            </w:r>
          </w:p>
        </w:tc>
        <w:tc>
          <w:tcPr>
            <w:tcW w:w="1644" w:type="dxa"/>
          </w:tcPr>
          <w:p>
            <w:pPr>
              <w:pStyle w:val="0"/>
            </w:pPr>
            <w:r>
              <w:rPr>
                <w:sz w:val="20"/>
              </w:rPr>
              <w:t xml:space="preserve">70500,00</w:t>
            </w:r>
          </w:p>
        </w:tc>
        <w:tc>
          <w:tcPr>
            <w:tcW w:w="1644" w:type="dxa"/>
          </w:tcPr>
          <w:p>
            <w:pPr>
              <w:pStyle w:val="0"/>
            </w:pPr>
            <w:r>
              <w:rPr>
                <w:sz w:val="20"/>
              </w:rPr>
              <w:t xml:space="preserve">60500,00</w:t>
            </w:r>
          </w:p>
        </w:tc>
        <w:tc>
          <w:tcPr>
            <w:gridSpan w:val="5"/>
            <w:tcW w:w="6577" w:type="dxa"/>
          </w:tcPr>
          <w:p>
            <w:pPr>
              <w:pStyle w:val="0"/>
            </w:pPr>
            <w:r>
              <w:rPr>
                <w:sz w:val="20"/>
              </w:rPr>
              <w:t xml:space="preserve">120500,00</w:t>
            </w:r>
          </w:p>
        </w:tc>
        <w:tc>
          <w:tcPr>
            <w:tcW w:w="1587" w:type="dxa"/>
          </w:tcPr>
          <w:p>
            <w:pPr>
              <w:pStyle w:val="0"/>
            </w:pPr>
            <w:r>
              <w:rPr>
                <w:sz w:val="20"/>
              </w:rPr>
              <w:t xml:space="preserve">120500,00</w:t>
            </w:r>
          </w:p>
        </w:tc>
        <w:tc>
          <w:tcPr>
            <w:tcW w:w="1417" w:type="dxa"/>
          </w:tcPr>
          <w:p>
            <w:pPr>
              <w:pStyle w:val="0"/>
            </w:pPr>
            <w:r>
              <w:rPr>
                <w:sz w:val="20"/>
              </w:rPr>
              <w:t xml:space="preserve">120500,00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492500,00</w:t>
            </w:r>
          </w:p>
        </w:tc>
        <w:tc>
          <w:tcPr>
            <w:tcW w:w="1644" w:type="dxa"/>
          </w:tcPr>
          <w:p>
            <w:pPr>
              <w:pStyle w:val="0"/>
            </w:pPr>
            <w:r>
              <w:rPr>
                <w:sz w:val="20"/>
              </w:rPr>
              <w:t xml:space="preserve">70500,00</w:t>
            </w:r>
          </w:p>
        </w:tc>
        <w:tc>
          <w:tcPr>
            <w:tcW w:w="1644" w:type="dxa"/>
          </w:tcPr>
          <w:p>
            <w:pPr>
              <w:pStyle w:val="0"/>
            </w:pPr>
            <w:r>
              <w:rPr>
                <w:sz w:val="20"/>
              </w:rPr>
              <w:t xml:space="preserve">60500,00</w:t>
            </w:r>
          </w:p>
        </w:tc>
        <w:tc>
          <w:tcPr>
            <w:gridSpan w:val="5"/>
            <w:tcW w:w="6577" w:type="dxa"/>
          </w:tcPr>
          <w:p>
            <w:pPr>
              <w:pStyle w:val="0"/>
            </w:pPr>
            <w:r>
              <w:rPr>
                <w:sz w:val="20"/>
              </w:rPr>
              <w:t xml:space="preserve">120500,00</w:t>
            </w:r>
          </w:p>
        </w:tc>
        <w:tc>
          <w:tcPr>
            <w:tcW w:w="1587" w:type="dxa"/>
          </w:tcPr>
          <w:p>
            <w:pPr>
              <w:pStyle w:val="0"/>
            </w:pPr>
            <w:r>
              <w:rPr>
                <w:sz w:val="20"/>
              </w:rPr>
              <w:t xml:space="preserve">120500,00</w:t>
            </w:r>
          </w:p>
        </w:tc>
        <w:tc>
          <w:tcPr>
            <w:tcW w:w="1417" w:type="dxa"/>
          </w:tcPr>
          <w:p>
            <w:pPr>
              <w:pStyle w:val="0"/>
            </w:pPr>
            <w:r>
              <w:rPr>
                <w:sz w:val="20"/>
              </w:rPr>
              <w:t xml:space="preserve">120500,00</w:t>
            </w:r>
          </w:p>
        </w:tc>
        <w:tc>
          <w:tcPr>
            <w:vMerge w:val="continue"/>
          </w:tcPr>
          <w:p/>
        </w:tc>
      </w:tr>
      <w:tr>
        <w:tc>
          <w:tcPr>
            <w:tcW w:w="680" w:type="dxa"/>
            <w:vMerge w:val="restart"/>
          </w:tcPr>
          <w:p>
            <w:pPr>
              <w:pStyle w:val="0"/>
            </w:pPr>
            <w:r>
              <w:rPr>
                <w:sz w:val="20"/>
              </w:rPr>
              <w:t xml:space="preserve">4.1</w:t>
            </w:r>
          </w:p>
        </w:tc>
        <w:tc>
          <w:tcPr>
            <w:tcW w:w="3458" w:type="dxa"/>
            <w:vMerge w:val="restart"/>
          </w:tcPr>
          <w:bookmarkStart w:id="1571" w:name="P1571"/>
          <w:bookmarkEnd w:id="1571"/>
          <w:p>
            <w:pPr>
              <w:pStyle w:val="0"/>
            </w:pPr>
            <w:r>
              <w:rPr>
                <w:sz w:val="20"/>
              </w:rPr>
              <w:t xml:space="preserve">Мероприятие 04.01. Поддержка организаций, осуществляющих деятельность в сферах науки, технологий, техники и инноваций в целях реализации научных, научно-технических и инновационных проектов</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390000,00</w:t>
            </w:r>
          </w:p>
        </w:tc>
        <w:tc>
          <w:tcPr>
            <w:tcW w:w="1644" w:type="dxa"/>
          </w:tcPr>
          <w:p>
            <w:pPr>
              <w:pStyle w:val="0"/>
            </w:pPr>
            <w:r>
              <w:rPr>
                <w:sz w:val="20"/>
              </w:rPr>
              <w:t xml:space="preserve">50000,00</w:t>
            </w:r>
          </w:p>
        </w:tc>
        <w:tc>
          <w:tcPr>
            <w:tcW w:w="1644" w:type="dxa"/>
          </w:tcPr>
          <w:p>
            <w:pPr>
              <w:pStyle w:val="0"/>
            </w:pPr>
            <w:r>
              <w:rPr>
                <w:sz w:val="20"/>
              </w:rPr>
              <w:t xml:space="preserve">40000,00</w:t>
            </w:r>
          </w:p>
        </w:tc>
        <w:tc>
          <w:tcPr>
            <w:gridSpan w:val="5"/>
            <w:tcW w:w="6577" w:type="dxa"/>
          </w:tcPr>
          <w:p>
            <w:pPr>
              <w:pStyle w:val="0"/>
            </w:pPr>
            <w:r>
              <w:rPr>
                <w:sz w:val="20"/>
              </w:rPr>
              <w:t xml:space="preserve">100000,00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390000,00</w:t>
            </w:r>
          </w:p>
        </w:tc>
        <w:tc>
          <w:tcPr>
            <w:tcW w:w="1644" w:type="dxa"/>
          </w:tcPr>
          <w:p>
            <w:pPr>
              <w:pStyle w:val="0"/>
            </w:pPr>
            <w:r>
              <w:rPr>
                <w:sz w:val="20"/>
              </w:rPr>
              <w:t xml:space="preserve">50000,00</w:t>
            </w:r>
          </w:p>
        </w:tc>
        <w:tc>
          <w:tcPr>
            <w:tcW w:w="1644" w:type="dxa"/>
          </w:tcPr>
          <w:p>
            <w:pPr>
              <w:pStyle w:val="0"/>
            </w:pPr>
            <w:r>
              <w:rPr>
                <w:sz w:val="20"/>
              </w:rPr>
              <w:t xml:space="preserve">40000,00</w:t>
            </w:r>
          </w:p>
        </w:tc>
        <w:tc>
          <w:tcPr>
            <w:gridSpan w:val="5"/>
            <w:tcW w:w="6577" w:type="dxa"/>
          </w:tcPr>
          <w:p>
            <w:pPr>
              <w:pStyle w:val="0"/>
            </w:pPr>
            <w:r>
              <w:rPr>
                <w:sz w:val="20"/>
              </w:rPr>
              <w:t xml:space="preserve">100000,00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vMerge w:val="continue"/>
          </w:tcPr>
          <w:p/>
        </w:tc>
      </w:tr>
      <w:tr>
        <w:tc>
          <w:tcPr>
            <w:vMerge w:val="continue"/>
          </w:tcPr>
          <w:p/>
        </w:tc>
        <w:tc>
          <w:tcPr>
            <w:tcW w:w="3458" w:type="dxa"/>
            <w:vMerge w:val="restart"/>
          </w:tcPr>
          <w:p>
            <w:pPr>
              <w:pStyle w:val="0"/>
            </w:pPr>
            <w:r>
              <w:rPr>
                <w:sz w:val="20"/>
              </w:rPr>
              <w:t xml:space="preserve">Результат 1. Предоставлены гранты организациям, осуществляющим деятельность в сферах науки, технологий, техники и инноваций в целях реализации научных, научно-технических и инновационных проектов,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9</w:t>
            </w:r>
          </w:p>
        </w:tc>
        <w:tc>
          <w:tcPr>
            <w:tcW w:w="1644" w:type="dxa"/>
          </w:tcPr>
          <w:p>
            <w:pPr>
              <w:pStyle w:val="0"/>
            </w:pPr>
            <w:r>
              <w:rPr>
                <w:sz w:val="20"/>
              </w:rPr>
              <w:t xml:space="preserve">5</w:t>
            </w:r>
          </w:p>
        </w:tc>
        <w:tc>
          <w:tcPr>
            <w:tcW w:w="1644" w:type="dxa"/>
          </w:tcPr>
          <w:p>
            <w:pPr>
              <w:pStyle w:val="0"/>
            </w:pPr>
            <w:r>
              <w:rPr>
                <w:sz w:val="20"/>
              </w:rPr>
              <w:t xml:space="preserve">4</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Реализованы проекты в сферах науки, технологий, техники и инноваций, поддержанные за счет предоставления гранта из бюджета Московской области,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30</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10</w:t>
            </w:r>
          </w:p>
        </w:tc>
        <w:tc>
          <w:tcPr>
            <w:tcW w:w="1587" w:type="dxa"/>
          </w:tcPr>
          <w:p>
            <w:pPr>
              <w:pStyle w:val="0"/>
            </w:pPr>
            <w:r>
              <w:rPr>
                <w:sz w:val="20"/>
              </w:rPr>
              <w:t xml:space="preserve">10</w:t>
            </w:r>
          </w:p>
        </w:tc>
        <w:tc>
          <w:tcPr>
            <w:tcW w:w="1417" w:type="dxa"/>
          </w:tcPr>
          <w:p>
            <w:pPr>
              <w:pStyle w:val="0"/>
            </w:pPr>
            <w:r>
              <w:rPr>
                <w:sz w:val="20"/>
              </w:rPr>
              <w:t xml:space="preserve">10</w:t>
            </w:r>
          </w:p>
        </w:tc>
        <w:tc>
          <w:tcPr>
            <w:vMerge w:val="continue"/>
          </w:tcPr>
          <w:p/>
        </w:tc>
      </w:tr>
      <w:tr>
        <w:tc>
          <w:tcPr>
            <w:tcW w:w="680" w:type="dxa"/>
            <w:vMerge w:val="restart"/>
          </w:tcPr>
          <w:p>
            <w:pPr>
              <w:pStyle w:val="0"/>
            </w:pPr>
            <w:r>
              <w:rPr>
                <w:sz w:val="20"/>
              </w:rPr>
              <w:t xml:space="preserve">4.2</w:t>
            </w:r>
          </w:p>
        </w:tc>
        <w:tc>
          <w:tcPr>
            <w:tcW w:w="3458" w:type="dxa"/>
            <w:vMerge w:val="restart"/>
          </w:tcPr>
          <w:p>
            <w:pPr>
              <w:pStyle w:val="0"/>
            </w:pPr>
            <w:r>
              <w:rPr>
                <w:sz w:val="20"/>
              </w:rPr>
              <w:t xml:space="preserve">Мероприятие 04.02. Поддержка субъектов научной и (или) научно-технической деятельности за достижения в коммерциализации проектов в сфере науки, технологий, техники и инноваций</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50000,00</w:t>
            </w:r>
          </w:p>
        </w:tc>
        <w:tc>
          <w:tcPr>
            <w:tcW w:w="1644" w:type="dxa"/>
          </w:tcPr>
          <w:p>
            <w:pPr>
              <w:pStyle w:val="0"/>
            </w:pPr>
            <w:r>
              <w:rPr>
                <w:sz w:val="20"/>
              </w:rPr>
              <w:t xml:space="preserve">10000,00</w:t>
            </w:r>
          </w:p>
        </w:tc>
        <w:tc>
          <w:tcPr>
            <w:tcW w:w="1644" w:type="dxa"/>
          </w:tcPr>
          <w:p>
            <w:pPr>
              <w:pStyle w:val="0"/>
            </w:pPr>
            <w:r>
              <w:rPr>
                <w:sz w:val="20"/>
              </w:rPr>
              <w:t xml:space="preserve">10000,00</w:t>
            </w:r>
          </w:p>
        </w:tc>
        <w:tc>
          <w:tcPr>
            <w:gridSpan w:val="5"/>
            <w:tcW w:w="6577" w:type="dxa"/>
          </w:tcPr>
          <w:p>
            <w:pPr>
              <w:pStyle w:val="0"/>
            </w:pPr>
            <w:r>
              <w:rPr>
                <w:sz w:val="20"/>
              </w:rPr>
              <w:t xml:space="preserve">10000,00</w:t>
            </w:r>
          </w:p>
        </w:tc>
        <w:tc>
          <w:tcPr>
            <w:tcW w:w="1587" w:type="dxa"/>
          </w:tcPr>
          <w:p>
            <w:pPr>
              <w:pStyle w:val="0"/>
            </w:pPr>
            <w:r>
              <w:rPr>
                <w:sz w:val="20"/>
              </w:rPr>
              <w:t xml:space="preserve">10000,00</w:t>
            </w:r>
          </w:p>
        </w:tc>
        <w:tc>
          <w:tcPr>
            <w:tcW w:w="1417" w:type="dxa"/>
          </w:tcPr>
          <w:p>
            <w:pPr>
              <w:pStyle w:val="0"/>
            </w:pPr>
            <w:r>
              <w:rPr>
                <w:sz w:val="20"/>
              </w:rPr>
              <w:t xml:space="preserve">10000,00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50000,00</w:t>
            </w:r>
          </w:p>
        </w:tc>
        <w:tc>
          <w:tcPr>
            <w:tcW w:w="1644" w:type="dxa"/>
          </w:tcPr>
          <w:p>
            <w:pPr>
              <w:pStyle w:val="0"/>
            </w:pPr>
            <w:r>
              <w:rPr>
                <w:sz w:val="20"/>
              </w:rPr>
              <w:t xml:space="preserve">10000,00</w:t>
            </w:r>
          </w:p>
        </w:tc>
        <w:tc>
          <w:tcPr>
            <w:tcW w:w="1644" w:type="dxa"/>
          </w:tcPr>
          <w:p>
            <w:pPr>
              <w:pStyle w:val="0"/>
            </w:pPr>
            <w:r>
              <w:rPr>
                <w:sz w:val="20"/>
              </w:rPr>
              <w:t xml:space="preserve">10000,00</w:t>
            </w:r>
          </w:p>
        </w:tc>
        <w:tc>
          <w:tcPr>
            <w:gridSpan w:val="5"/>
            <w:tcW w:w="6577" w:type="dxa"/>
          </w:tcPr>
          <w:p>
            <w:pPr>
              <w:pStyle w:val="0"/>
            </w:pPr>
            <w:r>
              <w:rPr>
                <w:sz w:val="20"/>
              </w:rPr>
              <w:t xml:space="preserve">10000,00</w:t>
            </w:r>
          </w:p>
        </w:tc>
        <w:tc>
          <w:tcPr>
            <w:tcW w:w="1587" w:type="dxa"/>
          </w:tcPr>
          <w:p>
            <w:pPr>
              <w:pStyle w:val="0"/>
            </w:pPr>
            <w:r>
              <w:rPr>
                <w:sz w:val="20"/>
              </w:rPr>
              <w:t xml:space="preserve">10000,00</w:t>
            </w:r>
          </w:p>
        </w:tc>
        <w:tc>
          <w:tcPr>
            <w:tcW w:w="1417" w:type="dxa"/>
          </w:tcPr>
          <w:p>
            <w:pPr>
              <w:pStyle w:val="0"/>
            </w:pPr>
            <w:r>
              <w:rPr>
                <w:sz w:val="20"/>
              </w:rPr>
              <w:t xml:space="preserve">10000,00</w:t>
            </w:r>
          </w:p>
        </w:tc>
        <w:tc>
          <w:tcPr>
            <w:vMerge w:val="continue"/>
          </w:tcPr>
          <w:p/>
        </w:tc>
      </w:tr>
      <w:tr>
        <w:tc>
          <w:tcPr>
            <w:vMerge w:val="continue"/>
          </w:tcPr>
          <w:p/>
        </w:tc>
        <w:tc>
          <w:tcPr>
            <w:tcW w:w="3458" w:type="dxa"/>
            <w:vMerge w:val="restart"/>
          </w:tcPr>
          <w:p>
            <w:pPr>
              <w:pStyle w:val="0"/>
            </w:pPr>
            <w:r>
              <w:rPr>
                <w:sz w:val="20"/>
              </w:rPr>
              <w:t xml:space="preserve">Результат 1. Присуждены премии Губернатора Московской области субъектам научной и (или) научно-технической деятельности за достижения в коммерциализации проектов в сфере науки, технологий, техники и инноваций,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50</w:t>
            </w:r>
          </w:p>
        </w:tc>
        <w:tc>
          <w:tcPr>
            <w:tcW w:w="1644" w:type="dxa"/>
          </w:tcPr>
          <w:p>
            <w:pPr>
              <w:pStyle w:val="0"/>
            </w:pPr>
            <w:r>
              <w:rPr>
                <w:sz w:val="20"/>
              </w:rPr>
              <w:t xml:space="preserve">10</w:t>
            </w:r>
          </w:p>
        </w:tc>
        <w:tc>
          <w:tcPr>
            <w:tcW w:w="1644" w:type="dxa"/>
          </w:tcPr>
          <w:p>
            <w:pPr>
              <w:pStyle w:val="0"/>
            </w:pPr>
            <w:r>
              <w:rPr>
                <w:sz w:val="20"/>
              </w:rPr>
              <w:t xml:space="preserve">10</w:t>
            </w:r>
          </w:p>
        </w:tc>
        <w:tc>
          <w:tcPr>
            <w:tcW w:w="1077" w:type="dxa"/>
          </w:tcPr>
          <w:p>
            <w:pPr>
              <w:pStyle w:val="0"/>
            </w:pPr>
            <w:r>
              <w:rPr>
                <w:sz w:val="20"/>
              </w:rPr>
              <w:t xml:space="preserve">10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10</w:t>
            </w:r>
          </w:p>
        </w:tc>
        <w:tc>
          <w:tcPr>
            <w:tcW w:w="1587" w:type="dxa"/>
          </w:tcPr>
          <w:p>
            <w:pPr>
              <w:pStyle w:val="0"/>
            </w:pPr>
            <w:r>
              <w:rPr>
                <w:sz w:val="20"/>
              </w:rPr>
              <w:t xml:space="preserve">10</w:t>
            </w:r>
          </w:p>
        </w:tc>
        <w:tc>
          <w:tcPr>
            <w:tcW w:w="1417" w:type="dxa"/>
          </w:tcPr>
          <w:p>
            <w:pPr>
              <w:pStyle w:val="0"/>
            </w:pPr>
            <w:r>
              <w:rPr>
                <w:sz w:val="20"/>
              </w:rPr>
              <w:t xml:space="preserve">10</w:t>
            </w:r>
          </w:p>
        </w:tc>
        <w:tc>
          <w:tcPr>
            <w:vMerge w:val="continue"/>
          </w:tcPr>
          <w:p/>
        </w:tc>
      </w:tr>
      <w:tr>
        <w:tc>
          <w:tcPr>
            <w:tcW w:w="680" w:type="dxa"/>
            <w:vMerge w:val="restart"/>
          </w:tcPr>
          <w:p>
            <w:pPr>
              <w:pStyle w:val="0"/>
            </w:pPr>
            <w:r>
              <w:rPr>
                <w:sz w:val="20"/>
              </w:rPr>
              <w:t xml:space="preserve">4.3</w:t>
            </w:r>
          </w:p>
        </w:tc>
        <w:tc>
          <w:tcPr>
            <w:tcW w:w="3458" w:type="dxa"/>
            <w:vMerge w:val="restart"/>
          </w:tcPr>
          <w:p>
            <w:pPr>
              <w:pStyle w:val="0"/>
            </w:pPr>
            <w:r>
              <w:rPr>
                <w:sz w:val="20"/>
              </w:rPr>
              <w:t xml:space="preserve">Мероприятие 04.03. Поддержка молодых ученых и специалистов за достижения результатов в сферах науки, технологий, техники и инноваций</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52500,00</w:t>
            </w:r>
          </w:p>
        </w:tc>
        <w:tc>
          <w:tcPr>
            <w:tcW w:w="1644" w:type="dxa"/>
          </w:tcPr>
          <w:p>
            <w:pPr>
              <w:pStyle w:val="0"/>
            </w:pPr>
            <w:r>
              <w:rPr>
                <w:sz w:val="20"/>
              </w:rPr>
              <w:t xml:space="preserve">10500,00</w:t>
            </w:r>
          </w:p>
        </w:tc>
        <w:tc>
          <w:tcPr>
            <w:tcW w:w="1644" w:type="dxa"/>
          </w:tcPr>
          <w:p>
            <w:pPr>
              <w:pStyle w:val="0"/>
            </w:pPr>
            <w:r>
              <w:rPr>
                <w:sz w:val="20"/>
              </w:rPr>
              <w:t xml:space="preserve">10500,00</w:t>
            </w:r>
          </w:p>
        </w:tc>
        <w:tc>
          <w:tcPr>
            <w:gridSpan w:val="5"/>
            <w:tcW w:w="6577" w:type="dxa"/>
          </w:tcPr>
          <w:p>
            <w:pPr>
              <w:pStyle w:val="0"/>
            </w:pPr>
            <w:r>
              <w:rPr>
                <w:sz w:val="20"/>
              </w:rPr>
              <w:t xml:space="preserve">10500,00</w:t>
            </w:r>
          </w:p>
        </w:tc>
        <w:tc>
          <w:tcPr>
            <w:tcW w:w="1587" w:type="dxa"/>
          </w:tcPr>
          <w:p>
            <w:pPr>
              <w:pStyle w:val="0"/>
            </w:pPr>
            <w:r>
              <w:rPr>
                <w:sz w:val="20"/>
              </w:rPr>
              <w:t xml:space="preserve">10500,00</w:t>
            </w:r>
          </w:p>
        </w:tc>
        <w:tc>
          <w:tcPr>
            <w:tcW w:w="1417" w:type="dxa"/>
          </w:tcPr>
          <w:p>
            <w:pPr>
              <w:pStyle w:val="0"/>
            </w:pPr>
            <w:r>
              <w:rPr>
                <w:sz w:val="20"/>
              </w:rPr>
              <w:t xml:space="preserve">10500,00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52500,00</w:t>
            </w:r>
          </w:p>
        </w:tc>
        <w:tc>
          <w:tcPr>
            <w:tcW w:w="1644" w:type="dxa"/>
          </w:tcPr>
          <w:p>
            <w:pPr>
              <w:pStyle w:val="0"/>
            </w:pPr>
            <w:r>
              <w:rPr>
                <w:sz w:val="20"/>
              </w:rPr>
              <w:t xml:space="preserve">10500,00</w:t>
            </w:r>
          </w:p>
        </w:tc>
        <w:tc>
          <w:tcPr>
            <w:tcW w:w="1644" w:type="dxa"/>
          </w:tcPr>
          <w:p>
            <w:pPr>
              <w:pStyle w:val="0"/>
            </w:pPr>
            <w:r>
              <w:rPr>
                <w:sz w:val="20"/>
              </w:rPr>
              <w:t xml:space="preserve">10500,00</w:t>
            </w:r>
          </w:p>
        </w:tc>
        <w:tc>
          <w:tcPr>
            <w:gridSpan w:val="5"/>
            <w:tcW w:w="6577" w:type="dxa"/>
          </w:tcPr>
          <w:p>
            <w:pPr>
              <w:pStyle w:val="0"/>
            </w:pPr>
            <w:r>
              <w:rPr>
                <w:sz w:val="20"/>
              </w:rPr>
              <w:t xml:space="preserve">10500,00</w:t>
            </w:r>
          </w:p>
        </w:tc>
        <w:tc>
          <w:tcPr>
            <w:tcW w:w="1587" w:type="dxa"/>
          </w:tcPr>
          <w:p>
            <w:pPr>
              <w:pStyle w:val="0"/>
            </w:pPr>
            <w:r>
              <w:rPr>
                <w:sz w:val="20"/>
              </w:rPr>
              <w:t xml:space="preserve">10500,00</w:t>
            </w:r>
          </w:p>
        </w:tc>
        <w:tc>
          <w:tcPr>
            <w:tcW w:w="1417" w:type="dxa"/>
          </w:tcPr>
          <w:p>
            <w:pPr>
              <w:pStyle w:val="0"/>
            </w:pPr>
            <w:r>
              <w:rPr>
                <w:sz w:val="20"/>
              </w:rPr>
              <w:t xml:space="preserve">10500,00</w:t>
            </w:r>
          </w:p>
        </w:tc>
        <w:tc>
          <w:tcPr>
            <w:vMerge w:val="continue"/>
          </w:tcPr>
          <w:p/>
        </w:tc>
      </w:tr>
      <w:tr>
        <w:tc>
          <w:tcPr>
            <w:vMerge w:val="continue"/>
          </w:tcPr>
          <w:p/>
        </w:tc>
        <w:tc>
          <w:tcPr>
            <w:tcW w:w="3458" w:type="dxa"/>
            <w:vMerge w:val="restart"/>
          </w:tcPr>
          <w:p>
            <w:pPr>
              <w:pStyle w:val="0"/>
            </w:pPr>
            <w:r>
              <w:rPr>
                <w:sz w:val="20"/>
              </w:rPr>
              <w:t xml:space="preserve">Результат 1. Присуждены премии Губернатора Московской области молодым ученым и специалистам за достижения результатов в сферах науки, технологий, техники и инноваций,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75</w:t>
            </w:r>
          </w:p>
        </w:tc>
        <w:tc>
          <w:tcPr>
            <w:tcW w:w="1644" w:type="dxa"/>
          </w:tcPr>
          <w:p>
            <w:pPr>
              <w:pStyle w:val="0"/>
            </w:pPr>
            <w:r>
              <w:rPr>
                <w:sz w:val="20"/>
              </w:rPr>
              <w:t xml:space="preserve">15</w:t>
            </w:r>
          </w:p>
        </w:tc>
        <w:tc>
          <w:tcPr>
            <w:tcW w:w="1644" w:type="dxa"/>
          </w:tcPr>
          <w:p>
            <w:pPr>
              <w:pStyle w:val="0"/>
            </w:pPr>
            <w:r>
              <w:rPr>
                <w:sz w:val="20"/>
              </w:rPr>
              <w:t xml:space="preserve">15</w:t>
            </w:r>
          </w:p>
        </w:tc>
        <w:tc>
          <w:tcPr>
            <w:tcW w:w="1077" w:type="dxa"/>
          </w:tcPr>
          <w:p>
            <w:pPr>
              <w:pStyle w:val="0"/>
            </w:pPr>
            <w:r>
              <w:rPr>
                <w:sz w:val="20"/>
              </w:rPr>
              <w:t xml:space="preserve">15</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15</w:t>
            </w:r>
          </w:p>
        </w:tc>
        <w:tc>
          <w:tcPr>
            <w:tcW w:w="1587" w:type="dxa"/>
          </w:tcPr>
          <w:p>
            <w:pPr>
              <w:pStyle w:val="0"/>
            </w:pPr>
            <w:r>
              <w:rPr>
                <w:sz w:val="20"/>
              </w:rPr>
              <w:t xml:space="preserve">15</w:t>
            </w:r>
          </w:p>
        </w:tc>
        <w:tc>
          <w:tcPr>
            <w:tcW w:w="1417" w:type="dxa"/>
          </w:tcPr>
          <w:p>
            <w:pPr>
              <w:pStyle w:val="0"/>
            </w:pPr>
            <w:r>
              <w:rPr>
                <w:sz w:val="20"/>
              </w:rPr>
              <w:t xml:space="preserve">15</w:t>
            </w:r>
          </w:p>
        </w:tc>
        <w:tc>
          <w:tcPr>
            <w:vMerge w:val="continue"/>
          </w:tcPr>
          <w:p/>
        </w:tc>
      </w:tr>
      <w:tr>
        <w:tc>
          <w:tcPr>
            <w:tcW w:w="680" w:type="dxa"/>
            <w:vMerge w:val="restart"/>
          </w:tcPr>
          <w:p>
            <w:pPr>
              <w:pStyle w:val="0"/>
              <w:outlineLvl w:val="3"/>
            </w:pPr>
            <w:r>
              <w:rPr>
                <w:sz w:val="20"/>
              </w:rPr>
              <w:t xml:space="preserve">5</w:t>
            </w:r>
          </w:p>
        </w:tc>
        <w:tc>
          <w:tcPr>
            <w:tcW w:w="3458" w:type="dxa"/>
            <w:vMerge w:val="restart"/>
          </w:tcPr>
          <w:p>
            <w:pPr>
              <w:pStyle w:val="0"/>
            </w:pPr>
            <w:r>
              <w:rPr>
                <w:sz w:val="20"/>
              </w:rPr>
              <w:t xml:space="preserve">Основное мероприятие 05. Организация работ по поддержке и развитию промышленного потенциала Московской области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12038712,00</w:t>
            </w:r>
          </w:p>
        </w:tc>
        <w:tc>
          <w:tcPr>
            <w:tcW w:w="1644" w:type="dxa"/>
          </w:tcPr>
          <w:p>
            <w:pPr>
              <w:pStyle w:val="0"/>
            </w:pPr>
            <w:r>
              <w:rPr>
                <w:sz w:val="20"/>
              </w:rPr>
              <w:t xml:space="preserve">1868565,00</w:t>
            </w:r>
          </w:p>
        </w:tc>
        <w:tc>
          <w:tcPr>
            <w:tcW w:w="1644" w:type="dxa"/>
          </w:tcPr>
          <w:p>
            <w:pPr>
              <w:pStyle w:val="0"/>
            </w:pPr>
            <w:r>
              <w:rPr>
                <w:sz w:val="20"/>
              </w:rPr>
              <w:t xml:space="preserve">2559713,00</w:t>
            </w:r>
          </w:p>
        </w:tc>
        <w:tc>
          <w:tcPr>
            <w:gridSpan w:val="5"/>
            <w:tcW w:w="6577" w:type="dxa"/>
          </w:tcPr>
          <w:p>
            <w:pPr>
              <w:pStyle w:val="0"/>
            </w:pPr>
            <w:r>
              <w:rPr>
                <w:sz w:val="20"/>
              </w:rPr>
              <w:t xml:space="preserve">2610434,00</w:t>
            </w:r>
          </w:p>
        </w:tc>
        <w:tc>
          <w:tcPr>
            <w:tcW w:w="1587" w:type="dxa"/>
          </w:tcPr>
          <w:p>
            <w:pPr>
              <w:pStyle w:val="0"/>
            </w:pPr>
            <w:r>
              <w:rPr>
                <w:sz w:val="20"/>
              </w:rPr>
              <w:t xml:space="preserve">2500000,00</w:t>
            </w:r>
          </w:p>
        </w:tc>
        <w:tc>
          <w:tcPr>
            <w:tcW w:w="1417" w:type="dxa"/>
          </w:tcPr>
          <w:p>
            <w:pPr>
              <w:pStyle w:val="0"/>
            </w:pPr>
            <w:r>
              <w:rPr>
                <w:sz w:val="20"/>
              </w:rPr>
              <w:t xml:space="preserve">2500000,00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11920518,00</w:t>
            </w:r>
          </w:p>
        </w:tc>
        <w:tc>
          <w:tcPr>
            <w:tcW w:w="1644" w:type="dxa"/>
          </w:tcPr>
          <w:p>
            <w:pPr>
              <w:pStyle w:val="0"/>
            </w:pPr>
            <w:r>
              <w:rPr>
                <w:sz w:val="20"/>
              </w:rPr>
              <w:t xml:space="preserve">1868565,00</w:t>
            </w:r>
          </w:p>
        </w:tc>
        <w:tc>
          <w:tcPr>
            <w:tcW w:w="1644" w:type="dxa"/>
          </w:tcPr>
          <w:p>
            <w:pPr>
              <w:pStyle w:val="0"/>
            </w:pPr>
            <w:r>
              <w:rPr>
                <w:sz w:val="20"/>
              </w:rPr>
              <w:t xml:space="preserve">2501953,00</w:t>
            </w:r>
          </w:p>
        </w:tc>
        <w:tc>
          <w:tcPr>
            <w:gridSpan w:val="5"/>
            <w:tcW w:w="6577" w:type="dxa"/>
          </w:tcPr>
          <w:p>
            <w:pPr>
              <w:pStyle w:val="0"/>
            </w:pPr>
            <w:r>
              <w:rPr>
                <w:sz w:val="20"/>
              </w:rPr>
              <w:t xml:space="preserve">2550000,00</w:t>
            </w:r>
          </w:p>
        </w:tc>
        <w:tc>
          <w:tcPr>
            <w:tcW w:w="1587" w:type="dxa"/>
          </w:tcPr>
          <w:p>
            <w:pPr>
              <w:pStyle w:val="0"/>
            </w:pPr>
            <w:r>
              <w:rPr>
                <w:sz w:val="20"/>
              </w:rPr>
              <w:t xml:space="preserve">2500000,00</w:t>
            </w:r>
          </w:p>
        </w:tc>
        <w:tc>
          <w:tcPr>
            <w:tcW w:w="1417" w:type="dxa"/>
          </w:tcPr>
          <w:p>
            <w:pPr>
              <w:pStyle w:val="0"/>
            </w:pPr>
            <w:r>
              <w:rPr>
                <w:sz w:val="20"/>
              </w:rPr>
              <w:t xml:space="preserve">2500000,00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118194,00</w:t>
            </w:r>
          </w:p>
        </w:tc>
        <w:tc>
          <w:tcPr>
            <w:tcW w:w="1644" w:type="dxa"/>
          </w:tcPr>
          <w:p>
            <w:pPr>
              <w:pStyle w:val="0"/>
            </w:pPr>
            <w:r>
              <w:rPr>
                <w:sz w:val="20"/>
              </w:rPr>
              <w:t xml:space="preserve">-</w:t>
            </w:r>
          </w:p>
        </w:tc>
        <w:tc>
          <w:tcPr>
            <w:tcW w:w="1644" w:type="dxa"/>
          </w:tcPr>
          <w:p>
            <w:pPr>
              <w:pStyle w:val="0"/>
            </w:pPr>
            <w:r>
              <w:rPr>
                <w:sz w:val="20"/>
              </w:rPr>
              <w:t xml:space="preserve">57760,00</w:t>
            </w:r>
          </w:p>
        </w:tc>
        <w:tc>
          <w:tcPr>
            <w:gridSpan w:val="5"/>
            <w:tcW w:w="6577" w:type="dxa"/>
          </w:tcPr>
          <w:p>
            <w:pPr>
              <w:pStyle w:val="0"/>
            </w:pPr>
            <w:r>
              <w:rPr>
                <w:sz w:val="20"/>
              </w:rPr>
              <w:t xml:space="preserve">60434,00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5.1</w:t>
            </w:r>
          </w:p>
        </w:tc>
        <w:tc>
          <w:tcPr>
            <w:tcW w:w="3458" w:type="dxa"/>
            <w:vMerge w:val="restart"/>
          </w:tcPr>
          <w:bookmarkStart w:id="1750" w:name="P1750"/>
          <w:bookmarkEnd w:id="1750"/>
          <w:p>
            <w:pPr>
              <w:pStyle w:val="0"/>
            </w:pPr>
            <w:r>
              <w:rPr>
                <w:sz w:val="20"/>
              </w:rPr>
              <w:t xml:space="preserve">Мероприятие 05.01. Обеспечение деятельности некоммерческой организации "Государственный фонд развития промышленности Московской области в целях финансовой поддержки субъектов деятельности в сфере промышленности, реализующих проекты, направленные на обеспечение импортозамещения</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5034453,00</w:t>
            </w:r>
          </w:p>
        </w:tc>
        <w:tc>
          <w:tcPr>
            <w:tcW w:w="1644" w:type="dxa"/>
          </w:tcPr>
          <w:p>
            <w:pPr>
              <w:pStyle w:val="0"/>
            </w:pPr>
            <w:r>
              <w:rPr>
                <w:sz w:val="20"/>
              </w:rPr>
              <w:t xml:space="preserve">1000000,00</w:t>
            </w:r>
          </w:p>
        </w:tc>
        <w:tc>
          <w:tcPr>
            <w:tcW w:w="1644" w:type="dxa"/>
          </w:tcPr>
          <w:p>
            <w:pPr>
              <w:pStyle w:val="0"/>
            </w:pPr>
            <w:r>
              <w:rPr>
                <w:sz w:val="20"/>
              </w:rPr>
              <w:t xml:space="preserve">1034453,00</w:t>
            </w:r>
          </w:p>
        </w:tc>
        <w:tc>
          <w:tcPr>
            <w:gridSpan w:val="5"/>
            <w:tcW w:w="6577" w:type="dxa"/>
          </w:tcPr>
          <w:p>
            <w:pPr>
              <w:pStyle w:val="0"/>
            </w:pPr>
            <w:r>
              <w:rPr>
                <w:sz w:val="20"/>
              </w:rPr>
              <w:t xml:space="preserve">1000000,00</w:t>
            </w:r>
          </w:p>
        </w:tc>
        <w:tc>
          <w:tcPr>
            <w:tcW w:w="1587" w:type="dxa"/>
          </w:tcPr>
          <w:p>
            <w:pPr>
              <w:pStyle w:val="0"/>
            </w:pPr>
            <w:r>
              <w:rPr>
                <w:sz w:val="20"/>
              </w:rPr>
              <w:t xml:space="preserve">1000000,00</w:t>
            </w:r>
          </w:p>
        </w:tc>
        <w:tc>
          <w:tcPr>
            <w:tcW w:w="1417" w:type="dxa"/>
          </w:tcPr>
          <w:p>
            <w:pPr>
              <w:pStyle w:val="0"/>
            </w:pPr>
            <w:r>
              <w:rPr>
                <w:sz w:val="20"/>
              </w:rPr>
              <w:t xml:space="preserve">1000000,00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5034453,00</w:t>
            </w:r>
          </w:p>
        </w:tc>
        <w:tc>
          <w:tcPr>
            <w:tcW w:w="1644" w:type="dxa"/>
          </w:tcPr>
          <w:p>
            <w:pPr>
              <w:pStyle w:val="0"/>
            </w:pPr>
            <w:r>
              <w:rPr>
                <w:sz w:val="20"/>
              </w:rPr>
              <w:t xml:space="preserve">1000000,00</w:t>
            </w:r>
          </w:p>
        </w:tc>
        <w:tc>
          <w:tcPr>
            <w:tcW w:w="1644" w:type="dxa"/>
          </w:tcPr>
          <w:p>
            <w:pPr>
              <w:pStyle w:val="0"/>
            </w:pPr>
            <w:r>
              <w:rPr>
                <w:sz w:val="20"/>
              </w:rPr>
              <w:t xml:space="preserve">1034453,00</w:t>
            </w:r>
          </w:p>
        </w:tc>
        <w:tc>
          <w:tcPr>
            <w:gridSpan w:val="5"/>
            <w:tcW w:w="6577" w:type="dxa"/>
          </w:tcPr>
          <w:p>
            <w:pPr>
              <w:pStyle w:val="0"/>
            </w:pPr>
            <w:r>
              <w:rPr>
                <w:sz w:val="20"/>
              </w:rPr>
              <w:t xml:space="preserve">1000000,00</w:t>
            </w:r>
          </w:p>
        </w:tc>
        <w:tc>
          <w:tcPr>
            <w:tcW w:w="1587" w:type="dxa"/>
          </w:tcPr>
          <w:p>
            <w:pPr>
              <w:pStyle w:val="0"/>
            </w:pPr>
            <w:r>
              <w:rPr>
                <w:sz w:val="20"/>
              </w:rPr>
              <w:t xml:space="preserve">1000000,00</w:t>
            </w:r>
          </w:p>
        </w:tc>
        <w:tc>
          <w:tcPr>
            <w:tcW w:w="1417" w:type="dxa"/>
          </w:tcPr>
          <w:p>
            <w:pPr>
              <w:pStyle w:val="0"/>
            </w:pPr>
            <w:r>
              <w:rPr>
                <w:sz w:val="20"/>
              </w:rPr>
              <w:t xml:space="preserve">1000000,00</w:t>
            </w:r>
          </w:p>
        </w:tc>
        <w:tc>
          <w:tcPr>
            <w:vMerge w:val="continue"/>
          </w:tcPr>
          <w:p/>
        </w:tc>
      </w:tr>
      <w:tr>
        <w:tc>
          <w:tcPr>
            <w:vMerge w:val="continue"/>
          </w:tcPr>
          <w:p/>
        </w:tc>
        <w:tc>
          <w:tcPr>
            <w:tcW w:w="3458" w:type="dxa"/>
            <w:vMerge w:val="restart"/>
          </w:tcPr>
          <w:p>
            <w:pPr>
              <w:pStyle w:val="0"/>
            </w:pPr>
            <w:r>
              <w:rPr>
                <w:sz w:val="20"/>
              </w:rPr>
              <w:t xml:space="preserve">Результат 1. Количество субъектов деятельности в сфере промышленности, получивших финансовую поддержку за счет средств субсидии,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80</w:t>
            </w:r>
          </w:p>
        </w:tc>
        <w:tc>
          <w:tcPr>
            <w:tcW w:w="1644" w:type="dxa"/>
          </w:tcPr>
          <w:p>
            <w:pPr>
              <w:pStyle w:val="0"/>
            </w:pPr>
            <w:r>
              <w:rPr>
                <w:sz w:val="20"/>
              </w:rPr>
              <w:t xml:space="preserve">-</w:t>
            </w:r>
          </w:p>
        </w:tc>
        <w:tc>
          <w:tcPr>
            <w:tcW w:w="1644" w:type="dxa"/>
          </w:tcPr>
          <w:p>
            <w:pPr>
              <w:pStyle w:val="0"/>
            </w:pPr>
            <w:r>
              <w:rPr>
                <w:sz w:val="20"/>
              </w:rPr>
              <w:t xml:space="preserve">20</w:t>
            </w:r>
          </w:p>
        </w:tc>
        <w:tc>
          <w:tcPr>
            <w:tcW w:w="1077" w:type="dxa"/>
          </w:tcPr>
          <w:p>
            <w:pPr>
              <w:pStyle w:val="0"/>
            </w:pPr>
            <w:r>
              <w:rPr>
                <w:sz w:val="20"/>
              </w:rPr>
              <w:t xml:space="preserve">20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20</w:t>
            </w:r>
          </w:p>
        </w:tc>
        <w:tc>
          <w:tcPr>
            <w:tcW w:w="1587" w:type="dxa"/>
          </w:tcPr>
          <w:p>
            <w:pPr>
              <w:pStyle w:val="0"/>
            </w:pPr>
            <w:r>
              <w:rPr>
                <w:sz w:val="20"/>
              </w:rPr>
              <w:t xml:space="preserve">20</w:t>
            </w:r>
          </w:p>
        </w:tc>
        <w:tc>
          <w:tcPr>
            <w:tcW w:w="1417" w:type="dxa"/>
          </w:tcPr>
          <w:p>
            <w:pPr>
              <w:pStyle w:val="0"/>
            </w:pPr>
            <w:r>
              <w:rPr>
                <w:sz w:val="20"/>
              </w:rPr>
              <w:t xml:space="preserve">20</w:t>
            </w:r>
          </w:p>
        </w:tc>
        <w:tc>
          <w:tcPr>
            <w:vMerge w:val="continue"/>
          </w:tcPr>
          <w:p/>
        </w:tc>
      </w:tr>
      <w:tr>
        <w:tc>
          <w:tcPr>
            <w:tcW w:w="680" w:type="dxa"/>
            <w:vMerge w:val="restart"/>
          </w:tcPr>
          <w:p>
            <w:pPr>
              <w:pStyle w:val="0"/>
            </w:pPr>
            <w:r>
              <w:rPr>
                <w:sz w:val="20"/>
              </w:rPr>
              <w:t xml:space="preserve">5.2</w:t>
            </w:r>
          </w:p>
        </w:tc>
        <w:tc>
          <w:tcPr>
            <w:tcW w:w="3458" w:type="dxa"/>
            <w:vMerge w:val="restart"/>
          </w:tcPr>
          <w:bookmarkStart w:id="1793" w:name="P1793"/>
          <w:bookmarkEnd w:id="1793"/>
          <w:p>
            <w:pPr>
              <w:pStyle w:val="0"/>
            </w:pPr>
            <w:r>
              <w:rPr>
                <w:sz w:val="20"/>
              </w:rPr>
              <w:t xml:space="preserve">Мероприятие 05.02.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570500,00</w:t>
            </w:r>
          </w:p>
        </w:tc>
        <w:tc>
          <w:tcPr>
            <w:tcW w:w="1644" w:type="dxa"/>
          </w:tcPr>
          <w:p>
            <w:pPr>
              <w:pStyle w:val="0"/>
            </w:pPr>
            <w:r>
              <w:rPr>
                <w:sz w:val="20"/>
              </w:rPr>
              <w:t xml:space="preserve">100000,00</w:t>
            </w:r>
          </w:p>
        </w:tc>
        <w:tc>
          <w:tcPr>
            <w:tcW w:w="1644" w:type="dxa"/>
          </w:tcPr>
          <w:p>
            <w:pPr>
              <w:pStyle w:val="0"/>
            </w:pPr>
            <w:r>
              <w:rPr>
                <w:sz w:val="20"/>
              </w:rPr>
              <w:t xml:space="preserve">120500,00</w:t>
            </w:r>
          </w:p>
        </w:tc>
        <w:tc>
          <w:tcPr>
            <w:gridSpan w:val="5"/>
            <w:tcW w:w="6577" w:type="dxa"/>
          </w:tcPr>
          <w:p>
            <w:pPr>
              <w:pStyle w:val="0"/>
            </w:pPr>
            <w:r>
              <w:rPr>
                <w:sz w:val="20"/>
              </w:rPr>
              <w:t xml:space="preserve">150000,00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570500,00</w:t>
            </w:r>
          </w:p>
        </w:tc>
        <w:tc>
          <w:tcPr>
            <w:tcW w:w="1644" w:type="dxa"/>
          </w:tcPr>
          <w:p>
            <w:pPr>
              <w:pStyle w:val="0"/>
            </w:pPr>
            <w:r>
              <w:rPr>
                <w:sz w:val="20"/>
              </w:rPr>
              <w:t xml:space="preserve">100000,00</w:t>
            </w:r>
          </w:p>
        </w:tc>
        <w:tc>
          <w:tcPr>
            <w:tcW w:w="1644" w:type="dxa"/>
          </w:tcPr>
          <w:p>
            <w:pPr>
              <w:pStyle w:val="0"/>
            </w:pPr>
            <w:r>
              <w:rPr>
                <w:sz w:val="20"/>
              </w:rPr>
              <w:t xml:space="preserve">120500,00</w:t>
            </w:r>
          </w:p>
        </w:tc>
        <w:tc>
          <w:tcPr>
            <w:gridSpan w:val="5"/>
            <w:tcW w:w="6577" w:type="dxa"/>
          </w:tcPr>
          <w:p>
            <w:pPr>
              <w:pStyle w:val="0"/>
            </w:pPr>
            <w:r>
              <w:rPr>
                <w:sz w:val="20"/>
              </w:rPr>
              <w:t xml:space="preserve">150000,00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vMerge w:val="continue"/>
          </w:tcPr>
          <w:p/>
        </w:tc>
      </w:tr>
      <w:tr>
        <w:tc>
          <w:tcPr>
            <w:vMerge w:val="continue"/>
          </w:tcPr>
          <w:p/>
        </w:tc>
        <w:tc>
          <w:tcPr>
            <w:tcW w:w="3458" w:type="dxa"/>
            <w:vMerge w:val="restart"/>
          </w:tcPr>
          <w:p>
            <w:pPr>
              <w:pStyle w:val="0"/>
            </w:pPr>
            <w:r>
              <w:rPr>
                <w:sz w:val="20"/>
              </w:rPr>
              <w:t xml:space="preserve">Результат 1. Объем поддержанного экспорта, млрд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5,705</w:t>
            </w:r>
          </w:p>
        </w:tc>
        <w:tc>
          <w:tcPr>
            <w:tcW w:w="1644" w:type="dxa"/>
          </w:tcPr>
          <w:p>
            <w:pPr>
              <w:pStyle w:val="0"/>
            </w:pPr>
            <w:r>
              <w:rPr>
                <w:sz w:val="20"/>
              </w:rPr>
              <w:t xml:space="preserve">1,00</w:t>
            </w:r>
          </w:p>
        </w:tc>
        <w:tc>
          <w:tcPr>
            <w:tcW w:w="1644" w:type="dxa"/>
          </w:tcPr>
          <w:p>
            <w:pPr>
              <w:pStyle w:val="0"/>
            </w:pPr>
            <w:r>
              <w:rPr>
                <w:sz w:val="20"/>
              </w:rPr>
              <w:t xml:space="preserve">1,205</w:t>
            </w:r>
          </w:p>
        </w:tc>
        <w:tc>
          <w:tcPr>
            <w:tcW w:w="1077" w:type="dxa"/>
          </w:tcPr>
          <w:p>
            <w:pPr>
              <w:pStyle w:val="0"/>
            </w:pPr>
            <w:r>
              <w:rPr>
                <w:sz w:val="20"/>
              </w:rPr>
              <w:t xml:space="preserve">1,5</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1,5</w:t>
            </w:r>
          </w:p>
        </w:tc>
        <w:tc>
          <w:tcPr>
            <w:tcW w:w="1587" w:type="dxa"/>
          </w:tcPr>
          <w:p>
            <w:pPr>
              <w:pStyle w:val="0"/>
            </w:pPr>
            <w:r>
              <w:rPr>
                <w:sz w:val="20"/>
              </w:rPr>
              <w:t xml:space="preserve">1,00</w:t>
            </w:r>
          </w:p>
        </w:tc>
        <w:tc>
          <w:tcPr>
            <w:tcW w:w="1417" w:type="dxa"/>
          </w:tcPr>
          <w:p>
            <w:pPr>
              <w:pStyle w:val="0"/>
            </w:pPr>
            <w:r>
              <w:rPr>
                <w:sz w:val="20"/>
              </w:rPr>
              <w:t xml:space="preserve">1,00</w:t>
            </w:r>
          </w:p>
        </w:tc>
        <w:tc>
          <w:tcPr>
            <w:vMerge w:val="continue"/>
          </w:tcPr>
          <w:p/>
        </w:tc>
      </w:tr>
      <w:tr>
        <w:tc>
          <w:tcPr>
            <w:tcW w:w="680" w:type="dxa"/>
            <w:vMerge w:val="restart"/>
          </w:tcPr>
          <w:p>
            <w:pPr>
              <w:pStyle w:val="0"/>
            </w:pPr>
            <w:r>
              <w:rPr>
                <w:sz w:val="20"/>
              </w:rPr>
              <w:t xml:space="preserve">5.3</w:t>
            </w:r>
          </w:p>
        </w:tc>
        <w:tc>
          <w:tcPr>
            <w:tcW w:w="3458" w:type="dxa"/>
            <w:vMerge w:val="restart"/>
          </w:tcPr>
          <w:bookmarkStart w:id="1836" w:name="P1836"/>
          <w:bookmarkEnd w:id="1836"/>
          <w:p>
            <w:pPr>
              <w:pStyle w:val="0"/>
            </w:pPr>
            <w:r>
              <w:rPr>
                <w:sz w:val="20"/>
              </w:rPr>
              <w:t xml:space="preserve">Мероприятие 05.03. Возмещение части затрат юридических лиц на создание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5425565,00</w:t>
            </w:r>
          </w:p>
        </w:tc>
        <w:tc>
          <w:tcPr>
            <w:tcW w:w="1644" w:type="dxa"/>
          </w:tcPr>
          <w:p>
            <w:pPr>
              <w:pStyle w:val="0"/>
            </w:pPr>
            <w:r>
              <w:rPr>
                <w:sz w:val="20"/>
              </w:rPr>
              <w:t xml:space="preserve">568565,00</w:t>
            </w:r>
          </w:p>
        </w:tc>
        <w:tc>
          <w:tcPr>
            <w:tcW w:w="1644" w:type="dxa"/>
          </w:tcPr>
          <w:p>
            <w:pPr>
              <w:pStyle w:val="0"/>
            </w:pPr>
            <w:r>
              <w:rPr>
                <w:sz w:val="20"/>
              </w:rPr>
              <w:t xml:space="preserve">957000,00</w:t>
            </w:r>
          </w:p>
        </w:tc>
        <w:tc>
          <w:tcPr>
            <w:gridSpan w:val="5"/>
            <w:tcW w:w="6577" w:type="dxa"/>
          </w:tcPr>
          <w:p>
            <w:pPr>
              <w:pStyle w:val="0"/>
            </w:pPr>
            <w:r>
              <w:rPr>
                <w:sz w:val="20"/>
              </w:rPr>
              <w:t xml:space="preserve">1300000,00</w:t>
            </w:r>
          </w:p>
        </w:tc>
        <w:tc>
          <w:tcPr>
            <w:tcW w:w="1587" w:type="dxa"/>
          </w:tcPr>
          <w:p>
            <w:pPr>
              <w:pStyle w:val="0"/>
            </w:pPr>
            <w:r>
              <w:rPr>
                <w:sz w:val="20"/>
              </w:rPr>
              <w:t xml:space="preserve">1300000,00</w:t>
            </w:r>
          </w:p>
        </w:tc>
        <w:tc>
          <w:tcPr>
            <w:tcW w:w="1417" w:type="dxa"/>
          </w:tcPr>
          <w:p>
            <w:pPr>
              <w:pStyle w:val="0"/>
            </w:pPr>
            <w:r>
              <w:rPr>
                <w:sz w:val="20"/>
              </w:rPr>
              <w:t xml:space="preserve">1300000,00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5425565,00</w:t>
            </w:r>
          </w:p>
        </w:tc>
        <w:tc>
          <w:tcPr>
            <w:tcW w:w="1644" w:type="dxa"/>
          </w:tcPr>
          <w:p>
            <w:pPr>
              <w:pStyle w:val="0"/>
            </w:pPr>
            <w:r>
              <w:rPr>
                <w:sz w:val="20"/>
              </w:rPr>
              <w:t xml:space="preserve">568565,00</w:t>
            </w:r>
          </w:p>
        </w:tc>
        <w:tc>
          <w:tcPr>
            <w:tcW w:w="1644" w:type="dxa"/>
          </w:tcPr>
          <w:p>
            <w:pPr>
              <w:pStyle w:val="0"/>
            </w:pPr>
            <w:r>
              <w:rPr>
                <w:sz w:val="20"/>
              </w:rPr>
              <w:t xml:space="preserve">957000,00</w:t>
            </w:r>
          </w:p>
        </w:tc>
        <w:tc>
          <w:tcPr>
            <w:gridSpan w:val="5"/>
            <w:tcW w:w="6577" w:type="dxa"/>
          </w:tcPr>
          <w:p>
            <w:pPr>
              <w:pStyle w:val="0"/>
            </w:pPr>
            <w:r>
              <w:rPr>
                <w:sz w:val="20"/>
              </w:rPr>
              <w:t xml:space="preserve">1300000,00</w:t>
            </w:r>
          </w:p>
        </w:tc>
        <w:tc>
          <w:tcPr>
            <w:tcW w:w="1587" w:type="dxa"/>
          </w:tcPr>
          <w:p>
            <w:pPr>
              <w:pStyle w:val="0"/>
            </w:pPr>
            <w:r>
              <w:rPr>
                <w:sz w:val="20"/>
              </w:rPr>
              <w:t xml:space="preserve">1300000,00</w:t>
            </w:r>
          </w:p>
        </w:tc>
        <w:tc>
          <w:tcPr>
            <w:tcW w:w="1417" w:type="dxa"/>
          </w:tcPr>
          <w:p>
            <w:pPr>
              <w:pStyle w:val="0"/>
            </w:pPr>
            <w:r>
              <w:rPr>
                <w:sz w:val="20"/>
              </w:rPr>
              <w:t xml:space="preserve">1300000,00</w:t>
            </w:r>
          </w:p>
        </w:tc>
        <w:tc>
          <w:tcPr>
            <w:vMerge w:val="continue"/>
          </w:tcPr>
          <w:p/>
        </w:tc>
      </w:tr>
      <w:tr>
        <w:tc>
          <w:tcPr>
            <w:vMerge w:val="continue"/>
          </w:tcPr>
          <w:p/>
        </w:tc>
        <w:tc>
          <w:tcPr>
            <w:tcW w:w="3458" w:type="dxa"/>
            <w:vMerge w:val="restart"/>
          </w:tcPr>
          <w:p>
            <w:pPr>
              <w:pStyle w:val="0"/>
            </w:pPr>
            <w:r>
              <w:rPr>
                <w:sz w:val="20"/>
              </w:rPr>
              <w:t xml:space="preserve">Результат 1. Количество созданных рабочих мест,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2600</w:t>
            </w:r>
          </w:p>
        </w:tc>
        <w:tc>
          <w:tcPr>
            <w:tcW w:w="1644" w:type="dxa"/>
          </w:tcPr>
          <w:p>
            <w:pPr>
              <w:pStyle w:val="0"/>
            </w:pPr>
            <w:r>
              <w:rPr>
                <w:sz w:val="20"/>
              </w:rPr>
              <w:t xml:space="preserve">300</w:t>
            </w:r>
          </w:p>
        </w:tc>
        <w:tc>
          <w:tcPr>
            <w:tcW w:w="1644" w:type="dxa"/>
          </w:tcPr>
          <w:p>
            <w:pPr>
              <w:pStyle w:val="0"/>
            </w:pPr>
            <w:r>
              <w:rPr>
                <w:sz w:val="20"/>
              </w:rPr>
              <w:t xml:space="preserve">500</w:t>
            </w:r>
          </w:p>
        </w:tc>
        <w:tc>
          <w:tcPr>
            <w:tcW w:w="1077" w:type="dxa"/>
          </w:tcPr>
          <w:p>
            <w:pPr>
              <w:pStyle w:val="0"/>
            </w:pPr>
            <w:r>
              <w:rPr>
                <w:sz w:val="20"/>
              </w:rPr>
              <w:t xml:space="preserve">600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600</w:t>
            </w:r>
          </w:p>
        </w:tc>
        <w:tc>
          <w:tcPr>
            <w:tcW w:w="1587" w:type="dxa"/>
          </w:tcPr>
          <w:p>
            <w:pPr>
              <w:pStyle w:val="0"/>
            </w:pPr>
            <w:r>
              <w:rPr>
                <w:sz w:val="20"/>
              </w:rPr>
              <w:t xml:space="preserve">600</w:t>
            </w:r>
          </w:p>
        </w:tc>
        <w:tc>
          <w:tcPr>
            <w:tcW w:w="1417" w:type="dxa"/>
          </w:tcPr>
          <w:p>
            <w:pPr>
              <w:pStyle w:val="0"/>
            </w:pPr>
            <w:r>
              <w:rPr>
                <w:sz w:val="20"/>
              </w:rPr>
              <w:t xml:space="preserve">600</w:t>
            </w:r>
          </w:p>
        </w:tc>
        <w:tc>
          <w:tcPr>
            <w:vMerge w:val="continue"/>
          </w:tcPr>
          <w:p/>
        </w:tc>
      </w:tr>
      <w:tr>
        <w:tc>
          <w:tcPr>
            <w:tcW w:w="680" w:type="dxa"/>
            <w:vMerge w:val="restart"/>
          </w:tcPr>
          <w:p>
            <w:pPr>
              <w:pStyle w:val="0"/>
            </w:pPr>
            <w:r>
              <w:rPr>
                <w:sz w:val="20"/>
              </w:rPr>
              <w:t xml:space="preserve">5.4</w:t>
            </w:r>
          </w:p>
        </w:tc>
        <w:tc>
          <w:tcPr>
            <w:tcW w:w="3458" w:type="dxa"/>
            <w:vMerge w:val="restart"/>
          </w:tcPr>
          <w:bookmarkStart w:id="1879" w:name="P1879"/>
          <w:bookmarkEnd w:id="1879"/>
          <w:p>
            <w:pPr>
              <w:pStyle w:val="0"/>
            </w:pPr>
            <w:r>
              <w:rPr>
                <w:sz w:val="20"/>
              </w:rPr>
              <w:t xml:space="preserve">Мероприятие 05.04. Возмещение части затрат промышленных предприятий, связанных с приобретением нового оборудования</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1008194,00</w:t>
            </w:r>
          </w:p>
        </w:tc>
        <w:tc>
          <w:tcPr>
            <w:tcW w:w="1644" w:type="dxa"/>
          </w:tcPr>
          <w:p>
            <w:pPr>
              <w:pStyle w:val="0"/>
            </w:pPr>
            <w:r>
              <w:rPr>
                <w:sz w:val="20"/>
              </w:rPr>
              <w:t xml:space="preserve">200000,00</w:t>
            </w:r>
          </w:p>
        </w:tc>
        <w:tc>
          <w:tcPr>
            <w:tcW w:w="1644" w:type="dxa"/>
          </w:tcPr>
          <w:p>
            <w:pPr>
              <w:pStyle w:val="0"/>
            </w:pPr>
            <w:r>
              <w:rPr>
                <w:sz w:val="20"/>
              </w:rPr>
              <w:t xml:space="preserve">447760,00</w:t>
            </w:r>
          </w:p>
        </w:tc>
        <w:tc>
          <w:tcPr>
            <w:gridSpan w:val="5"/>
            <w:tcW w:w="6577" w:type="dxa"/>
          </w:tcPr>
          <w:p>
            <w:pPr>
              <w:pStyle w:val="0"/>
            </w:pPr>
            <w:r>
              <w:rPr>
                <w:sz w:val="20"/>
              </w:rPr>
              <w:t xml:space="preserve">160434,00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890000,00</w:t>
            </w:r>
          </w:p>
        </w:tc>
        <w:tc>
          <w:tcPr>
            <w:tcW w:w="1644" w:type="dxa"/>
          </w:tcPr>
          <w:p>
            <w:pPr>
              <w:pStyle w:val="0"/>
            </w:pPr>
            <w:r>
              <w:rPr>
                <w:sz w:val="20"/>
              </w:rPr>
              <w:t xml:space="preserve">200000,00</w:t>
            </w:r>
          </w:p>
        </w:tc>
        <w:tc>
          <w:tcPr>
            <w:tcW w:w="1644" w:type="dxa"/>
          </w:tcPr>
          <w:p>
            <w:pPr>
              <w:pStyle w:val="0"/>
            </w:pPr>
            <w:r>
              <w:rPr>
                <w:sz w:val="20"/>
              </w:rPr>
              <w:t xml:space="preserve">390000,00</w:t>
            </w:r>
          </w:p>
        </w:tc>
        <w:tc>
          <w:tcPr>
            <w:gridSpan w:val="5"/>
            <w:tcW w:w="6577" w:type="dxa"/>
          </w:tcPr>
          <w:p>
            <w:pPr>
              <w:pStyle w:val="0"/>
            </w:pPr>
            <w:r>
              <w:rPr>
                <w:sz w:val="20"/>
              </w:rPr>
              <w:t xml:space="preserve">100000,00</w:t>
            </w:r>
          </w:p>
        </w:tc>
        <w:tc>
          <w:tcPr>
            <w:tcW w:w="1587" w:type="dxa"/>
          </w:tcPr>
          <w:p>
            <w:pPr>
              <w:pStyle w:val="0"/>
            </w:pPr>
            <w:r>
              <w:rPr>
                <w:sz w:val="20"/>
              </w:rPr>
              <w:t xml:space="preserve">100000,00</w:t>
            </w:r>
          </w:p>
        </w:tc>
        <w:tc>
          <w:tcPr>
            <w:tcW w:w="1417" w:type="dxa"/>
          </w:tcPr>
          <w:p>
            <w:pPr>
              <w:pStyle w:val="0"/>
            </w:pPr>
            <w:r>
              <w:rPr>
                <w:sz w:val="20"/>
              </w:rPr>
              <w:t xml:space="preserve">100000,00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118194,00</w:t>
            </w:r>
          </w:p>
        </w:tc>
        <w:tc>
          <w:tcPr>
            <w:tcW w:w="1644" w:type="dxa"/>
          </w:tcPr>
          <w:p>
            <w:pPr>
              <w:pStyle w:val="0"/>
            </w:pPr>
            <w:r>
              <w:rPr>
                <w:sz w:val="20"/>
              </w:rPr>
              <w:t xml:space="preserve">-</w:t>
            </w:r>
          </w:p>
        </w:tc>
        <w:tc>
          <w:tcPr>
            <w:tcW w:w="1644" w:type="dxa"/>
          </w:tcPr>
          <w:p>
            <w:pPr>
              <w:pStyle w:val="0"/>
            </w:pPr>
            <w:r>
              <w:rPr>
                <w:sz w:val="20"/>
              </w:rPr>
              <w:t xml:space="preserve">57760,00</w:t>
            </w:r>
          </w:p>
        </w:tc>
        <w:tc>
          <w:tcPr>
            <w:gridSpan w:val="5"/>
            <w:tcW w:w="6577" w:type="dxa"/>
          </w:tcPr>
          <w:p>
            <w:pPr>
              <w:pStyle w:val="0"/>
            </w:pPr>
            <w:r>
              <w:rPr>
                <w:sz w:val="20"/>
              </w:rPr>
              <w:t xml:space="preserve">60434,00</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в соответствии с разделом "C" </w:t>
            </w:r>
            <w:hyperlink w:history="0" r:id="rId18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7093,6</w:t>
            </w:r>
          </w:p>
        </w:tc>
        <w:tc>
          <w:tcPr>
            <w:tcW w:w="1644" w:type="dxa"/>
          </w:tcPr>
          <w:p>
            <w:pPr>
              <w:pStyle w:val="0"/>
            </w:pPr>
            <w:r>
              <w:rPr>
                <w:sz w:val="20"/>
              </w:rPr>
              <w:t xml:space="preserve">608</w:t>
            </w:r>
          </w:p>
        </w:tc>
        <w:tc>
          <w:tcPr>
            <w:tcW w:w="1644" w:type="dxa"/>
          </w:tcPr>
          <w:p>
            <w:pPr>
              <w:pStyle w:val="0"/>
            </w:pPr>
            <w:r>
              <w:rPr>
                <w:sz w:val="20"/>
              </w:rPr>
              <w:t xml:space="preserve">1655</w:t>
            </w:r>
          </w:p>
        </w:tc>
        <w:tc>
          <w:tcPr>
            <w:tcW w:w="1077" w:type="dxa"/>
          </w:tcPr>
          <w:p>
            <w:pPr>
              <w:pStyle w:val="0"/>
            </w:pPr>
            <w:r>
              <w:rPr>
                <w:sz w:val="20"/>
              </w:rPr>
              <w:t xml:space="preserve">6770,5</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6770,5</w:t>
            </w:r>
          </w:p>
        </w:tc>
        <w:tc>
          <w:tcPr>
            <w:tcW w:w="1587" w:type="dxa"/>
          </w:tcPr>
          <w:p>
            <w:pPr>
              <w:pStyle w:val="0"/>
            </w:pPr>
            <w:r>
              <w:rPr>
                <w:sz w:val="20"/>
              </w:rPr>
              <w:t xml:space="preserve">6992,4</w:t>
            </w:r>
          </w:p>
        </w:tc>
        <w:tc>
          <w:tcPr>
            <w:tcW w:w="1417" w:type="dxa"/>
          </w:tcPr>
          <w:p>
            <w:pPr>
              <w:pStyle w:val="0"/>
            </w:pPr>
            <w:r>
              <w:rPr>
                <w:sz w:val="20"/>
              </w:rPr>
              <w:t xml:space="preserve">7093,6</w:t>
            </w:r>
          </w:p>
        </w:tc>
        <w:tc>
          <w:tcPr>
            <w:vMerge w:val="continue"/>
          </w:tcPr>
          <w:p/>
        </w:tc>
      </w:tr>
      <w:tr>
        <w:tc>
          <w:tcPr>
            <w:vMerge w:val="continue"/>
          </w:tcPr>
          <w:p/>
        </w:tc>
        <w:tc>
          <w:tcPr>
            <w:tcW w:w="3458" w:type="dxa"/>
            <w:vMerge w:val="restart"/>
          </w:tcPr>
          <w:p>
            <w:pPr>
              <w:pStyle w:val="0"/>
            </w:pPr>
            <w:r>
              <w:rPr>
                <w:sz w:val="20"/>
              </w:rPr>
              <w:t xml:space="preserve">Результат 2.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в соответствии с разделом "C" </w:t>
            </w:r>
            <w:hyperlink w:history="0" r:id="rId18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субъектов предпринимательства - получателей субсидий в рамках соглашения, заключенного между Министерством промышленности и торговли Российской Федерации и Правительством Московской области в соответствии с </w:t>
            </w:r>
            <w:hyperlink w:history="0" r:id="rId189"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приведенными в приложении 3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 (далее - Соглашение о предоставлении субсидии из федерального бюджета бюджету Московской области),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5145,6</w:t>
            </w:r>
          </w:p>
        </w:tc>
        <w:tc>
          <w:tcPr>
            <w:tcW w:w="1644" w:type="dxa"/>
          </w:tcPr>
          <w:p>
            <w:pPr>
              <w:pStyle w:val="0"/>
            </w:pPr>
            <w:r>
              <w:rPr>
                <w:sz w:val="20"/>
              </w:rPr>
              <w:t xml:space="preserve">-</w:t>
            </w:r>
          </w:p>
        </w:tc>
        <w:tc>
          <w:tcPr>
            <w:tcW w:w="1644" w:type="dxa"/>
          </w:tcPr>
          <w:p>
            <w:pPr>
              <w:pStyle w:val="0"/>
            </w:pPr>
            <w:r>
              <w:rPr>
                <w:sz w:val="20"/>
              </w:rPr>
              <w:t xml:space="preserve">267</w:t>
            </w:r>
          </w:p>
        </w:tc>
        <w:tc>
          <w:tcPr>
            <w:tcW w:w="1077" w:type="dxa"/>
          </w:tcPr>
          <w:p>
            <w:pPr>
              <w:pStyle w:val="0"/>
            </w:pPr>
            <w:r>
              <w:rPr>
                <w:sz w:val="20"/>
              </w:rPr>
              <w:t xml:space="preserve">4945,7</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4945,7</w:t>
            </w:r>
          </w:p>
        </w:tc>
        <w:tc>
          <w:tcPr>
            <w:tcW w:w="1587" w:type="dxa"/>
          </w:tcPr>
          <w:p>
            <w:pPr>
              <w:pStyle w:val="0"/>
            </w:pPr>
            <w:r>
              <w:rPr>
                <w:sz w:val="20"/>
              </w:rPr>
              <w:t xml:space="preserve">5044,6</w:t>
            </w:r>
          </w:p>
        </w:tc>
        <w:tc>
          <w:tcPr>
            <w:tcW w:w="1417" w:type="dxa"/>
          </w:tcPr>
          <w:p>
            <w:pPr>
              <w:pStyle w:val="0"/>
            </w:pPr>
            <w:r>
              <w:rPr>
                <w:sz w:val="20"/>
              </w:rPr>
              <w:t xml:space="preserve">5145,6</w:t>
            </w:r>
          </w:p>
        </w:tc>
        <w:tc>
          <w:tcPr>
            <w:vMerge w:val="continue"/>
          </w:tcPr>
          <w:p/>
        </w:tc>
      </w:tr>
      <w:tr>
        <w:tc>
          <w:tcPr>
            <w:vMerge w:val="continue"/>
          </w:tcPr>
          <w:p/>
        </w:tc>
        <w:tc>
          <w:tcPr>
            <w:tcW w:w="3458" w:type="dxa"/>
            <w:vMerge w:val="restart"/>
          </w:tcPr>
          <w:p>
            <w:pPr>
              <w:pStyle w:val="0"/>
            </w:pPr>
            <w:r>
              <w:rPr>
                <w:sz w:val="20"/>
              </w:rPr>
              <w:t xml:space="preserve">Результат 3. Объем инвестиций в основной капитал по видам экономической деятельности в соответствии с разделом "C" </w:t>
            </w:r>
            <w:hyperlink w:history="0" r:id="rId19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10308,9</w:t>
            </w:r>
          </w:p>
        </w:tc>
        <w:tc>
          <w:tcPr>
            <w:tcW w:w="1644" w:type="dxa"/>
          </w:tcPr>
          <w:p>
            <w:pPr>
              <w:pStyle w:val="0"/>
            </w:pPr>
            <w:r>
              <w:rPr>
                <w:sz w:val="20"/>
              </w:rPr>
              <w:t xml:space="preserve">869</w:t>
            </w:r>
          </w:p>
        </w:tc>
        <w:tc>
          <w:tcPr>
            <w:tcW w:w="1644" w:type="dxa"/>
          </w:tcPr>
          <w:p>
            <w:pPr>
              <w:pStyle w:val="0"/>
            </w:pPr>
            <w:r>
              <w:rPr>
                <w:sz w:val="20"/>
              </w:rPr>
              <w:t xml:space="preserve">2365</w:t>
            </w:r>
          </w:p>
        </w:tc>
        <w:tc>
          <w:tcPr>
            <w:tcW w:w="1077" w:type="dxa"/>
          </w:tcPr>
          <w:p>
            <w:pPr>
              <w:pStyle w:val="0"/>
            </w:pPr>
            <w:r>
              <w:rPr>
                <w:sz w:val="20"/>
              </w:rPr>
              <w:t xml:space="preserve">9841,7</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9841,7</w:t>
            </w:r>
          </w:p>
        </w:tc>
        <w:tc>
          <w:tcPr>
            <w:tcW w:w="1587" w:type="dxa"/>
          </w:tcPr>
          <w:p>
            <w:pPr>
              <w:pStyle w:val="0"/>
            </w:pPr>
            <w:r>
              <w:rPr>
                <w:sz w:val="20"/>
              </w:rPr>
              <w:t xml:space="preserve">10161,4</w:t>
            </w:r>
          </w:p>
        </w:tc>
        <w:tc>
          <w:tcPr>
            <w:tcW w:w="1417" w:type="dxa"/>
          </w:tcPr>
          <w:p>
            <w:pPr>
              <w:pStyle w:val="0"/>
            </w:pPr>
            <w:r>
              <w:rPr>
                <w:sz w:val="20"/>
              </w:rPr>
              <w:t xml:space="preserve">10308,9</w:t>
            </w:r>
          </w:p>
        </w:tc>
        <w:tc>
          <w:tcPr>
            <w:vMerge w:val="continue"/>
          </w:tcPr>
          <w:p/>
        </w:tc>
      </w:tr>
      <w:tr>
        <w:tc>
          <w:tcPr>
            <w:vMerge w:val="continue"/>
          </w:tcPr>
          <w:p/>
        </w:tc>
        <w:tc>
          <w:tcPr>
            <w:tcW w:w="3458" w:type="dxa"/>
            <w:vMerge w:val="restart"/>
          </w:tcPr>
          <w:p>
            <w:pPr>
              <w:pStyle w:val="0"/>
            </w:pPr>
            <w:r>
              <w:rPr>
                <w:sz w:val="20"/>
              </w:rPr>
              <w:t xml:space="preserve">Результат 4. Объем инвестиций в основной капитал по видам экономической деятельности в соответствии с разделом "C" </w:t>
            </w:r>
            <w:hyperlink w:history="0" r:id="rId19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субъектов предпринимательства - получателей субсидий в рамках Соглашения о предоставлении субсидии из федерального бюджета бюджету Московской области,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7526,9</w:t>
            </w:r>
          </w:p>
        </w:tc>
        <w:tc>
          <w:tcPr>
            <w:tcW w:w="1644" w:type="dxa"/>
          </w:tcPr>
          <w:p>
            <w:pPr>
              <w:pStyle w:val="0"/>
            </w:pPr>
            <w:r>
              <w:rPr>
                <w:sz w:val="20"/>
              </w:rPr>
              <w:t xml:space="preserve">-</w:t>
            </w:r>
          </w:p>
        </w:tc>
        <w:tc>
          <w:tcPr>
            <w:tcW w:w="1644" w:type="dxa"/>
          </w:tcPr>
          <w:p>
            <w:pPr>
              <w:pStyle w:val="0"/>
            </w:pPr>
            <w:r>
              <w:rPr>
                <w:sz w:val="20"/>
              </w:rPr>
              <w:t xml:space="preserve">382</w:t>
            </w:r>
          </w:p>
        </w:tc>
        <w:tc>
          <w:tcPr>
            <w:tcW w:w="1077" w:type="dxa"/>
          </w:tcPr>
          <w:p>
            <w:pPr>
              <w:pStyle w:val="0"/>
            </w:pPr>
            <w:r>
              <w:rPr>
                <w:sz w:val="20"/>
              </w:rPr>
              <w:t xml:space="preserve">7234,7</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7234,7</w:t>
            </w:r>
          </w:p>
        </w:tc>
        <w:tc>
          <w:tcPr>
            <w:tcW w:w="1587" w:type="dxa"/>
          </w:tcPr>
          <w:p>
            <w:pPr>
              <w:pStyle w:val="0"/>
            </w:pPr>
            <w:r>
              <w:rPr>
                <w:sz w:val="20"/>
              </w:rPr>
              <w:t xml:space="preserve">7379,4</w:t>
            </w:r>
          </w:p>
        </w:tc>
        <w:tc>
          <w:tcPr>
            <w:tcW w:w="1417" w:type="dxa"/>
          </w:tcPr>
          <w:p>
            <w:pPr>
              <w:pStyle w:val="0"/>
            </w:pPr>
            <w:r>
              <w:rPr>
                <w:sz w:val="20"/>
              </w:rPr>
              <w:t xml:space="preserve">7526,9</w:t>
            </w:r>
          </w:p>
        </w:tc>
        <w:tc>
          <w:tcPr>
            <w:vMerge w:val="continue"/>
          </w:tcPr>
          <w:p/>
        </w:tc>
      </w:tr>
      <w:tr>
        <w:tc>
          <w:tcPr>
            <w:vMerge w:val="continue"/>
          </w:tcPr>
          <w:p/>
        </w:tc>
        <w:tc>
          <w:tcPr>
            <w:tcW w:w="3458" w:type="dxa"/>
            <w:vMerge w:val="restart"/>
          </w:tcPr>
          <w:p>
            <w:pPr>
              <w:pStyle w:val="0"/>
            </w:pPr>
            <w:r>
              <w:rPr>
                <w:sz w:val="20"/>
              </w:rPr>
              <w:t xml:space="preserve">Результат 5. Объем отгруженных товаров собственного производства, выполненных собственными силами работ и услуг по видам экономической деятельности в соответствии с разделом "C" </w:t>
            </w:r>
            <w:hyperlink w:history="0" r:id="rId19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153441,4</w:t>
            </w:r>
          </w:p>
        </w:tc>
        <w:tc>
          <w:tcPr>
            <w:tcW w:w="1644" w:type="dxa"/>
          </w:tcPr>
          <w:p>
            <w:pPr>
              <w:pStyle w:val="0"/>
            </w:pPr>
            <w:r>
              <w:rPr>
                <w:sz w:val="20"/>
              </w:rPr>
              <w:t xml:space="preserve">21455</w:t>
            </w:r>
          </w:p>
        </w:tc>
        <w:tc>
          <w:tcPr>
            <w:tcW w:w="1644" w:type="dxa"/>
          </w:tcPr>
          <w:p>
            <w:pPr>
              <w:pStyle w:val="0"/>
            </w:pPr>
            <w:r>
              <w:rPr>
                <w:sz w:val="20"/>
              </w:rPr>
              <w:t xml:space="preserve">58372</w:t>
            </w:r>
          </w:p>
        </w:tc>
        <w:tc>
          <w:tcPr>
            <w:tcW w:w="1077" w:type="dxa"/>
          </w:tcPr>
          <w:p>
            <w:pPr>
              <w:pStyle w:val="0"/>
            </w:pPr>
            <w:r>
              <w:rPr>
                <w:sz w:val="20"/>
              </w:rPr>
              <w:t xml:space="preserve">145826,2</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145826,2</w:t>
            </w:r>
          </w:p>
        </w:tc>
        <w:tc>
          <w:tcPr>
            <w:tcW w:w="1587" w:type="dxa"/>
          </w:tcPr>
          <w:p>
            <w:pPr>
              <w:pStyle w:val="0"/>
            </w:pPr>
            <w:r>
              <w:rPr>
                <w:sz w:val="20"/>
              </w:rPr>
              <w:t xml:space="preserve">151779,5</w:t>
            </w:r>
          </w:p>
        </w:tc>
        <w:tc>
          <w:tcPr>
            <w:tcW w:w="1417" w:type="dxa"/>
          </w:tcPr>
          <w:p>
            <w:pPr>
              <w:pStyle w:val="0"/>
            </w:pPr>
            <w:r>
              <w:rPr>
                <w:sz w:val="20"/>
              </w:rPr>
              <w:t xml:space="preserve">153441,4</w:t>
            </w:r>
          </w:p>
        </w:tc>
        <w:tc>
          <w:tcPr>
            <w:vMerge w:val="continue"/>
          </w:tcPr>
          <w:p/>
        </w:tc>
      </w:tr>
      <w:tr>
        <w:tc>
          <w:tcPr>
            <w:vMerge w:val="continue"/>
          </w:tcPr>
          <w:p/>
        </w:tc>
        <w:tc>
          <w:tcPr>
            <w:tcW w:w="3458" w:type="dxa"/>
            <w:vMerge w:val="restart"/>
          </w:tcPr>
          <w:p>
            <w:pPr>
              <w:pStyle w:val="0"/>
            </w:pPr>
            <w:r>
              <w:rPr>
                <w:sz w:val="20"/>
              </w:rPr>
              <w:t xml:space="preserve">Результат 6. Объем отгруженных товаров собственного производства, выполненных собственными силами работ и услуг по видам экономической деятельности в соответствии с разделом "C" </w:t>
            </w:r>
            <w:hyperlink w:history="0" r:id="rId19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(накопленным итогом), за исключением видов деятельности, не относящихся к сфере ведения Минпромторга России, субъектов предпринимательства - получателей субсидий в рамках Соглашения о предоставлении субсидии из федерального бюджета бюджету Московской области, млн рублей</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84757,4</w:t>
            </w:r>
          </w:p>
        </w:tc>
        <w:tc>
          <w:tcPr>
            <w:tcW w:w="1644" w:type="dxa"/>
          </w:tcPr>
          <w:p>
            <w:pPr>
              <w:pStyle w:val="0"/>
            </w:pPr>
            <w:r>
              <w:rPr>
                <w:sz w:val="20"/>
              </w:rPr>
              <w:t xml:space="preserve">-</w:t>
            </w:r>
          </w:p>
        </w:tc>
        <w:tc>
          <w:tcPr>
            <w:tcW w:w="1644" w:type="dxa"/>
          </w:tcPr>
          <w:p>
            <w:pPr>
              <w:pStyle w:val="0"/>
            </w:pPr>
            <w:r>
              <w:rPr>
                <w:sz w:val="20"/>
              </w:rPr>
              <w:t xml:space="preserve">9432</w:t>
            </w:r>
          </w:p>
        </w:tc>
        <w:tc>
          <w:tcPr>
            <w:tcW w:w="1077" w:type="dxa"/>
          </w:tcPr>
          <w:p>
            <w:pPr>
              <w:pStyle w:val="0"/>
            </w:pPr>
            <w:r>
              <w:rPr>
                <w:sz w:val="20"/>
              </w:rPr>
              <w:t xml:space="preserve">81466,2</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81466,2</w:t>
            </w:r>
          </w:p>
        </w:tc>
        <w:tc>
          <w:tcPr>
            <w:tcW w:w="1587" w:type="dxa"/>
          </w:tcPr>
          <w:p>
            <w:pPr>
              <w:pStyle w:val="0"/>
            </w:pPr>
            <w:r>
              <w:rPr>
                <w:sz w:val="20"/>
              </w:rPr>
              <w:t xml:space="preserve">83095,5</w:t>
            </w:r>
          </w:p>
        </w:tc>
        <w:tc>
          <w:tcPr>
            <w:tcW w:w="1417" w:type="dxa"/>
          </w:tcPr>
          <w:p>
            <w:pPr>
              <w:pStyle w:val="0"/>
            </w:pPr>
            <w:r>
              <w:rPr>
                <w:sz w:val="20"/>
              </w:rPr>
              <w:t xml:space="preserve">84757,4</w:t>
            </w:r>
          </w:p>
        </w:tc>
        <w:tc>
          <w:tcPr>
            <w:vMerge w:val="continue"/>
          </w:tcPr>
          <w:p/>
        </w:tc>
      </w:tr>
      <w:tr>
        <w:tc>
          <w:tcPr>
            <w:tcW w:w="680" w:type="dxa"/>
            <w:vMerge w:val="restart"/>
          </w:tcPr>
          <w:p>
            <w:pPr>
              <w:pStyle w:val="0"/>
              <w:outlineLvl w:val="3"/>
            </w:pPr>
            <w:r>
              <w:rPr>
                <w:sz w:val="20"/>
              </w:rPr>
              <w:t xml:space="preserve">6</w:t>
            </w:r>
          </w:p>
        </w:tc>
        <w:tc>
          <w:tcPr>
            <w:tcW w:w="3458" w:type="dxa"/>
            <w:vMerge w:val="restart"/>
          </w:tcPr>
          <w:p>
            <w:pPr>
              <w:pStyle w:val="0"/>
            </w:pPr>
            <w:r>
              <w:rPr>
                <w:sz w:val="20"/>
              </w:rPr>
              <w:t xml:space="preserve">Основное мероприятие 06. Развитие туристской инфраструктуры</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2215930,00</w:t>
            </w:r>
          </w:p>
        </w:tc>
        <w:tc>
          <w:tcPr>
            <w:tcW w:w="1644" w:type="dxa"/>
          </w:tcPr>
          <w:p>
            <w:pPr>
              <w:pStyle w:val="0"/>
            </w:pPr>
            <w:r>
              <w:rPr>
                <w:sz w:val="20"/>
              </w:rPr>
              <w:t xml:space="preserve">254681,00</w:t>
            </w:r>
          </w:p>
        </w:tc>
        <w:tc>
          <w:tcPr>
            <w:tcW w:w="1644" w:type="dxa"/>
          </w:tcPr>
          <w:p>
            <w:pPr>
              <w:pStyle w:val="0"/>
            </w:pPr>
            <w:r>
              <w:rPr>
                <w:sz w:val="20"/>
              </w:rPr>
              <w:t xml:space="preserve">287864,00</w:t>
            </w:r>
          </w:p>
        </w:tc>
        <w:tc>
          <w:tcPr>
            <w:gridSpan w:val="5"/>
            <w:tcW w:w="6577" w:type="dxa"/>
          </w:tcPr>
          <w:p>
            <w:pPr>
              <w:pStyle w:val="0"/>
            </w:pPr>
            <w:r>
              <w:rPr>
                <w:sz w:val="20"/>
              </w:rPr>
              <w:t xml:space="preserve">800000,00</w:t>
            </w:r>
          </w:p>
        </w:tc>
        <w:tc>
          <w:tcPr>
            <w:tcW w:w="1587" w:type="dxa"/>
          </w:tcPr>
          <w:p>
            <w:pPr>
              <w:pStyle w:val="0"/>
            </w:pPr>
            <w:r>
              <w:rPr>
                <w:sz w:val="20"/>
              </w:rPr>
              <w:t xml:space="preserve">522067,00</w:t>
            </w:r>
          </w:p>
        </w:tc>
        <w:tc>
          <w:tcPr>
            <w:tcW w:w="1417" w:type="dxa"/>
          </w:tcPr>
          <w:p>
            <w:pPr>
              <w:pStyle w:val="0"/>
            </w:pPr>
            <w:r>
              <w:rPr>
                <w:sz w:val="20"/>
              </w:rPr>
              <w:t xml:space="preserve">351318,00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2215930,00</w:t>
            </w:r>
          </w:p>
        </w:tc>
        <w:tc>
          <w:tcPr>
            <w:tcW w:w="1644" w:type="dxa"/>
          </w:tcPr>
          <w:p>
            <w:pPr>
              <w:pStyle w:val="0"/>
            </w:pPr>
            <w:r>
              <w:rPr>
                <w:sz w:val="20"/>
              </w:rPr>
              <w:t xml:space="preserve">254681,00</w:t>
            </w:r>
          </w:p>
        </w:tc>
        <w:tc>
          <w:tcPr>
            <w:tcW w:w="1644" w:type="dxa"/>
          </w:tcPr>
          <w:p>
            <w:pPr>
              <w:pStyle w:val="0"/>
            </w:pPr>
            <w:r>
              <w:rPr>
                <w:sz w:val="20"/>
              </w:rPr>
              <w:t xml:space="preserve">287864,00</w:t>
            </w:r>
          </w:p>
        </w:tc>
        <w:tc>
          <w:tcPr>
            <w:gridSpan w:val="5"/>
            <w:tcW w:w="6577" w:type="dxa"/>
          </w:tcPr>
          <w:p>
            <w:pPr>
              <w:pStyle w:val="0"/>
            </w:pPr>
            <w:r>
              <w:rPr>
                <w:sz w:val="20"/>
              </w:rPr>
              <w:t xml:space="preserve">800000,00</w:t>
            </w:r>
          </w:p>
        </w:tc>
        <w:tc>
          <w:tcPr>
            <w:tcW w:w="1587" w:type="dxa"/>
          </w:tcPr>
          <w:p>
            <w:pPr>
              <w:pStyle w:val="0"/>
            </w:pPr>
            <w:r>
              <w:rPr>
                <w:sz w:val="20"/>
              </w:rPr>
              <w:t xml:space="preserve">522067,00</w:t>
            </w:r>
          </w:p>
        </w:tc>
        <w:tc>
          <w:tcPr>
            <w:tcW w:w="1417" w:type="dxa"/>
          </w:tcPr>
          <w:p>
            <w:pPr>
              <w:pStyle w:val="0"/>
            </w:pPr>
            <w:r>
              <w:rPr>
                <w:sz w:val="20"/>
              </w:rPr>
              <w:t xml:space="preserve">351318,00</w:t>
            </w:r>
          </w:p>
        </w:tc>
        <w:tc>
          <w:tcPr>
            <w:vMerge w:val="continue"/>
          </w:tcPr>
          <w:p/>
        </w:tc>
      </w:tr>
      <w:tr>
        <w:tc>
          <w:tcPr>
            <w:tcW w:w="680" w:type="dxa"/>
            <w:vMerge w:val="restart"/>
          </w:tcPr>
          <w:p>
            <w:pPr>
              <w:pStyle w:val="0"/>
            </w:pPr>
            <w:r>
              <w:rPr>
                <w:sz w:val="20"/>
              </w:rPr>
              <w:t xml:space="preserve">6.1</w:t>
            </w:r>
          </w:p>
        </w:tc>
        <w:tc>
          <w:tcPr>
            <w:tcW w:w="3458" w:type="dxa"/>
            <w:vMerge w:val="restart"/>
          </w:tcPr>
          <w:bookmarkStart w:id="2072" w:name="P2072"/>
          <w:bookmarkEnd w:id="2072"/>
          <w:p>
            <w:pPr>
              <w:pStyle w:val="0"/>
            </w:pPr>
            <w:r>
              <w:rPr>
                <w:sz w:val="20"/>
              </w:rPr>
              <w:t xml:space="preserve">Мероприятие 06.01.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840004,00</w:t>
            </w:r>
          </w:p>
        </w:tc>
        <w:tc>
          <w:tcPr>
            <w:tcW w:w="1644" w:type="dxa"/>
          </w:tcPr>
          <w:p>
            <w:pPr>
              <w:pStyle w:val="0"/>
            </w:pPr>
            <w:r>
              <w:rPr>
                <w:sz w:val="20"/>
              </w:rPr>
              <w:t xml:space="preserve">30004,00</w:t>
            </w:r>
          </w:p>
        </w:tc>
        <w:tc>
          <w:tcPr>
            <w:tcW w:w="1644" w:type="dxa"/>
          </w:tcPr>
          <w:p>
            <w:pPr>
              <w:pStyle w:val="0"/>
            </w:pPr>
            <w:r>
              <w:rPr>
                <w:sz w:val="20"/>
              </w:rPr>
              <w:t xml:space="preserve">70000,00</w:t>
            </w:r>
          </w:p>
        </w:tc>
        <w:tc>
          <w:tcPr>
            <w:gridSpan w:val="5"/>
            <w:tcW w:w="6577" w:type="dxa"/>
          </w:tcPr>
          <w:p>
            <w:pPr>
              <w:pStyle w:val="0"/>
            </w:pPr>
            <w:r>
              <w:rPr>
                <w:sz w:val="20"/>
              </w:rPr>
              <w:t xml:space="preserve">300000,00</w:t>
            </w:r>
          </w:p>
        </w:tc>
        <w:tc>
          <w:tcPr>
            <w:tcW w:w="1587" w:type="dxa"/>
          </w:tcPr>
          <w:p>
            <w:pPr>
              <w:pStyle w:val="0"/>
            </w:pPr>
            <w:r>
              <w:rPr>
                <w:sz w:val="20"/>
              </w:rPr>
              <w:t xml:space="preserve">190000,00</w:t>
            </w:r>
          </w:p>
        </w:tc>
        <w:tc>
          <w:tcPr>
            <w:tcW w:w="1417" w:type="dxa"/>
          </w:tcPr>
          <w:p>
            <w:pPr>
              <w:pStyle w:val="0"/>
            </w:pPr>
            <w:r>
              <w:rPr>
                <w:sz w:val="20"/>
              </w:rPr>
              <w:t xml:space="preserve">250000,00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840004,00</w:t>
            </w:r>
          </w:p>
        </w:tc>
        <w:tc>
          <w:tcPr>
            <w:tcW w:w="1644" w:type="dxa"/>
          </w:tcPr>
          <w:p>
            <w:pPr>
              <w:pStyle w:val="0"/>
            </w:pPr>
            <w:r>
              <w:rPr>
                <w:sz w:val="20"/>
              </w:rPr>
              <w:t xml:space="preserve">30004,00</w:t>
            </w:r>
          </w:p>
        </w:tc>
        <w:tc>
          <w:tcPr>
            <w:tcW w:w="1644" w:type="dxa"/>
          </w:tcPr>
          <w:p>
            <w:pPr>
              <w:pStyle w:val="0"/>
            </w:pPr>
            <w:r>
              <w:rPr>
                <w:sz w:val="20"/>
              </w:rPr>
              <w:t xml:space="preserve">70000,00</w:t>
            </w:r>
          </w:p>
        </w:tc>
        <w:tc>
          <w:tcPr>
            <w:gridSpan w:val="5"/>
            <w:tcW w:w="6577" w:type="dxa"/>
          </w:tcPr>
          <w:p>
            <w:pPr>
              <w:pStyle w:val="0"/>
            </w:pPr>
            <w:r>
              <w:rPr>
                <w:sz w:val="20"/>
              </w:rPr>
              <w:t xml:space="preserve">300000,00</w:t>
            </w:r>
          </w:p>
        </w:tc>
        <w:tc>
          <w:tcPr>
            <w:tcW w:w="1587" w:type="dxa"/>
          </w:tcPr>
          <w:p>
            <w:pPr>
              <w:pStyle w:val="0"/>
            </w:pPr>
            <w:r>
              <w:rPr>
                <w:sz w:val="20"/>
              </w:rPr>
              <w:t xml:space="preserve">190000,00</w:t>
            </w:r>
          </w:p>
        </w:tc>
        <w:tc>
          <w:tcPr>
            <w:tcW w:w="1417" w:type="dxa"/>
          </w:tcPr>
          <w:p>
            <w:pPr>
              <w:pStyle w:val="0"/>
            </w:pPr>
            <w:r>
              <w:rPr>
                <w:sz w:val="20"/>
              </w:rPr>
              <w:t xml:space="preserve">250000,00</w:t>
            </w:r>
          </w:p>
        </w:tc>
        <w:tc>
          <w:tcPr>
            <w:vMerge w:val="continue"/>
          </w:tcPr>
          <w:p/>
        </w:tc>
      </w:tr>
      <w:tr>
        <w:tc>
          <w:tcPr>
            <w:vMerge w:val="continue"/>
          </w:tcPr>
          <w:p/>
        </w:tc>
        <w:tc>
          <w:tcPr>
            <w:tcW w:w="3458" w:type="dxa"/>
            <w:vMerge w:val="restart"/>
          </w:tcPr>
          <w:p>
            <w:pPr>
              <w:pStyle w:val="0"/>
            </w:pPr>
            <w:r>
              <w:rPr>
                <w:sz w:val="20"/>
              </w:rPr>
              <w:t xml:space="preserve">Результат 1. Создано гостиничных комплексов,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8</w:t>
            </w:r>
          </w:p>
        </w:tc>
        <w:tc>
          <w:tcPr>
            <w:tcW w:w="1644" w:type="dxa"/>
          </w:tcPr>
          <w:p>
            <w:pPr>
              <w:pStyle w:val="0"/>
            </w:pPr>
            <w:r>
              <w:rPr>
                <w:sz w:val="20"/>
              </w:rPr>
              <w:t xml:space="preserve">2</w:t>
            </w:r>
          </w:p>
        </w:tc>
        <w:tc>
          <w:tcPr>
            <w:tcW w:w="1644" w:type="dxa"/>
          </w:tcPr>
          <w:p>
            <w:pPr>
              <w:pStyle w:val="0"/>
            </w:pPr>
            <w:r>
              <w:rPr>
                <w:sz w:val="20"/>
              </w:rPr>
              <w:t xml:space="preserve">-</w:t>
            </w:r>
          </w:p>
        </w:tc>
        <w:tc>
          <w:tcPr>
            <w:tcW w:w="1077" w:type="dxa"/>
          </w:tcPr>
          <w:p>
            <w:pPr>
              <w:pStyle w:val="0"/>
            </w:pPr>
            <w:r>
              <w:rPr>
                <w:sz w:val="20"/>
              </w:rPr>
              <w:t xml:space="preserve">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w:t>
            </w:r>
          </w:p>
        </w:tc>
        <w:tc>
          <w:tcPr>
            <w:tcW w:w="1587" w:type="dxa"/>
          </w:tcPr>
          <w:p>
            <w:pPr>
              <w:pStyle w:val="0"/>
            </w:pPr>
            <w:r>
              <w:rPr>
                <w:sz w:val="20"/>
              </w:rPr>
              <w:t xml:space="preserve">2</w:t>
            </w:r>
          </w:p>
        </w:tc>
        <w:tc>
          <w:tcPr>
            <w:tcW w:w="1417" w:type="dxa"/>
          </w:tcPr>
          <w:p>
            <w:pPr>
              <w:pStyle w:val="0"/>
            </w:pPr>
            <w:r>
              <w:rPr>
                <w:sz w:val="20"/>
              </w:rPr>
              <w:t xml:space="preserve">3</w:t>
            </w:r>
          </w:p>
        </w:tc>
        <w:tc>
          <w:tcPr>
            <w:vMerge w:val="continue"/>
          </w:tcPr>
          <w:p/>
        </w:tc>
      </w:tr>
      <w:tr>
        <w:tc>
          <w:tcPr>
            <w:tcW w:w="680" w:type="dxa"/>
            <w:vMerge w:val="restart"/>
          </w:tcPr>
          <w:p>
            <w:pPr>
              <w:pStyle w:val="0"/>
            </w:pPr>
            <w:r>
              <w:rPr>
                <w:sz w:val="20"/>
              </w:rPr>
              <w:t xml:space="preserve">6.2</w:t>
            </w:r>
          </w:p>
        </w:tc>
        <w:tc>
          <w:tcPr>
            <w:tcW w:w="3458" w:type="dxa"/>
            <w:vMerge w:val="restart"/>
          </w:tcPr>
          <w:bookmarkStart w:id="2115" w:name="P2115"/>
          <w:bookmarkEnd w:id="2115"/>
          <w:p>
            <w:pPr>
              <w:pStyle w:val="0"/>
            </w:pPr>
            <w:r>
              <w:rPr>
                <w:sz w:val="20"/>
              </w:rPr>
              <w:t xml:space="preserve">Мероприятие 06.02.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на строительство и (или) реконструкцию гостиничных комплексов</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1375926,00</w:t>
            </w:r>
          </w:p>
        </w:tc>
        <w:tc>
          <w:tcPr>
            <w:tcW w:w="1644" w:type="dxa"/>
          </w:tcPr>
          <w:p>
            <w:pPr>
              <w:pStyle w:val="0"/>
            </w:pPr>
            <w:r>
              <w:rPr>
                <w:sz w:val="20"/>
              </w:rPr>
              <w:t xml:space="preserve">224677,00</w:t>
            </w:r>
          </w:p>
        </w:tc>
        <w:tc>
          <w:tcPr>
            <w:tcW w:w="1644" w:type="dxa"/>
          </w:tcPr>
          <w:p>
            <w:pPr>
              <w:pStyle w:val="0"/>
            </w:pPr>
            <w:r>
              <w:rPr>
                <w:sz w:val="20"/>
              </w:rPr>
              <w:t xml:space="preserve">217864,00</w:t>
            </w:r>
          </w:p>
        </w:tc>
        <w:tc>
          <w:tcPr>
            <w:gridSpan w:val="5"/>
            <w:tcW w:w="6577" w:type="dxa"/>
          </w:tcPr>
          <w:p>
            <w:pPr>
              <w:pStyle w:val="0"/>
            </w:pPr>
            <w:r>
              <w:rPr>
                <w:sz w:val="20"/>
              </w:rPr>
              <w:t xml:space="preserve">500000,00</w:t>
            </w:r>
          </w:p>
        </w:tc>
        <w:tc>
          <w:tcPr>
            <w:tcW w:w="1587" w:type="dxa"/>
          </w:tcPr>
          <w:p>
            <w:pPr>
              <w:pStyle w:val="0"/>
            </w:pPr>
            <w:r>
              <w:rPr>
                <w:sz w:val="20"/>
              </w:rPr>
              <w:t xml:space="preserve">332067,00</w:t>
            </w:r>
          </w:p>
        </w:tc>
        <w:tc>
          <w:tcPr>
            <w:tcW w:w="1417" w:type="dxa"/>
          </w:tcPr>
          <w:p>
            <w:pPr>
              <w:pStyle w:val="0"/>
            </w:pPr>
            <w:r>
              <w:rPr>
                <w:sz w:val="20"/>
              </w:rPr>
              <w:t xml:space="preserve">101318,00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1375926,00</w:t>
            </w:r>
          </w:p>
        </w:tc>
        <w:tc>
          <w:tcPr>
            <w:tcW w:w="1644" w:type="dxa"/>
          </w:tcPr>
          <w:p>
            <w:pPr>
              <w:pStyle w:val="0"/>
            </w:pPr>
            <w:r>
              <w:rPr>
                <w:sz w:val="20"/>
              </w:rPr>
              <w:t xml:space="preserve">224677,00</w:t>
            </w:r>
          </w:p>
        </w:tc>
        <w:tc>
          <w:tcPr>
            <w:tcW w:w="1644" w:type="dxa"/>
          </w:tcPr>
          <w:p>
            <w:pPr>
              <w:pStyle w:val="0"/>
            </w:pPr>
            <w:r>
              <w:rPr>
                <w:sz w:val="20"/>
              </w:rPr>
              <w:t xml:space="preserve">217864,00</w:t>
            </w:r>
          </w:p>
        </w:tc>
        <w:tc>
          <w:tcPr>
            <w:gridSpan w:val="5"/>
            <w:tcW w:w="6577" w:type="dxa"/>
          </w:tcPr>
          <w:p>
            <w:pPr>
              <w:pStyle w:val="0"/>
            </w:pPr>
            <w:r>
              <w:rPr>
                <w:sz w:val="20"/>
              </w:rPr>
              <w:t xml:space="preserve">500000,00</w:t>
            </w:r>
          </w:p>
        </w:tc>
        <w:tc>
          <w:tcPr>
            <w:tcW w:w="1587" w:type="dxa"/>
          </w:tcPr>
          <w:p>
            <w:pPr>
              <w:pStyle w:val="0"/>
            </w:pPr>
            <w:r>
              <w:rPr>
                <w:sz w:val="20"/>
              </w:rPr>
              <w:t xml:space="preserve">332067,00</w:t>
            </w:r>
          </w:p>
        </w:tc>
        <w:tc>
          <w:tcPr>
            <w:tcW w:w="1417" w:type="dxa"/>
          </w:tcPr>
          <w:p>
            <w:pPr>
              <w:pStyle w:val="0"/>
            </w:pPr>
            <w:r>
              <w:rPr>
                <w:sz w:val="20"/>
              </w:rPr>
              <w:t xml:space="preserve">101318,00</w:t>
            </w:r>
          </w:p>
        </w:tc>
        <w:tc>
          <w:tcPr>
            <w:vMerge w:val="continue"/>
          </w:tcPr>
          <w:p/>
        </w:tc>
      </w:tr>
      <w:tr>
        <w:tc>
          <w:tcPr>
            <w:vMerge w:val="continue"/>
          </w:tcPr>
          <w:p/>
        </w:tc>
        <w:tc>
          <w:tcPr>
            <w:tcW w:w="3458" w:type="dxa"/>
            <w:vMerge w:val="restart"/>
          </w:tcPr>
          <w:p>
            <w:pPr>
              <w:pStyle w:val="0"/>
            </w:pPr>
            <w:r>
              <w:rPr>
                <w:sz w:val="20"/>
              </w:rPr>
              <w:t xml:space="preserve">Результат 1. Реализованы проекты по созданию гостиничных комплексов,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w:t>
            </w:r>
          </w:p>
        </w:tc>
        <w:tc>
          <w:tcPr>
            <w:tcW w:w="1644" w:type="dxa"/>
          </w:tcPr>
          <w:p>
            <w:pPr>
              <w:pStyle w:val="0"/>
            </w:pPr>
            <w:r>
              <w:rPr>
                <w:sz w:val="20"/>
              </w:rPr>
              <w:t xml:space="preserve">1</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Создано гостиничных комплексов,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4</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w:t>
            </w:r>
          </w:p>
        </w:tc>
        <w:tc>
          <w:tcPr>
            <w:tcW w:w="1587" w:type="dxa"/>
          </w:tcPr>
          <w:p>
            <w:pPr>
              <w:pStyle w:val="0"/>
            </w:pPr>
            <w:r>
              <w:rPr>
                <w:sz w:val="20"/>
              </w:rPr>
              <w:t xml:space="preserve">2</w:t>
            </w:r>
          </w:p>
        </w:tc>
        <w:tc>
          <w:tcPr>
            <w:tcW w:w="1417" w:type="dxa"/>
          </w:tcPr>
          <w:p>
            <w:pPr>
              <w:pStyle w:val="0"/>
            </w:pPr>
            <w:r>
              <w:rPr>
                <w:sz w:val="20"/>
              </w:rPr>
              <w:t xml:space="preserve">1</w:t>
            </w:r>
          </w:p>
        </w:tc>
        <w:tc>
          <w:tcPr>
            <w:vMerge w:val="continue"/>
          </w:tcPr>
          <w:p/>
        </w:tc>
      </w:tr>
      <w:tr>
        <w:tc>
          <w:tcPr>
            <w:tcW w:w="680" w:type="dxa"/>
            <w:vMerge w:val="restart"/>
          </w:tcPr>
          <w:p>
            <w:pPr>
              <w:pStyle w:val="0"/>
              <w:outlineLvl w:val="3"/>
            </w:pPr>
            <w:r>
              <w:rPr>
                <w:sz w:val="20"/>
              </w:rPr>
              <w:t xml:space="preserve">7</w:t>
            </w:r>
          </w:p>
        </w:tc>
        <w:tc>
          <w:tcPr>
            <w:tcW w:w="3458" w:type="dxa"/>
            <w:vMerge w:val="restart"/>
          </w:tcPr>
          <w:p>
            <w:pPr>
              <w:pStyle w:val="0"/>
            </w:pPr>
            <w:r>
              <w:rPr>
                <w:sz w:val="20"/>
              </w:rPr>
              <w:t xml:space="preserve">Основное мероприятие 07. Финансовое обеспечение автономной некоммерческой организации "Агентство инвестиционного развития Московской области"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2675233,00</w:t>
            </w:r>
          </w:p>
        </w:tc>
        <w:tc>
          <w:tcPr>
            <w:tcW w:w="1644" w:type="dxa"/>
          </w:tcPr>
          <w:p>
            <w:pPr>
              <w:pStyle w:val="0"/>
            </w:pPr>
            <w:r>
              <w:rPr>
                <w:sz w:val="20"/>
              </w:rPr>
              <w:t xml:space="preserve">617057,00</w:t>
            </w:r>
          </w:p>
        </w:tc>
        <w:tc>
          <w:tcPr>
            <w:tcW w:w="1644" w:type="dxa"/>
          </w:tcPr>
          <w:p>
            <w:pPr>
              <w:pStyle w:val="0"/>
            </w:pPr>
            <w:r>
              <w:rPr>
                <w:sz w:val="20"/>
              </w:rPr>
              <w:t xml:space="preserve">712820,00</w:t>
            </w:r>
          </w:p>
        </w:tc>
        <w:tc>
          <w:tcPr>
            <w:gridSpan w:val="5"/>
            <w:tcW w:w="6577" w:type="dxa"/>
          </w:tcPr>
          <w:p>
            <w:pPr>
              <w:pStyle w:val="0"/>
            </w:pPr>
            <w:r>
              <w:rPr>
                <w:sz w:val="20"/>
              </w:rPr>
              <w:t xml:space="preserve">448452,00</w:t>
            </w:r>
          </w:p>
        </w:tc>
        <w:tc>
          <w:tcPr>
            <w:tcW w:w="1587" w:type="dxa"/>
          </w:tcPr>
          <w:p>
            <w:pPr>
              <w:pStyle w:val="0"/>
            </w:pPr>
            <w:r>
              <w:rPr>
                <w:sz w:val="20"/>
              </w:rPr>
              <w:t xml:space="preserve">448452,00</w:t>
            </w:r>
          </w:p>
        </w:tc>
        <w:tc>
          <w:tcPr>
            <w:tcW w:w="1417" w:type="dxa"/>
          </w:tcPr>
          <w:p>
            <w:pPr>
              <w:pStyle w:val="0"/>
            </w:pPr>
            <w:r>
              <w:rPr>
                <w:sz w:val="20"/>
              </w:rPr>
              <w:t xml:space="preserve">448452,00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2675233,00</w:t>
            </w:r>
          </w:p>
        </w:tc>
        <w:tc>
          <w:tcPr>
            <w:tcW w:w="1644" w:type="dxa"/>
          </w:tcPr>
          <w:p>
            <w:pPr>
              <w:pStyle w:val="0"/>
            </w:pPr>
            <w:r>
              <w:rPr>
                <w:sz w:val="20"/>
              </w:rPr>
              <w:t xml:space="preserve">617057,00</w:t>
            </w:r>
          </w:p>
        </w:tc>
        <w:tc>
          <w:tcPr>
            <w:tcW w:w="1644" w:type="dxa"/>
          </w:tcPr>
          <w:p>
            <w:pPr>
              <w:pStyle w:val="0"/>
            </w:pPr>
            <w:r>
              <w:rPr>
                <w:sz w:val="20"/>
              </w:rPr>
              <w:t xml:space="preserve">712820,00</w:t>
            </w:r>
          </w:p>
        </w:tc>
        <w:tc>
          <w:tcPr>
            <w:gridSpan w:val="5"/>
            <w:tcW w:w="6577" w:type="dxa"/>
          </w:tcPr>
          <w:p>
            <w:pPr>
              <w:pStyle w:val="0"/>
            </w:pPr>
            <w:r>
              <w:rPr>
                <w:sz w:val="20"/>
              </w:rPr>
              <w:t xml:space="preserve">448452,00</w:t>
            </w:r>
          </w:p>
        </w:tc>
        <w:tc>
          <w:tcPr>
            <w:tcW w:w="1587" w:type="dxa"/>
          </w:tcPr>
          <w:p>
            <w:pPr>
              <w:pStyle w:val="0"/>
            </w:pPr>
            <w:r>
              <w:rPr>
                <w:sz w:val="20"/>
              </w:rPr>
              <w:t xml:space="preserve">448452,00</w:t>
            </w:r>
          </w:p>
        </w:tc>
        <w:tc>
          <w:tcPr>
            <w:tcW w:w="1417" w:type="dxa"/>
          </w:tcPr>
          <w:p>
            <w:pPr>
              <w:pStyle w:val="0"/>
            </w:pPr>
            <w:r>
              <w:rPr>
                <w:sz w:val="20"/>
              </w:rPr>
              <w:t xml:space="preserve">448452,00</w:t>
            </w:r>
          </w:p>
        </w:tc>
        <w:tc>
          <w:tcPr>
            <w:vMerge w:val="continue"/>
          </w:tcPr>
          <w:p/>
        </w:tc>
      </w:tr>
      <w:tr>
        <w:tc>
          <w:tcPr>
            <w:tcW w:w="680" w:type="dxa"/>
            <w:vMerge w:val="restart"/>
          </w:tcPr>
          <w:p>
            <w:pPr>
              <w:pStyle w:val="0"/>
            </w:pPr>
            <w:r>
              <w:rPr>
                <w:sz w:val="20"/>
              </w:rPr>
              <w:t xml:space="preserve">7.1</w:t>
            </w:r>
          </w:p>
        </w:tc>
        <w:tc>
          <w:tcPr>
            <w:tcW w:w="3458" w:type="dxa"/>
            <w:vMerge w:val="restart"/>
          </w:tcPr>
          <w:bookmarkStart w:id="2201" w:name="P2201"/>
          <w:bookmarkEnd w:id="2201"/>
          <w:p>
            <w:pPr>
              <w:pStyle w:val="0"/>
            </w:pPr>
            <w:r>
              <w:rPr>
                <w:sz w:val="20"/>
              </w:rPr>
              <w:t xml:space="preserve">Мероприятие 07.01. Обеспечение деятельности автономной некоммерческой организации "Агентство инвестиционного развития Московской области" в целях предоставления услуг в сфере поддержки и популяризации инвестиционного развития</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2662233,00</w:t>
            </w:r>
          </w:p>
        </w:tc>
        <w:tc>
          <w:tcPr>
            <w:tcW w:w="1644" w:type="dxa"/>
          </w:tcPr>
          <w:p>
            <w:pPr>
              <w:pStyle w:val="0"/>
            </w:pPr>
            <w:r>
              <w:rPr>
                <w:sz w:val="20"/>
              </w:rPr>
              <w:t xml:space="preserve">604057,00</w:t>
            </w:r>
          </w:p>
        </w:tc>
        <w:tc>
          <w:tcPr>
            <w:tcW w:w="1644" w:type="dxa"/>
          </w:tcPr>
          <w:p>
            <w:pPr>
              <w:pStyle w:val="0"/>
            </w:pPr>
            <w:r>
              <w:rPr>
                <w:sz w:val="20"/>
              </w:rPr>
              <w:t xml:space="preserve">712820,00</w:t>
            </w:r>
          </w:p>
        </w:tc>
        <w:tc>
          <w:tcPr>
            <w:gridSpan w:val="5"/>
            <w:tcW w:w="6577" w:type="dxa"/>
          </w:tcPr>
          <w:p>
            <w:pPr>
              <w:pStyle w:val="0"/>
            </w:pPr>
            <w:r>
              <w:rPr>
                <w:sz w:val="20"/>
              </w:rPr>
              <w:t xml:space="preserve">448452,00</w:t>
            </w:r>
          </w:p>
        </w:tc>
        <w:tc>
          <w:tcPr>
            <w:tcW w:w="1587" w:type="dxa"/>
          </w:tcPr>
          <w:p>
            <w:pPr>
              <w:pStyle w:val="0"/>
            </w:pPr>
            <w:r>
              <w:rPr>
                <w:sz w:val="20"/>
              </w:rPr>
              <w:t xml:space="preserve">448452,00</w:t>
            </w:r>
          </w:p>
        </w:tc>
        <w:tc>
          <w:tcPr>
            <w:tcW w:w="1417" w:type="dxa"/>
          </w:tcPr>
          <w:p>
            <w:pPr>
              <w:pStyle w:val="0"/>
            </w:pPr>
            <w:r>
              <w:rPr>
                <w:sz w:val="20"/>
              </w:rPr>
              <w:t xml:space="preserve">448452,00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2662233,00</w:t>
            </w:r>
          </w:p>
        </w:tc>
        <w:tc>
          <w:tcPr>
            <w:tcW w:w="1644" w:type="dxa"/>
          </w:tcPr>
          <w:p>
            <w:pPr>
              <w:pStyle w:val="0"/>
            </w:pPr>
            <w:r>
              <w:rPr>
                <w:sz w:val="20"/>
              </w:rPr>
              <w:t xml:space="preserve">604057,00</w:t>
            </w:r>
          </w:p>
        </w:tc>
        <w:tc>
          <w:tcPr>
            <w:tcW w:w="1644" w:type="dxa"/>
          </w:tcPr>
          <w:p>
            <w:pPr>
              <w:pStyle w:val="0"/>
            </w:pPr>
            <w:r>
              <w:rPr>
                <w:sz w:val="20"/>
              </w:rPr>
              <w:t xml:space="preserve">712820,00</w:t>
            </w:r>
          </w:p>
        </w:tc>
        <w:tc>
          <w:tcPr>
            <w:gridSpan w:val="5"/>
            <w:tcW w:w="6577" w:type="dxa"/>
          </w:tcPr>
          <w:p>
            <w:pPr>
              <w:pStyle w:val="0"/>
            </w:pPr>
            <w:r>
              <w:rPr>
                <w:sz w:val="20"/>
              </w:rPr>
              <w:t xml:space="preserve">448452,00</w:t>
            </w:r>
          </w:p>
        </w:tc>
        <w:tc>
          <w:tcPr>
            <w:tcW w:w="1587" w:type="dxa"/>
          </w:tcPr>
          <w:p>
            <w:pPr>
              <w:pStyle w:val="0"/>
            </w:pPr>
            <w:r>
              <w:rPr>
                <w:sz w:val="20"/>
              </w:rPr>
              <w:t xml:space="preserve">448452,00</w:t>
            </w:r>
          </w:p>
        </w:tc>
        <w:tc>
          <w:tcPr>
            <w:tcW w:w="1417" w:type="dxa"/>
          </w:tcPr>
          <w:p>
            <w:pPr>
              <w:pStyle w:val="0"/>
            </w:pPr>
            <w:r>
              <w:rPr>
                <w:sz w:val="20"/>
              </w:rPr>
              <w:t xml:space="preserve">448452,00</w:t>
            </w:r>
          </w:p>
        </w:tc>
        <w:tc>
          <w:tcPr>
            <w:vMerge w:val="continue"/>
          </w:tcPr>
          <w:p/>
        </w:tc>
      </w:tr>
      <w:tr>
        <w:tc>
          <w:tcPr>
            <w:vMerge w:val="continue"/>
          </w:tcPr>
          <w:p/>
        </w:tc>
        <w:tc>
          <w:tcPr>
            <w:tcW w:w="3458" w:type="dxa"/>
            <w:vMerge w:val="restart"/>
          </w:tcPr>
          <w:p>
            <w:pPr>
              <w:pStyle w:val="0"/>
            </w:pPr>
            <w:r>
              <w:rPr>
                <w:sz w:val="20"/>
              </w:rPr>
              <w:t xml:space="preserve">Результат 1. Оказан комплекс услуг в сфере развития, поддержки и популяризации субъектов инвестиционной, инновационной и научной деятельности, государственно-частного партнерства,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5</w:t>
            </w:r>
          </w:p>
        </w:tc>
        <w:tc>
          <w:tcPr>
            <w:tcW w:w="1644" w:type="dxa"/>
          </w:tcPr>
          <w:p>
            <w:pPr>
              <w:pStyle w:val="0"/>
            </w:pPr>
            <w:r>
              <w:rPr>
                <w:sz w:val="20"/>
              </w:rPr>
              <w:t xml:space="preserve">1</w:t>
            </w:r>
          </w:p>
        </w:tc>
        <w:tc>
          <w:tcPr>
            <w:tcW w:w="1644" w:type="dxa"/>
          </w:tcPr>
          <w:p>
            <w:pPr>
              <w:pStyle w:val="0"/>
            </w:pPr>
            <w:r>
              <w:rPr>
                <w:sz w:val="20"/>
              </w:rPr>
              <w:t xml:space="preserve">1</w:t>
            </w:r>
          </w:p>
        </w:tc>
        <w:tc>
          <w:tcPr>
            <w:tcW w:w="1077" w:type="dxa"/>
          </w:tcPr>
          <w:p>
            <w:pPr>
              <w:pStyle w:val="0"/>
            </w:pPr>
            <w:r>
              <w:rPr>
                <w:sz w:val="20"/>
              </w:rPr>
              <w:t xml:space="preserve">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w:t>
            </w:r>
          </w:p>
        </w:tc>
        <w:tc>
          <w:tcPr>
            <w:tcW w:w="1587" w:type="dxa"/>
          </w:tcPr>
          <w:p>
            <w:pPr>
              <w:pStyle w:val="0"/>
            </w:pPr>
            <w:r>
              <w:rPr>
                <w:sz w:val="20"/>
              </w:rPr>
              <w:t xml:space="preserve">1</w:t>
            </w:r>
          </w:p>
        </w:tc>
        <w:tc>
          <w:tcPr>
            <w:tcW w:w="1417" w:type="dxa"/>
          </w:tcPr>
          <w:p>
            <w:pPr>
              <w:pStyle w:val="0"/>
            </w:pPr>
            <w:r>
              <w:rPr>
                <w:sz w:val="20"/>
              </w:rPr>
              <w:t xml:space="preserve">1</w:t>
            </w:r>
          </w:p>
        </w:tc>
        <w:tc>
          <w:tcPr>
            <w:vMerge w:val="continue"/>
          </w:tcPr>
          <w:p/>
        </w:tc>
      </w:tr>
      <w:tr>
        <w:tc>
          <w:tcPr>
            <w:tcW w:w="680" w:type="dxa"/>
            <w:vMerge w:val="restart"/>
          </w:tcPr>
          <w:p>
            <w:pPr>
              <w:pStyle w:val="0"/>
            </w:pPr>
            <w:r>
              <w:rPr>
                <w:sz w:val="20"/>
              </w:rPr>
              <w:t xml:space="preserve">7.2</w:t>
            </w:r>
          </w:p>
        </w:tc>
        <w:tc>
          <w:tcPr>
            <w:tcW w:w="3458" w:type="dxa"/>
            <w:vMerge w:val="restart"/>
          </w:tcPr>
          <w:p>
            <w:pPr>
              <w:pStyle w:val="0"/>
            </w:pPr>
            <w:r>
              <w:rPr>
                <w:sz w:val="20"/>
              </w:rPr>
              <w:t xml:space="preserve">Мероприятие 07.02. Субсидия автономной некоммерческой организации "Агентство инвестиционного развития Московской области" в целях реализации мероприятий по повышению эффективности процессов в центральных исполнительных органах Московской области и их подведомственных учреждениях, организациях, находящихся в ведении центральных исполнительных органов Московской области или государственных органов Московской области, а также коммерческих и некоммерческих организациях, учредителями которых является Московская область в лице центральных исполнительных органов Московской области, направленных на повышение производительности труда в Московской области</w:t>
            </w:r>
          </w:p>
        </w:tc>
        <w:tc>
          <w:tcPr>
            <w:tcW w:w="1587" w:type="dxa"/>
            <w:vMerge w:val="restart"/>
          </w:tcPr>
          <w:p>
            <w:pPr>
              <w:pStyle w:val="0"/>
            </w:pPr>
            <w:r>
              <w:rPr>
                <w:sz w:val="20"/>
              </w:rPr>
              <w:t xml:space="preserve">2023-2024</w:t>
            </w:r>
          </w:p>
        </w:tc>
        <w:tc>
          <w:tcPr>
            <w:tcW w:w="2098" w:type="dxa"/>
          </w:tcPr>
          <w:p>
            <w:pPr>
              <w:pStyle w:val="0"/>
            </w:pPr>
            <w:r>
              <w:rPr>
                <w:sz w:val="20"/>
              </w:rPr>
              <w:t xml:space="preserve">Итого:</w:t>
            </w:r>
          </w:p>
        </w:tc>
        <w:tc>
          <w:tcPr>
            <w:tcW w:w="1531" w:type="dxa"/>
          </w:tcPr>
          <w:p>
            <w:pPr>
              <w:pStyle w:val="0"/>
            </w:pPr>
            <w:r>
              <w:rPr>
                <w:sz w:val="20"/>
              </w:rPr>
              <w:t xml:space="preserve">13000,00</w:t>
            </w:r>
          </w:p>
        </w:tc>
        <w:tc>
          <w:tcPr>
            <w:tcW w:w="1644" w:type="dxa"/>
          </w:tcPr>
          <w:p>
            <w:pPr>
              <w:pStyle w:val="0"/>
            </w:pPr>
            <w:r>
              <w:rPr>
                <w:sz w:val="20"/>
              </w:rPr>
              <w:t xml:space="preserve">13000,00</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13000,00</w:t>
            </w:r>
          </w:p>
        </w:tc>
        <w:tc>
          <w:tcPr>
            <w:tcW w:w="1644" w:type="dxa"/>
          </w:tcPr>
          <w:p>
            <w:pPr>
              <w:pStyle w:val="0"/>
            </w:pPr>
            <w:r>
              <w:rPr>
                <w:sz w:val="20"/>
              </w:rPr>
              <w:t xml:space="preserve">13000,00</w:t>
            </w:r>
          </w:p>
        </w:tc>
        <w:tc>
          <w:tcPr>
            <w:tcW w:w="1644" w:type="dxa"/>
          </w:tcPr>
          <w:p>
            <w:pPr>
              <w:pStyle w:val="0"/>
            </w:pPr>
            <w:r>
              <w:rPr>
                <w:sz w:val="20"/>
              </w:rPr>
              <w:t xml:space="preserve">-</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Выполнен комплекс мероприятий по оказанию услуг по разработке рекомендаций, направленных на повышение эффективности процессов в органах исполнительной власти Московской области и их подведомственных учреждениях, организациях, находящихся в ведении исполнительных органов Московской области или государственных органов Московской области, а также коммерческих и некоммерческих организациях, учредителями которых являются органы исполнительной власти Московской области, направленных на повышение производительности труда в Московской области (нарастающим итогом), усл.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w:t>
            </w:r>
          </w:p>
        </w:tc>
        <w:tc>
          <w:tcPr>
            <w:tcW w:w="1644" w:type="dxa"/>
          </w:tcPr>
          <w:p>
            <w:pPr>
              <w:pStyle w:val="0"/>
            </w:pPr>
            <w:r>
              <w:rPr>
                <w:sz w:val="20"/>
              </w:rPr>
              <w:t xml:space="preserve">-</w:t>
            </w:r>
          </w:p>
        </w:tc>
        <w:tc>
          <w:tcPr>
            <w:tcW w:w="1644" w:type="dxa"/>
          </w:tcPr>
          <w:p>
            <w:pPr>
              <w:pStyle w:val="0"/>
            </w:pPr>
            <w:r>
              <w:rPr>
                <w:sz w:val="20"/>
              </w:rPr>
              <w:t xml:space="preserve">2</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outlineLvl w:val="3"/>
            </w:pPr>
            <w:r>
              <w:rPr>
                <w:sz w:val="20"/>
              </w:rPr>
              <w:t xml:space="preserve">8</w:t>
            </w:r>
          </w:p>
        </w:tc>
        <w:tc>
          <w:tcPr>
            <w:tcW w:w="3458" w:type="dxa"/>
            <w:vMerge w:val="restart"/>
          </w:tcPr>
          <w:p>
            <w:pPr>
              <w:pStyle w:val="0"/>
            </w:pPr>
            <w:r>
              <w:rPr>
                <w:sz w:val="20"/>
              </w:rPr>
              <w:t xml:space="preserve">Основное мероприятие 08. Стимулирование инвестиционной деятельности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731800,00</w:t>
            </w:r>
          </w:p>
        </w:tc>
        <w:tc>
          <w:tcPr>
            <w:tcW w:w="1644" w:type="dxa"/>
          </w:tcPr>
          <w:p>
            <w:pPr>
              <w:pStyle w:val="0"/>
            </w:pPr>
            <w:r>
              <w:rPr>
                <w:sz w:val="20"/>
              </w:rPr>
              <w:t xml:space="preserve">89930,00</w:t>
            </w:r>
          </w:p>
        </w:tc>
        <w:tc>
          <w:tcPr>
            <w:tcW w:w="1644" w:type="dxa"/>
          </w:tcPr>
          <w:p>
            <w:pPr>
              <w:pStyle w:val="0"/>
            </w:pPr>
            <w:r>
              <w:rPr>
                <w:sz w:val="20"/>
              </w:rPr>
              <w:t xml:space="preserve">266870,00</w:t>
            </w:r>
          </w:p>
        </w:tc>
        <w:tc>
          <w:tcPr>
            <w:gridSpan w:val="5"/>
            <w:tcW w:w="6577" w:type="dxa"/>
          </w:tcPr>
          <w:p>
            <w:pPr>
              <w:pStyle w:val="0"/>
            </w:pPr>
            <w:r>
              <w:rPr>
                <w:sz w:val="20"/>
              </w:rPr>
              <w:t xml:space="preserve">125000,00</w:t>
            </w:r>
          </w:p>
        </w:tc>
        <w:tc>
          <w:tcPr>
            <w:tcW w:w="1587" w:type="dxa"/>
          </w:tcPr>
          <w:p>
            <w:pPr>
              <w:pStyle w:val="0"/>
            </w:pPr>
            <w:r>
              <w:rPr>
                <w:sz w:val="20"/>
              </w:rPr>
              <w:t xml:space="preserve">125000,00</w:t>
            </w:r>
          </w:p>
        </w:tc>
        <w:tc>
          <w:tcPr>
            <w:tcW w:w="1417" w:type="dxa"/>
          </w:tcPr>
          <w:p>
            <w:pPr>
              <w:pStyle w:val="0"/>
            </w:pPr>
            <w:r>
              <w:rPr>
                <w:sz w:val="20"/>
              </w:rPr>
              <w:t xml:space="preserve">125000,00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731800,00</w:t>
            </w:r>
          </w:p>
        </w:tc>
        <w:tc>
          <w:tcPr>
            <w:tcW w:w="1644" w:type="dxa"/>
          </w:tcPr>
          <w:p>
            <w:pPr>
              <w:pStyle w:val="0"/>
            </w:pPr>
            <w:r>
              <w:rPr>
                <w:sz w:val="20"/>
              </w:rPr>
              <w:t xml:space="preserve">89930,00</w:t>
            </w:r>
          </w:p>
        </w:tc>
        <w:tc>
          <w:tcPr>
            <w:tcW w:w="1644" w:type="dxa"/>
          </w:tcPr>
          <w:p>
            <w:pPr>
              <w:pStyle w:val="0"/>
            </w:pPr>
            <w:r>
              <w:rPr>
                <w:sz w:val="20"/>
              </w:rPr>
              <w:t xml:space="preserve">266870,00</w:t>
            </w:r>
          </w:p>
        </w:tc>
        <w:tc>
          <w:tcPr>
            <w:gridSpan w:val="5"/>
            <w:tcW w:w="6577" w:type="dxa"/>
          </w:tcPr>
          <w:p>
            <w:pPr>
              <w:pStyle w:val="0"/>
            </w:pPr>
            <w:r>
              <w:rPr>
                <w:sz w:val="20"/>
              </w:rPr>
              <w:t xml:space="preserve">125000,00</w:t>
            </w:r>
          </w:p>
        </w:tc>
        <w:tc>
          <w:tcPr>
            <w:tcW w:w="1587" w:type="dxa"/>
          </w:tcPr>
          <w:p>
            <w:pPr>
              <w:pStyle w:val="0"/>
            </w:pPr>
            <w:r>
              <w:rPr>
                <w:sz w:val="20"/>
              </w:rPr>
              <w:t xml:space="preserve">125000,00</w:t>
            </w:r>
          </w:p>
        </w:tc>
        <w:tc>
          <w:tcPr>
            <w:tcW w:w="1417" w:type="dxa"/>
          </w:tcPr>
          <w:p>
            <w:pPr>
              <w:pStyle w:val="0"/>
            </w:pPr>
            <w:r>
              <w:rPr>
                <w:sz w:val="20"/>
              </w:rPr>
              <w:t xml:space="preserve">125000,00</w:t>
            </w:r>
          </w:p>
        </w:tc>
        <w:tc>
          <w:tcPr>
            <w:vMerge w:val="continue"/>
          </w:tcPr>
          <w:p/>
        </w:tc>
      </w:tr>
      <w:tr>
        <w:tc>
          <w:tcPr>
            <w:tcW w:w="680" w:type="dxa"/>
            <w:vMerge w:val="restart"/>
          </w:tcPr>
          <w:p>
            <w:pPr>
              <w:pStyle w:val="0"/>
            </w:pPr>
            <w:r>
              <w:rPr>
                <w:sz w:val="20"/>
              </w:rPr>
              <w:t xml:space="preserve">8.1</w:t>
            </w:r>
          </w:p>
        </w:tc>
        <w:tc>
          <w:tcPr>
            <w:tcW w:w="3458" w:type="dxa"/>
            <w:vMerge w:val="restart"/>
          </w:tcPr>
          <w:bookmarkStart w:id="2305" w:name="P2305"/>
          <w:bookmarkEnd w:id="2305"/>
          <w:p>
            <w:pPr>
              <w:pStyle w:val="0"/>
            </w:pPr>
            <w:r>
              <w:rPr>
                <w:sz w:val="20"/>
              </w:rPr>
              <w:t xml:space="preserve">Мероприятие 08.01.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муниципальных образований Московской области</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tcW w:w="1531" w:type="dxa"/>
          </w:tcPr>
          <w:p>
            <w:pPr>
              <w:pStyle w:val="0"/>
            </w:pPr>
            <w:r>
              <w:rPr>
                <w:sz w:val="20"/>
              </w:rPr>
              <w:t xml:space="preserve">444930,00</w:t>
            </w:r>
          </w:p>
        </w:tc>
        <w:tc>
          <w:tcPr>
            <w:tcW w:w="1644" w:type="dxa"/>
          </w:tcPr>
          <w:p>
            <w:pPr>
              <w:pStyle w:val="0"/>
            </w:pPr>
            <w:r>
              <w:rPr>
                <w:sz w:val="20"/>
              </w:rPr>
              <w:t xml:space="preserve">59930,00</w:t>
            </w:r>
          </w:p>
        </w:tc>
        <w:tc>
          <w:tcPr>
            <w:tcW w:w="1644" w:type="dxa"/>
          </w:tcPr>
          <w:p>
            <w:pPr>
              <w:pStyle w:val="0"/>
            </w:pPr>
            <w:r>
              <w:rPr>
                <w:sz w:val="20"/>
              </w:rPr>
              <w:t xml:space="preserve">10000,00</w:t>
            </w:r>
          </w:p>
        </w:tc>
        <w:tc>
          <w:tcPr>
            <w:gridSpan w:val="5"/>
            <w:tcW w:w="6577" w:type="dxa"/>
          </w:tcPr>
          <w:p>
            <w:pPr>
              <w:pStyle w:val="0"/>
            </w:pPr>
            <w:r>
              <w:rPr>
                <w:sz w:val="20"/>
              </w:rPr>
              <w:t xml:space="preserve">125000,00</w:t>
            </w:r>
          </w:p>
        </w:tc>
        <w:tc>
          <w:tcPr>
            <w:tcW w:w="1587" w:type="dxa"/>
          </w:tcPr>
          <w:p>
            <w:pPr>
              <w:pStyle w:val="0"/>
            </w:pPr>
            <w:r>
              <w:rPr>
                <w:sz w:val="20"/>
              </w:rPr>
              <w:t xml:space="preserve">125000,00</w:t>
            </w:r>
          </w:p>
        </w:tc>
        <w:tc>
          <w:tcPr>
            <w:tcW w:w="1417" w:type="dxa"/>
          </w:tcPr>
          <w:p>
            <w:pPr>
              <w:pStyle w:val="0"/>
            </w:pPr>
            <w:r>
              <w:rPr>
                <w:sz w:val="20"/>
              </w:rPr>
              <w:t xml:space="preserve">125000,00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444930,00</w:t>
            </w:r>
          </w:p>
        </w:tc>
        <w:tc>
          <w:tcPr>
            <w:tcW w:w="1644" w:type="dxa"/>
          </w:tcPr>
          <w:p>
            <w:pPr>
              <w:pStyle w:val="0"/>
            </w:pPr>
            <w:r>
              <w:rPr>
                <w:sz w:val="20"/>
              </w:rPr>
              <w:t xml:space="preserve">59930,00</w:t>
            </w:r>
          </w:p>
        </w:tc>
        <w:tc>
          <w:tcPr>
            <w:tcW w:w="1644" w:type="dxa"/>
          </w:tcPr>
          <w:p>
            <w:pPr>
              <w:pStyle w:val="0"/>
            </w:pPr>
            <w:r>
              <w:rPr>
                <w:sz w:val="20"/>
              </w:rPr>
              <w:t xml:space="preserve">10000,00</w:t>
            </w:r>
          </w:p>
        </w:tc>
        <w:tc>
          <w:tcPr>
            <w:gridSpan w:val="5"/>
            <w:tcW w:w="6577" w:type="dxa"/>
          </w:tcPr>
          <w:p>
            <w:pPr>
              <w:pStyle w:val="0"/>
            </w:pPr>
            <w:r>
              <w:rPr>
                <w:sz w:val="20"/>
              </w:rPr>
              <w:t xml:space="preserve">125000,00</w:t>
            </w:r>
          </w:p>
        </w:tc>
        <w:tc>
          <w:tcPr>
            <w:tcW w:w="1587" w:type="dxa"/>
          </w:tcPr>
          <w:p>
            <w:pPr>
              <w:pStyle w:val="0"/>
            </w:pPr>
            <w:r>
              <w:rPr>
                <w:sz w:val="20"/>
              </w:rPr>
              <w:t xml:space="preserve">125000,00</w:t>
            </w:r>
          </w:p>
        </w:tc>
        <w:tc>
          <w:tcPr>
            <w:tcW w:w="1417" w:type="dxa"/>
          </w:tcPr>
          <w:p>
            <w:pPr>
              <w:pStyle w:val="0"/>
            </w:pPr>
            <w:r>
              <w:rPr>
                <w:sz w:val="20"/>
              </w:rPr>
              <w:t xml:space="preserve">125000,00</w:t>
            </w:r>
          </w:p>
        </w:tc>
        <w:tc>
          <w:tcPr>
            <w:vMerge w:val="continue"/>
          </w:tcPr>
          <w:p/>
        </w:tc>
      </w:tr>
      <w:tr>
        <w:tc>
          <w:tcPr>
            <w:vMerge w:val="continue"/>
          </w:tcPr>
          <w:p/>
        </w:tc>
        <w:tc>
          <w:tcPr>
            <w:tcW w:w="3458" w:type="dxa"/>
            <w:vMerge w:val="restart"/>
          </w:tcPr>
          <w:p>
            <w:pPr>
              <w:pStyle w:val="0"/>
            </w:pPr>
            <w:r>
              <w:rPr>
                <w:sz w:val="20"/>
              </w:rPr>
              <w:t xml:space="preserve">Результат 1. Привлечены инвесторы на территории муниципальных образований Московской области,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7</w:t>
            </w:r>
          </w:p>
        </w:tc>
        <w:tc>
          <w:tcPr>
            <w:tcW w:w="1644" w:type="dxa"/>
          </w:tcPr>
          <w:p>
            <w:pPr>
              <w:pStyle w:val="0"/>
            </w:pPr>
            <w:r>
              <w:rPr>
                <w:sz w:val="20"/>
              </w:rPr>
              <w:t xml:space="preserve">7</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Построено и (или) реконструировано объектов капитального строительства, необходимых для последующего ведения соответствующего вида деятельности на территории городских округов Московской области, </w:t>
            </w:r>
            <w:hyperlink w:history="0" r:id="rId194"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перечень</w:t>
              </w:r>
            </w:hyperlink>
            <w:r>
              <w:rPr>
                <w:sz w:val="20"/>
              </w:rPr>
              <w:t xml:space="preserve"> которых указан в приложении 8 к Закону N 151/2004-ОЗ,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4</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w:t>
            </w:r>
          </w:p>
        </w:tc>
        <w:tc>
          <w:tcPr>
            <w:tcW w:w="1587" w:type="dxa"/>
          </w:tcPr>
          <w:p>
            <w:pPr>
              <w:pStyle w:val="0"/>
            </w:pPr>
            <w:r>
              <w:rPr>
                <w:sz w:val="20"/>
              </w:rPr>
              <w:t xml:space="preserve">2</w:t>
            </w:r>
          </w:p>
        </w:tc>
        <w:tc>
          <w:tcPr>
            <w:tcW w:w="1417" w:type="dxa"/>
          </w:tcPr>
          <w:p>
            <w:pPr>
              <w:pStyle w:val="0"/>
            </w:pPr>
            <w:r>
              <w:rPr>
                <w:sz w:val="20"/>
              </w:rPr>
              <w:t xml:space="preserve">1</w:t>
            </w:r>
          </w:p>
        </w:tc>
        <w:tc>
          <w:tcPr>
            <w:vMerge w:val="continue"/>
          </w:tcPr>
          <w:p/>
        </w:tc>
      </w:tr>
      <w:tr>
        <w:tc>
          <w:tcPr>
            <w:tcW w:w="680" w:type="dxa"/>
            <w:vMerge w:val="restart"/>
          </w:tcPr>
          <w:p>
            <w:pPr>
              <w:pStyle w:val="0"/>
            </w:pPr>
            <w:r>
              <w:rPr>
                <w:sz w:val="20"/>
              </w:rPr>
              <w:t xml:space="preserve">8.2</w:t>
            </w:r>
          </w:p>
        </w:tc>
        <w:tc>
          <w:tcPr>
            <w:tcW w:w="3458" w:type="dxa"/>
            <w:vMerge w:val="restart"/>
          </w:tcPr>
          <w:p>
            <w:pPr>
              <w:pStyle w:val="0"/>
            </w:pPr>
            <w:r>
              <w:rPr>
                <w:sz w:val="20"/>
              </w:rPr>
              <w:t xml:space="preserve">Мероприятие 08.02. Финансовое обеспечение или возмещение затрат юридических лиц на создание объектов инфраструктуры, необходимых для реализации новых инвестиционных проектов</w:t>
            </w:r>
          </w:p>
        </w:tc>
        <w:tc>
          <w:tcPr>
            <w:tcW w:w="1587" w:type="dxa"/>
            <w:vMerge w:val="restart"/>
          </w:tcPr>
          <w:p>
            <w:pPr>
              <w:pStyle w:val="0"/>
            </w:pPr>
            <w:r>
              <w:rPr>
                <w:sz w:val="20"/>
              </w:rPr>
              <w:t xml:space="preserve">2023-2026</w:t>
            </w:r>
          </w:p>
        </w:tc>
        <w:tc>
          <w:tcPr>
            <w:tcW w:w="2098" w:type="dxa"/>
          </w:tcPr>
          <w:p>
            <w:pPr>
              <w:pStyle w:val="0"/>
            </w:pPr>
            <w:r>
              <w:rPr>
                <w:sz w:val="20"/>
              </w:rPr>
              <w:t xml:space="preserve">Итого:</w:t>
            </w:r>
          </w:p>
        </w:tc>
        <w:tc>
          <w:tcPr>
            <w:tcW w:w="1531" w:type="dxa"/>
          </w:tcPr>
          <w:p>
            <w:pPr>
              <w:pStyle w:val="0"/>
            </w:pPr>
            <w:r>
              <w:rPr>
                <w:sz w:val="20"/>
              </w:rPr>
              <w:t xml:space="preserve">286870,00</w:t>
            </w:r>
          </w:p>
        </w:tc>
        <w:tc>
          <w:tcPr>
            <w:tcW w:w="1644" w:type="dxa"/>
          </w:tcPr>
          <w:p>
            <w:pPr>
              <w:pStyle w:val="0"/>
            </w:pPr>
            <w:r>
              <w:rPr>
                <w:sz w:val="20"/>
              </w:rPr>
              <w:t xml:space="preserve">30000,00</w:t>
            </w:r>
          </w:p>
        </w:tc>
        <w:tc>
          <w:tcPr>
            <w:tcW w:w="1644" w:type="dxa"/>
          </w:tcPr>
          <w:p>
            <w:pPr>
              <w:pStyle w:val="0"/>
            </w:pPr>
            <w:r>
              <w:rPr>
                <w:sz w:val="20"/>
              </w:rPr>
              <w:t xml:space="preserve">256870,00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286870,00</w:t>
            </w:r>
          </w:p>
        </w:tc>
        <w:tc>
          <w:tcPr>
            <w:tcW w:w="1644" w:type="dxa"/>
          </w:tcPr>
          <w:p>
            <w:pPr>
              <w:pStyle w:val="0"/>
            </w:pPr>
            <w:r>
              <w:rPr>
                <w:sz w:val="20"/>
              </w:rPr>
              <w:t xml:space="preserve">30000,00</w:t>
            </w:r>
          </w:p>
        </w:tc>
        <w:tc>
          <w:tcPr>
            <w:tcW w:w="1644" w:type="dxa"/>
          </w:tcPr>
          <w:p>
            <w:pPr>
              <w:pStyle w:val="0"/>
            </w:pPr>
            <w:r>
              <w:rPr>
                <w:sz w:val="20"/>
              </w:rPr>
              <w:t xml:space="preserve">256870,00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r>
          </w:p>
        </w:tc>
        <w:tc>
          <w:tcPr>
            <w:vMerge w:val="continue"/>
          </w:tcPr>
          <w:p/>
        </w:tc>
      </w:tr>
      <w:tr>
        <w:tc>
          <w:tcPr>
            <w:vMerge w:val="continue"/>
          </w:tcPr>
          <w:p/>
        </w:tc>
        <w:tc>
          <w:tcPr>
            <w:tcW w:w="3458" w:type="dxa"/>
            <w:vMerge w:val="restart"/>
          </w:tcPr>
          <w:p>
            <w:pPr>
              <w:pStyle w:val="0"/>
            </w:pPr>
            <w:r>
              <w:rPr>
                <w:sz w:val="20"/>
              </w:rPr>
              <w:t xml:space="preserve">Результат 1. Новые инвестиционные проекты включены в сводный перечень новых инвестиционных проектов, формируемый Минэкономразвития России,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w:t>
            </w:r>
          </w:p>
        </w:tc>
        <w:tc>
          <w:tcPr>
            <w:tcW w:w="1644" w:type="dxa"/>
          </w:tcPr>
          <w:p>
            <w:pPr>
              <w:pStyle w:val="0"/>
            </w:pPr>
            <w:r>
              <w:rPr>
                <w:sz w:val="20"/>
              </w:rPr>
              <w:t xml:space="preserve">1</w:t>
            </w:r>
          </w:p>
        </w:tc>
        <w:tc>
          <w:tcPr>
            <w:tcW w:w="1644" w:type="dxa"/>
          </w:tcPr>
          <w:p>
            <w:pPr>
              <w:pStyle w:val="0"/>
            </w:pPr>
            <w:r>
              <w:rPr>
                <w:sz w:val="20"/>
              </w:rPr>
              <w:t xml:space="preserve">-</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2. Введены в эксплуатацию объекты инфраструктуры и (или) осуществлено подключение (технологическое присоединение) к сетям инженерно-технического обеспечения объектов инфраструктуры за счет средств субсидии,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7</w:t>
            </w:r>
          </w:p>
        </w:tc>
        <w:tc>
          <w:tcPr>
            <w:tcW w:w="1644" w:type="dxa"/>
          </w:tcPr>
          <w:p>
            <w:pPr>
              <w:pStyle w:val="0"/>
            </w:pPr>
            <w:r>
              <w:rPr>
                <w:sz w:val="20"/>
              </w:rPr>
              <w:t xml:space="preserve">-</w:t>
            </w:r>
          </w:p>
        </w:tc>
        <w:tc>
          <w:tcPr>
            <w:tcW w:w="1644" w:type="dxa"/>
          </w:tcPr>
          <w:p>
            <w:pPr>
              <w:pStyle w:val="0"/>
            </w:pPr>
            <w:r>
              <w:rPr>
                <w:sz w:val="20"/>
              </w:rPr>
              <w:t xml:space="preserve">3</w:t>
            </w:r>
          </w:p>
        </w:tc>
        <w:tc>
          <w:tcPr>
            <w:tcW w:w="1077" w:type="dxa"/>
          </w:tcPr>
          <w:p>
            <w:pPr>
              <w:pStyle w:val="0"/>
            </w:pPr>
            <w:r>
              <w:rPr>
                <w:sz w:val="20"/>
              </w:rPr>
              <w:t xml:space="preserve">3</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3</w:t>
            </w:r>
          </w:p>
        </w:tc>
        <w:tc>
          <w:tcPr>
            <w:tcW w:w="1587" w:type="dxa"/>
          </w:tcPr>
          <w:p>
            <w:pPr>
              <w:pStyle w:val="0"/>
            </w:pPr>
            <w:r>
              <w:rPr>
                <w:sz w:val="20"/>
              </w:rPr>
              <w:t xml:space="preserve">1</w:t>
            </w:r>
          </w:p>
        </w:tc>
        <w:tc>
          <w:tcPr>
            <w:tcW w:w="1417" w:type="dxa"/>
          </w:tcPr>
          <w:p>
            <w:pPr>
              <w:pStyle w:val="0"/>
            </w:pPr>
            <w:r>
              <w:rPr>
                <w:sz w:val="20"/>
              </w:rPr>
              <w:t xml:space="preserve">-</w:t>
            </w:r>
          </w:p>
        </w:tc>
        <w:tc>
          <w:tcPr>
            <w:vMerge w:val="continue"/>
          </w:tcPr>
          <w:p/>
        </w:tc>
      </w:tr>
      <w:tr>
        <w:tc>
          <w:tcPr>
            <w:tcW w:w="680" w:type="dxa"/>
            <w:vMerge w:val="restart"/>
          </w:tcPr>
          <w:p>
            <w:pPr>
              <w:pStyle w:val="0"/>
              <w:outlineLvl w:val="3"/>
            </w:pPr>
            <w:r>
              <w:rPr>
                <w:sz w:val="20"/>
              </w:rPr>
              <w:t xml:space="preserve">9</w:t>
            </w:r>
          </w:p>
        </w:tc>
        <w:tc>
          <w:tcPr>
            <w:tcW w:w="3458" w:type="dxa"/>
            <w:vMerge w:val="restart"/>
          </w:tcPr>
          <w:p>
            <w:pPr>
              <w:pStyle w:val="0"/>
            </w:pPr>
            <w:r>
              <w:rPr>
                <w:sz w:val="20"/>
              </w:rPr>
              <w:t xml:space="preserve">Основное мероприятие L2. Федеральный проект "Адресная поддержка повышения производительности труда на предприятиях"</w:t>
            </w:r>
          </w:p>
        </w:tc>
        <w:tc>
          <w:tcPr>
            <w:tcW w:w="1587" w:type="dxa"/>
            <w:vMerge w:val="restart"/>
          </w:tcPr>
          <w:p>
            <w:pPr>
              <w:pStyle w:val="0"/>
            </w:pPr>
            <w:r>
              <w:rPr>
                <w:sz w:val="20"/>
              </w:rPr>
              <w:t xml:space="preserve">2023-2024</w:t>
            </w:r>
          </w:p>
        </w:tc>
        <w:tc>
          <w:tcPr>
            <w:tcW w:w="2098" w:type="dxa"/>
          </w:tcPr>
          <w:p>
            <w:pPr>
              <w:pStyle w:val="0"/>
            </w:pPr>
            <w:r>
              <w:rPr>
                <w:sz w:val="20"/>
              </w:rPr>
              <w:t xml:space="preserve">Итого:</w:t>
            </w:r>
          </w:p>
        </w:tc>
        <w:tc>
          <w:tcPr>
            <w:tcW w:w="1531" w:type="dxa"/>
          </w:tcPr>
          <w:p>
            <w:pPr>
              <w:pStyle w:val="0"/>
            </w:pPr>
            <w:r>
              <w:rPr>
                <w:sz w:val="20"/>
              </w:rPr>
              <w:t xml:space="preserve">356396,00</w:t>
            </w:r>
          </w:p>
        </w:tc>
        <w:tc>
          <w:tcPr>
            <w:tcW w:w="1644" w:type="dxa"/>
          </w:tcPr>
          <w:p>
            <w:pPr>
              <w:pStyle w:val="0"/>
            </w:pPr>
            <w:r>
              <w:rPr>
                <w:sz w:val="20"/>
              </w:rPr>
              <w:t xml:space="preserve">222818,00</w:t>
            </w:r>
          </w:p>
        </w:tc>
        <w:tc>
          <w:tcPr>
            <w:tcW w:w="1644" w:type="dxa"/>
          </w:tcPr>
          <w:p>
            <w:pPr>
              <w:pStyle w:val="0"/>
            </w:pPr>
            <w:r>
              <w:rPr>
                <w:sz w:val="20"/>
              </w:rPr>
              <w:t xml:space="preserve">133578,00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170935,00</w:t>
            </w:r>
          </w:p>
        </w:tc>
        <w:tc>
          <w:tcPr>
            <w:tcW w:w="1644" w:type="dxa"/>
          </w:tcPr>
          <w:p>
            <w:pPr>
              <w:pStyle w:val="0"/>
            </w:pPr>
            <w:r>
              <w:rPr>
                <w:sz w:val="20"/>
              </w:rPr>
              <w:t xml:space="preserve">114290,00</w:t>
            </w:r>
          </w:p>
        </w:tc>
        <w:tc>
          <w:tcPr>
            <w:tcW w:w="1644" w:type="dxa"/>
          </w:tcPr>
          <w:p>
            <w:pPr>
              <w:pStyle w:val="0"/>
            </w:pPr>
            <w:r>
              <w:rPr>
                <w:sz w:val="20"/>
              </w:rPr>
              <w:t xml:space="preserve">56645,00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185461,00</w:t>
            </w:r>
          </w:p>
        </w:tc>
        <w:tc>
          <w:tcPr>
            <w:tcW w:w="1644" w:type="dxa"/>
          </w:tcPr>
          <w:p>
            <w:pPr>
              <w:pStyle w:val="0"/>
            </w:pPr>
            <w:r>
              <w:rPr>
                <w:sz w:val="20"/>
              </w:rPr>
              <w:t xml:space="preserve">108528,00</w:t>
            </w:r>
          </w:p>
        </w:tc>
        <w:tc>
          <w:tcPr>
            <w:tcW w:w="1644" w:type="dxa"/>
          </w:tcPr>
          <w:p>
            <w:pPr>
              <w:pStyle w:val="0"/>
            </w:pPr>
            <w:r>
              <w:rPr>
                <w:sz w:val="20"/>
              </w:rPr>
              <w:t xml:space="preserve">76933,00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9.1</w:t>
            </w:r>
          </w:p>
        </w:tc>
        <w:tc>
          <w:tcPr>
            <w:tcW w:w="3458" w:type="dxa"/>
            <w:vMerge w:val="restart"/>
          </w:tcPr>
          <w:p>
            <w:pPr>
              <w:pStyle w:val="0"/>
            </w:pPr>
            <w:r>
              <w:rPr>
                <w:sz w:val="20"/>
              </w:rPr>
              <w:t xml:space="preserve">Мероприятие L2.01.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по повышению производительности труда на предприятиях</w:t>
            </w:r>
          </w:p>
        </w:tc>
        <w:tc>
          <w:tcPr>
            <w:tcW w:w="1587" w:type="dxa"/>
            <w:vMerge w:val="restart"/>
          </w:tcPr>
          <w:p>
            <w:pPr>
              <w:pStyle w:val="0"/>
            </w:pPr>
            <w:r>
              <w:rPr>
                <w:sz w:val="20"/>
              </w:rPr>
              <w:t xml:space="preserve">2023-2024</w:t>
            </w:r>
          </w:p>
        </w:tc>
        <w:tc>
          <w:tcPr>
            <w:tcW w:w="2098" w:type="dxa"/>
          </w:tcPr>
          <w:p>
            <w:pPr>
              <w:pStyle w:val="0"/>
            </w:pPr>
            <w:r>
              <w:rPr>
                <w:sz w:val="20"/>
              </w:rPr>
              <w:t xml:space="preserve">Итого:</w:t>
            </w:r>
          </w:p>
        </w:tc>
        <w:tc>
          <w:tcPr>
            <w:tcW w:w="1531" w:type="dxa"/>
          </w:tcPr>
          <w:p>
            <w:pPr>
              <w:pStyle w:val="0"/>
            </w:pPr>
            <w:r>
              <w:rPr>
                <w:sz w:val="20"/>
              </w:rPr>
              <w:t xml:space="preserve">145290,00</w:t>
            </w:r>
          </w:p>
        </w:tc>
        <w:tc>
          <w:tcPr>
            <w:tcW w:w="1644" w:type="dxa"/>
          </w:tcPr>
          <w:p>
            <w:pPr>
              <w:pStyle w:val="0"/>
            </w:pPr>
            <w:r>
              <w:rPr>
                <w:sz w:val="20"/>
              </w:rPr>
              <w:t xml:space="preserve">114290,00</w:t>
            </w:r>
          </w:p>
        </w:tc>
        <w:tc>
          <w:tcPr>
            <w:tcW w:w="1644" w:type="dxa"/>
          </w:tcPr>
          <w:p>
            <w:pPr>
              <w:pStyle w:val="0"/>
            </w:pPr>
            <w:r>
              <w:rPr>
                <w:sz w:val="20"/>
              </w:rPr>
              <w:t xml:space="preserve">31000,00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145290,00</w:t>
            </w:r>
          </w:p>
        </w:tc>
        <w:tc>
          <w:tcPr>
            <w:tcW w:w="1644" w:type="dxa"/>
          </w:tcPr>
          <w:p>
            <w:pPr>
              <w:pStyle w:val="0"/>
            </w:pPr>
            <w:r>
              <w:rPr>
                <w:sz w:val="20"/>
              </w:rPr>
              <w:t xml:space="preserve">114290,00</w:t>
            </w:r>
          </w:p>
        </w:tc>
        <w:tc>
          <w:tcPr>
            <w:tcW w:w="1644" w:type="dxa"/>
          </w:tcPr>
          <w:p>
            <w:pPr>
              <w:pStyle w:val="0"/>
            </w:pPr>
            <w:r>
              <w:rPr>
                <w:sz w:val="20"/>
              </w:rPr>
              <w:t xml:space="preserve">31000,00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Заключены договоры оказания консалтинговых услуг, предметом которых является выполнение комплекса мероприятий по оказанию методологической, консультационной и информационной поддержки по повышению производительности труда на предприятиях - участниках национального проекта "Производительность труда",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40</w:t>
            </w:r>
          </w:p>
        </w:tc>
        <w:tc>
          <w:tcPr>
            <w:tcW w:w="1644" w:type="dxa"/>
          </w:tcPr>
          <w:p>
            <w:pPr>
              <w:pStyle w:val="0"/>
            </w:pPr>
            <w:r>
              <w:rPr>
                <w:sz w:val="20"/>
              </w:rPr>
              <w:t xml:space="preserve">30</w:t>
            </w:r>
          </w:p>
        </w:tc>
        <w:tc>
          <w:tcPr>
            <w:tcW w:w="1644" w:type="dxa"/>
          </w:tcPr>
          <w:p>
            <w:pPr>
              <w:pStyle w:val="0"/>
            </w:pPr>
            <w:r>
              <w:rPr>
                <w:sz w:val="20"/>
              </w:rPr>
              <w:t xml:space="preserve">10</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pPr>
            <w:r>
              <w:rPr>
                <w:sz w:val="20"/>
              </w:rPr>
              <w:t xml:space="preserve">9.2</w:t>
            </w:r>
          </w:p>
        </w:tc>
        <w:tc>
          <w:tcPr>
            <w:tcW w:w="3458" w:type="dxa"/>
            <w:vMerge w:val="restart"/>
          </w:tcPr>
          <w:p>
            <w:pPr>
              <w:pStyle w:val="0"/>
            </w:pPr>
            <w:r>
              <w:rPr>
                <w:sz w:val="20"/>
              </w:rPr>
              <w:t xml:space="preserve">Мероприятие L2.02. Государственная поддержка субъектов Российской Федерации в целях достижения результатов национального проекта "Производительность труда" (Обеспечение деятельности автономной некоммерческой организации "Агентство инвестиционного развития Московской области" в целях достижения результатов национального проекта "Производительность труда")</w:t>
            </w:r>
          </w:p>
        </w:tc>
        <w:tc>
          <w:tcPr>
            <w:tcW w:w="1587" w:type="dxa"/>
            <w:vMerge w:val="restart"/>
          </w:tcPr>
          <w:p>
            <w:pPr>
              <w:pStyle w:val="0"/>
            </w:pPr>
            <w:r>
              <w:rPr>
                <w:sz w:val="20"/>
              </w:rPr>
              <w:t xml:space="preserve">2023-2024</w:t>
            </w:r>
          </w:p>
        </w:tc>
        <w:tc>
          <w:tcPr>
            <w:tcW w:w="2098" w:type="dxa"/>
          </w:tcPr>
          <w:p>
            <w:pPr>
              <w:pStyle w:val="0"/>
            </w:pPr>
            <w:r>
              <w:rPr>
                <w:sz w:val="20"/>
              </w:rPr>
              <w:t xml:space="preserve">Итого:</w:t>
            </w:r>
          </w:p>
        </w:tc>
        <w:tc>
          <w:tcPr>
            <w:tcW w:w="1531" w:type="dxa"/>
          </w:tcPr>
          <w:p>
            <w:pPr>
              <w:pStyle w:val="0"/>
            </w:pPr>
            <w:r>
              <w:rPr>
                <w:sz w:val="20"/>
              </w:rPr>
              <w:t xml:space="preserve">211106,00</w:t>
            </w:r>
          </w:p>
        </w:tc>
        <w:tc>
          <w:tcPr>
            <w:tcW w:w="1644" w:type="dxa"/>
          </w:tcPr>
          <w:p>
            <w:pPr>
              <w:pStyle w:val="0"/>
            </w:pPr>
            <w:r>
              <w:rPr>
                <w:sz w:val="20"/>
              </w:rPr>
              <w:t xml:space="preserve">108528,00</w:t>
            </w:r>
          </w:p>
        </w:tc>
        <w:tc>
          <w:tcPr>
            <w:tcW w:w="1644" w:type="dxa"/>
          </w:tcPr>
          <w:p>
            <w:pPr>
              <w:pStyle w:val="0"/>
            </w:pPr>
            <w:r>
              <w:rPr>
                <w:sz w:val="20"/>
              </w:rPr>
              <w:t xml:space="preserve">102578,00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25645,00</w:t>
            </w:r>
          </w:p>
        </w:tc>
        <w:tc>
          <w:tcPr>
            <w:tcW w:w="1644" w:type="dxa"/>
          </w:tcPr>
          <w:p>
            <w:pPr>
              <w:pStyle w:val="0"/>
            </w:pPr>
            <w:r>
              <w:rPr>
                <w:sz w:val="20"/>
              </w:rPr>
              <w:t xml:space="preserve">-</w:t>
            </w:r>
          </w:p>
        </w:tc>
        <w:tc>
          <w:tcPr>
            <w:tcW w:w="1644" w:type="dxa"/>
          </w:tcPr>
          <w:p>
            <w:pPr>
              <w:pStyle w:val="0"/>
            </w:pPr>
            <w:r>
              <w:rPr>
                <w:sz w:val="20"/>
              </w:rPr>
              <w:t xml:space="preserve">25645,00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185461,00</w:t>
            </w:r>
          </w:p>
        </w:tc>
        <w:tc>
          <w:tcPr>
            <w:tcW w:w="1644" w:type="dxa"/>
          </w:tcPr>
          <w:p>
            <w:pPr>
              <w:pStyle w:val="0"/>
            </w:pPr>
            <w:r>
              <w:rPr>
                <w:sz w:val="20"/>
              </w:rPr>
              <w:t xml:space="preserve">108528,00</w:t>
            </w:r>
          </w:p>
        </w:tc>
        <w:tc>
          <w:tcPr>
            <w:tcW w:w="1644" w:type="dxa"/>
          </w:tcPr>
          <w:p>
            <w:pPr>
              <w:pStyle w:val="0"/>
            </w:pPr>
            <w:r>
              <w:rPr>
                <w:sz w:val="20"/>
              </w:rPr>
              <w:t xml:space="preserve">76933,00</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vMerge w:val="continue"/>
          </w:tcPr>
          <w:p/>
        </w:tc>
        <w:tc>
          <w:tcPr>
            <w:tcW w:w="3458" w:type="dxa"/>
            <w:vMerge w:val="restart"/>
          </w:tcPr>
          <w:p>
            <w:pPr>
              <w:pStyle w:val="0"/>
            </w:pPr>
            <w:r>
              <w:rPr>
                <w:sz w:val="20"/>
              </w:rPr>
              <w:t xml:space="preserve">Результат 1.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 усл.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179</w:t>
            </w:r>
          </w:p>
        </w:tc>
        <w:tc>
          <w:tcPr>
            <w:tcW w:w="1644" w:type="dxa"/>
          </w:tcPr>
          <w:p>
            <w:pPr>
              <w:pStyle w:val="0"/>
            </w:pPr>
            <w:r>
              <w:rPr>
                <w:sz w:val="20"/>
              </w:rPr>
              <w:t xml:space="preserve">127</w:t>
            </w:r>
          </w:p>
        </w:tc>
        <w:tc>
          <w:tcPr>
            <w:tcW w:w="1644" w:type="dxa"/>
          </w:tcPr>
          <w:p>
            <w:pPr>
              <w:pStyle w:val="0"/>
            </w:pPr>
            <w:r>
              <w:rPr>
                <w:sz w:val="20"/>
              </w:rPr>
              <w:t xml:space="preserve">179</w:t>
            </w:r>
          </w:p>
        </w:tc>
        <w:tc>
          <w:tcPr>
            <w:tcW w:w="1077" w:type="dxa"/>
          </w:tcPr>
          <w:p>
            <w:pPr>
              <w:pStyle w:val="0"/>
            </w:pPr>
            <w:r>
              <w:rPr>
                <w:sz w:val="20"/>
              </w:rPr>
              <w:t xml:space="preserve">-</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680" w:type="dxa"/>
            <w:vMerge w:val="restart"/>
          </w:tcPr>
          <w:p>
            <w:pPr>
              <w:pStyle w:val="0"/>
              <w:outlineLvl w:val="3"/>
            </w:pPr>
            <w:r>
              <w:rPr>
                <w:sz w:val="20"/>
              </w:rPr>
              <w:t xml:space="preserve">10</w:t>
            </w:r>
          </w:p>
        </w:tc>
        <w:tc>
          <w:tcPr>
            <w:tcW w:w="3458" w:type="dxa"/>
            <w:vMerge w:val="restart"/>
          </w:tcPr>
          <w:p>
            <w:pPr>
              <w:pStyle w:val="0"/>
            </w:pPr>
            <w:r>
              <w:rPr>
                <w:sz w:val="20"/>
              </w:rPr>
              <w:t xml:space="preserve">Основное мероприятие 50. Разработка и реализация проектов государственно-частного партнерства, а также сопровождение инвестиционных проектов</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gridSpan w:val="10"/>
            <w:tcW w:w="14400" w:type="dxa"/>
            <w:vMerge w:val="restart"/>
          </w:tcPr>
          <w:p>
            <w:pPr>
              <w:pStyle w:val="0"/>
            </w:pPr>
            <w:r>
              <w:rPr>
                <w:sz w:val="20"/>
              </w:rPr>
              <w:t xml:space="preserve">В пределах средств на обеспечение деятельности ЦИО и ГО Московской области</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80" w:type="dxa"/>
            <w:vMerge w:val="restart"/>
          </w:tcPr>
          <w:p>
            <w:pPr>
              <w:pStyle w:val="0"/>
            </w:pPr>
            <w:r>
              <w:rPr>
                <w:sz w:val="20"/>
              </w:rPr>
              <w:t xml:space="preserve">10.1</w:t>
            </w:r>
          </w:p>
        </w:tc>
        <w:tc>
          <w:tcPr>
            <w:tcW w:w="3458" w:type="dxa"/>
            <w:vMerge w:val="restart"/>
          </w:tcPr>
          <w:p>
            <w:pPr>
              <w:pStyle w:val="0"/>
            </w:pPr>
            <w:r>
              <w:rPr>
                <w:sz w:val="20"/>
              </w:rPr>
              <w:t xml:space="preserve">Мероприятие 50.01. Координация деятельности центральных исполнительных органов Московской области и органов местного самоуправления муниципальных образований Московской области по разработке и реализации проектов государственно-частного партнерства</w:t>
            </w:r>
          </w:p>
        </w:tc>
        <w:tc>
          <w:tcPr>
            <w:tcW w:w="1587" w:type="dxa"/>
            <w:vMerge w:val="restart"/>
          </w:tcPr>
          <w:p>
            <w:pPr>
              <w:pStyle w:val="0"/>
            </w:pPr>
            <w:r>
              <w:rPr>
                <w:sz w:val="20"/>
              </w:rPr>
              <w:t xml:space="preserve">2023-2027</w:t>
            </w:r>
          </w:p>
        </w:tc>
        <w:tc>
          <w:tcPr>
            <w:tcW w:w="2098" w:type="dxa"/>
          </w:tcPr>
          <w:p>
            <w:pPr>
              <w:pStyle w:val="0"/>
            </w:pPr>
            <w:r>
              <w:rPr>
                <w:sz w:val="20"/>
              </w:rPr>
              <w:t xml:space="preserve">Итого:</w:t>
            </w:r>
          </w:p>
        </w:tc>
        <w:tc>
          <w:tcPr>
            <w:gridSpan w:val="10"/>
            <w:tcW w:w="14400" w:type="dxa"/>
            <w:vMerge w:val="restart"/>
          </w:tcPr>
          <w:p>
            <w:pPr>
              <w:pStyle w:val="0"/>
            </w:pPr>
            <w:r>
              <w:rPr>
                <w:sz w:val="20"/>
              </w:rPr>
              <w:t xml:space="preserve">В пределах средств на обеспечение деятельности ЦИО и ГО Московской области</w:t>
            </w:r>
          </w:p>
        </w:tc>
        <w:tc>
          <w:tcPr>
            <w:tcW w:w="1531" w:type="dxa"/>
            <w:vMerge w:val="restart"/>
          </w:tcPr>
          <w:p>
            <w:pPr>
              <w:pStyle w:val="0"/>
            </w:pPr>
            <w:r>
              <w:rPr>
                <w:sz w:val="20"/>
              </w:rPr>
              <w:t xml:space="preserve">Мининвест Московской области, Минздрав Московской области, МТДи Московской области, Минэкологии Московской области, Минстрой Московской области, Министерство ЖКХ Московской области, Мингосуправления Московской области, Минэнерго Московской области, Министерство образования Московской области, Минкультуры и туризма Московской области, Минсоцразвития Московской области, Минсельхозпрод Московской области, Комитет по конкурентной политике Московской области, Мособлкомцен</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458" w:type="dxa"/>
            <w:vMerge w:val="restart"/>
          </w:tcPr>
          <w:p>
            <w:pPr>
              <w:pStyle w:val="0"/>
            </w:pPr>
            <w:r>
              <w:rPr>
                <w:sz w:val="20"/>
              </w:rPr>
              <w:t xml:space="preserve">Результат 1. Сокращен срок подготовки соглашений проектов государственно-частного партнерства, направленных на решение насущных проблем и экономию бюджетных средств, месяцев</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w:t>
            </w:r>
          </w:p>
        </w:tc>
        <w:tc>
          <w:tcPr>
            <w:tcW w:w="1644" w:type="dxa"/>
          </w:tcPr>
          <w:p>
            <w:pPr>
              <w:pStyle w:val="0"/>
            </w:pPr>
            <w:r>
              <w:rPr>
                <w:sz w:val="20"/>
              </w:rPr>
              <w:t xml:space="preserve">11</w:t>
            </w:r>
          </w:p>
        </w:tc>
        <w:tc>
          <w:tcPr>
            <w:tcW w:w="1644" w:type="dxa"/>
          </w:tcPr>
          <w:p>
            <w:pPr>
              <w:pStyle w:val="0"/>
            </w:pPr>
            <w:r>
              <w:rPr>
                <w:sz w:val="20"/>
              </w:rPr>
              <w:t xml:space="preserve">11</w:t>
            </w:r>
          </w:p>
        </w:tc>
        <w:tc>
          <w:tcPr>
            <w:tcW w:w="1077" w:type="dxa"/>
          </w:tcPr>
          <w:p>
            <w:pPr>
              <w:pStyle w:val="0"/>
            </w:pPr>
            <w:r>
              <w:rPr>
                <w:sz w:val="20"/>
              </w:rPr>
              <w:t xml:space="preserve">11</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11</w:t>
            </w:r>
          </w:p>
        </w:tc>
        <w:tc>
          <w:tcPr>
            <w:tcW w:w="1587" w:type="dxa"/>
          </w:tcPr>
          <w:p>
            <w:pPr>
              <w:pStyle w:val="0"/>
            </w:pPr>
            <w:r>
              <w:rPr>
                <w:sz w:val="20"/>
              </w:rPr>
              <w:t xml:space="preserve">11</w:t>
            </w:r>
          </w:p>
        </w:tc>
        <w:tc>
          <w:tcPr>
            <w:tcW w:w="1417" w:type="dxa"/>
          </w:tcPr>
          <w:p>
            <w:pPr>
              <w:pStyle w:val="0"/>
            </w:pPr>
            <w:r>
              <w:rPr>
                <w:sz w:val="20"/>
              </w:rPr>
              <w:t xml:space="preserve">11</w:t>
            </w:r>
          </w:p>
        </w:tc>
        <w:tc>
          <w:tcPr>
            <w:vMerge w:val="continue"/>
          </w:tcPr>
          <w:p/>
        </w:tc>
      </w:tr>
      <w:tr>
        <w:tc>
          <w:tcPr>
            <w:tcW w:w="680" w:type="dxa"/>
            <w:vMerge w:val="restart"/>
          </w:tcPr>
          <w:p>
            <w:pPr>
              <w:pStyle w:val="0"/>
            </w:pPr>
            <w:r>
              <w:rPr>
                <w:sz w:val="20"/>
              </w:rPr>
              <w:t xml:space="preserve">10.2</w:t>
            </w:r>
          </w:p>
        </w:tc>
        <w:tc>
          <w:tcPr>
            <w:tcW w:w="3458" w:type="dxa"/>
            <w:vMerge w:val="restart"/>
          </w:tcPr>
          <w:p>
            <w:pPr>
              <w:pStyle w:val="0"/>
            </w:pPr>
            <w:r>
              <w:rPr>
                <w:sz w:val="20"/>
              </w:rPr>
              <w:t xml:space="preserve">Мероприятие 50.02. Сопровождение инвестиционных проектов в АИС "Инвестор"</w:t>
            </w:r>
          </w:p>
        </w:tc>
        <w:tc>
          <w:tcPr>
            <w:tcW w:w="1587" w:type="dxa"/>
            <w:vMerge w:val="restart"/>
          </w:tcPr>
          <w:p>
            <w:pPr>
              <w:pStyle w:val="0"/>
            </w:pPr>
            <w:r>
              <w:rPr>
                <w:sz w:val="20"/>
              </w:rPr>
              <w:t xml:space="preserve">2025-2027</w:t>
            </w:r>
          </w:p>
        </w:tc>
        <w:tc>
          <w:tcPr>
            <w:tcW w:w="2098" w:type="dxa"/>
          </w:tcPr>
          <w:p>
            <w:pPr>
              <w:pStyle w:val="0"/>
            </w:pPr>
            <w:r>
              <w:rPr>
                <w:sz w:val="20"/>
              </w:rPr>
              <w:t xml:space="preserve">Итого:</w:t>
            </w:r>
          </w:p>
        </w:tc>
        <w:tc>
          <w:tcPr>
            <w:gridSpan w:val="10"/>
            <w:tcW w:w="14400" w:type="dxa"/>
            <w:vMerge w:val="restart"/>
          </w:tcPr>
          <w:p>
            <w:pPr>
              <w:pStyle w:val="0"/>
            </w:pPr>
            <w:r>
              <w:rPr>
                <w:sz w:val="20"/>
              </w:rPr>
              <w:t xml:space="preserve">В пределах средств на обеспечение деятельности Мининвеста Московской области</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458" w:type="dxa"/>
            <w:vMerge w:val="restart"/>
          </w:tcPr>
          <w:p>
            <w:pPr>
              <w:pStyle w:val="0"/>
            </w:pPr>
            <w:r>
              <w:rPr>
                <w:sz w:val="20"/>
              </w:rPr>
              <w:t xml:space="preserve">Результат 1. Количество инвестиционных проектов, сопровождаемых в АИС "Инвестор" сотрудниками Мининвеста Московской области и командами органов местного самоуправления муниципальных образований Московской области (нарастающим итогом),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1366</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1129</w:t>
            </w:r>
          </w:p>
        </w:tc>
        <w:tc>
          <w:tcPr>
            <w:tcW w:w="1304" w:type="dxa"/>
          </w:tcPr>
          <w:p>
            <w:pPr>
              <w:pStyle w:val="0"/>
            </w:pPr>
            <w:r>
              <w:rPr>
                <w:sz w:val="20"/>
              </w:rPr>
              <w:t xml:space="preserve">1052</w:t>
            </w:r>
          </w:p>
        </w:tc>
        <w:tc>
          <w:tcPr>
            <w:tcW w:w="1474" w:type="dxa"/>
          </w:tcPr>
          <w:p>
            <w:pPr>
              <w:pStyle w:val="0"/>
            </w:pPr>
            <w:r>
              <w:rPr>
                <w:sz w:val="20"/>
              </w:rPr>
              <w:t xml:space="preserve">1077</w:t>
            </w:r>
          </w:p>
        </w:tc>
        <w:tc>
          <w:tcPr>
            <w:tcW w:w="1361" w:type="dxa"/>
          </w:tcPr>
          <w:p>
            <w:pPr>
              <w:pStyle w:val="0"/>
            </w:pPr>
            <w:r>
              <w:rPr>
                <w:sz w:val="20"/>
              </w:rPr>
              <w:t xml:space="preserve">1103</w:t>
            </w:r>
          </w:p>
        </w:tc>
        <w:tc>
          <w:tcPr>
            <w:tcW w:w="1361" w:type="dxa"/>
          </w:tcPr>
          <w:p>
            <w:pPr>
              <w:pStyle w:val="0"/>
            </w:pPr>
            <w:r>
              <w:rPr>
                <w:sz w:val="20"/>
              </w:rPr>
              <w:t xml:space="preserve">1129</w:t>
            </w:r>
          </w:p>
        </w:tc>
        <w:tc>
          <w:tcPr>
            <w:tcW w:w="1587" w:type="dxa"/>
          </w:tcPr>
          <w:p>
            <w:pPr>
              <w:pStyle w:val="0"/>
            </w:pPr>
            <w:r>
              <w:rPr>
                <w:sz w:val="20"/>
              </w:rPr>
              <w:t xml:space="preserve">1241</w:t>
            </w:r>
          </w:p>
        </w:tc>
        <w:tc>
          <w:tcPr>
            <w:tcW w:w="1417" w:type="dxa"/>
          </w:tcPr>
          <w:p>
            <w:pPr>
              <w:pStyle w:val="0"/>
            </w:pPr>
            <w:r>
              <w:rPr>
                <w:sz w:val="20"/>
              </w:rPr>
              <w:t xml:space="preserve">1366</w:t>
            </w:r>
          </w:p>
        </w:tc>
        <w:tc>
          <w:tcPr>
            <w:vMerge w:val="continue"/>
          </w:tcPr>
          <w:p/>
        </w:tc>
      </w:tr>
      <w:tr>
        <w:tc>
          <w:tcPr>
            <w:tcW w:w="680" w:type="dxa"/>
            <w:vMerge w:val="restart"/>
          </w:tcPr>
          <w:p>
            <w:pPr>
              <w:pStyle w:val="0"/>
              <w:outlineLvl w:val="3"/>
            </w:pPr>
            <w:r>
              <w:rPr>
                <w:sz w:val="20"/>
              </w:rPr>
              <w:t xml:space="preserve">11</w:t>
            </w:r>
          </w:p>
        </w:tc>
        <w:tc>
          <w:tcPr>
            <w:tcW w:w="3458" w:type="dxa"/>
            <w:vMerge w:val="restart"/>
          </w:tcPr>
          <w:p>
            <w:pPr>
              <w:pStyle w:val="0"/>
            </w:pPr>
            <w:r>
              <w:rPr>
                <w:sz w:val="20"/>
              </w:rPr>
              <w:t xml:space="preserve">Основное мероприятие Э2. Федеральный проект "Производительность труда"</w:t>
            </w:r>
          </w:p>
        </w:tc>
        <w:tc>
          <w:tcPr>
            <w:tcW w:w="1587" w:type="dxa"/>
            <w:vMerge w:val="restart"/>
          </w:tcPr>
          <w:p>
            <w:pPr>
              <w:pStyle w:val="0"/>
            </w:pPr>
            <w:r>
              <w:rPr>
                <w:sz w:val="20"/>
              </w:rPr>
              <w:t xml:space="preserve">2025-2027</w:t>
            </w:r>
          </w:p>
        </w:tc>
        <w:tc>
          <w:tcPr>
            <w:tcW w:w="2098" w:type="dxa"/>
          </w:tcPr>
          <w:p>
            <w:pPr>
              <w:pStyle w:val="0"/>
            </w:pPr>
            <w:r>
              <w:rPr>
                <w:sz w:val="20"/>
              </w:rPr>
              <w:t xml:space="preserve">Итого:</w:t>
            </w:r>
          </w:p>
        </w:tc>
        <w:tc>
          <w:tcPr>
            <w:tcW w:w="1531" w:type="dxa"/>
          </w:tcPr>
          <w:p>
            <w:pPr>
              <w:pStyle w:val="0"/>
            </w:pPr>
            <w:r>
              <w:rPr>
                <w:sz w:val="20"/>
              </w:rPr>
              <w:t xml:space="preserve">387761,00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120894,00</w:t>
            </w:r>
          </w:p>
        </w:tc>
        <w:tc>
          <w:tcPr>
            <w:tcW w:w="1587" w:type="dxa"/>
          </w:tcPr>
          <w:p>
            <w:pPr>
              <w:pStyle w:val="0"/>
            </w:pPr>
            <w:r>
              <w:rPr>
                <w:sz w:val="20"/>
              </w:rPr>
              <w:t xml:space="preserve">129633,00</w:t>
            </w:r>
          </w:p>
        </w:tc>
        <w:tc>
          <w:tcPr>
            <w:tcW w:w="1417" w:type="dxa"/>
          </w:tcPr>
          <w:p>
            <w:pPr>
              <w:pStyle w:val="0"/>
            </w:pPr>
            <w:r>
              <w:rPr>
                <w:sz w:val="20"/>
              </w:rPr>
              <w:t xml:space="preserve">137234,00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116983,00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31433,00</w:t>
            </w:r>
          </w:p>
        </w:tc>
        <w:tc>
          <w:tcPr>
            <w:tcW w:w="1587" w:type="dxa"/>
          </w:tcPr>
          <w:p>
            <w:pPr>
              <w:pStyle w:val="0"/>
            </w:pPr>
            <w:r>
              <w:rPr>
                <w:sz w:val="20"/>
              </w:rPr>
              <w:t xml:space="preserve">38890,00</w:t>
            </w:r>
          </w:p>
        </w:tc>
        <w:tc>
          <w:tcPr>
            <w:tcW w:w="1417" w:type="dxa"/>
          </w:tcPr>
          <w:p>
            <w:pPr>
              <w:pStyle w:val="0"/>
            </w:pPr>
            <w:r>
              <w:rPr>
                <w:sz w:val="20"/>
              </w:rPr>
              <w:t xml:space="preserve">46660,00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270778,00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89461,00</w:t>
            </w:r>
          </w:p>
        </w:tc>
        <w:tc>
          <w:tcPr>
            <w:tcW w:w="1587" w:type="dxa"/>
          </w:tcPr>
          <w:p>
            <w:pPr>
              <w:pStyle w:val="0"/>
            </w:pPr>
            <w:r>
              <w:rPr>
                <w:sz w:val="20"/>
              </w:rPr>
              <w:t xml:space="preserve">90743,00</w:t>
            </w:r>
          </w:p>
        </w:tc>
        <w:tc>
          <w:tcPr>
            <w:tcW w:w="1417" w:type="dxa"/>
          </w:tcPr>
          <w:p>
            <w:pPr>
              <w:pStyle w:val="0"/>
            </w:pPr>
            <w:r>
              <w:rPr>
                <w:sz w:val="20"/>
              </w:rPr>
              <w:t xml:space="preserve">90574,00</w:t>
            </w:r>
          </w:p>
        </w:tc>
        <w:tc>
          <w:tcPr>
            <w:vMerge w:val="continue"/>
          </w:tcPr>
          <w:p/>
        </w:tc>
      </w:tr>
      <w:tr>
        <w:tc>
          <w:tcPr>
            <w:tcW w:w="680" w:type="dxa"/>
            <w:vMerge w:val="restart"/>
          </w:tcPr>
          <w:p>
            <w:pPr>
              <w:pStyle w:val="0"/>
            </w:pPr>
            <w:r>
              <w:rPr>
                <w:sz w:val="20"/>
              </w:rPr>
              <w:t xml:space="preserve">11.1</w:t>
            </w:r>
          </w:p>
        </w:tc>
        <w:tc>
          <w:tcPr>
            <w:tcW w:w="3458" w:type="dxa"/>
            <w:vMerge w:val="restart"/>
          </w:tcPr>
          <w:bookmarkStart w:id="2655" w:name="P2655"/>
          <w:bookmarkEnd w:id="2655"/>
          <w:p>
            <w:pPr>
              <w:pStyle w:val="0"/>
            </w:pPr>
            <w:r>
              <w:rPr>
                <w:sz w:val="20"/>
              </w:rPr>
              <w:t xml:space="preserve">Мероприятие Э2.01. Государственная поддержка субъектов Российской Федерации в целях достижения результатов федерального проекта "Производительность труда" (Обеспечение деятельности автономной некоммерческой организации "Агентство инвестиционного развития Московской области" в целях достижения результатов федерального проекта "Производительность труда")</w:t>
            </w:r>
          </w:p>
        </w:tc>
        <w:tc>
          <w:tcPr>
            <w:tcW w:w="1587" w:type="dxa"/>
            <w:vMerge w:val="restart"/>
          </w:tcPr>
          <w:p>
            <w:pPr>
              <w:pStyle w:val="0"/>
            </w:pPr>
            <w:r>
              <w:rPr>
                <w:sz w:val="20"/>
              </w:rPr>
              <w:t xml:space="preserve">2025-2027</w:t>
            </w:r>
          </w:p>
        </w:tc>
        <w:tc>
          <w:tcPr>
            <w:tcW w:w="2098" w:type="dxa"/>
          </w:tcPr>
          <w:p>
            <w:pPr>
              <w:pStyle w:val="0"/>
            </w:pPr>
            <w:r>
              <w:rPr>
                <w:sz w:val="20"/>
              </w:rPr>
              <w:t xml:space="preserve">Итого:</w:t>
            </w:r>
          </w:p>
        </w:tc>
        <w:tc>
          <w:tcPr>
            <w:tcW w:w="1531" w:type="dxa"/>
          </w:tcPr>
          <w:p>
            <w:pPr>
              <w:pStyle w:val="0"/>
            </w:pPr>
            <w:r>
              <w:rPr>
                <w:sz w:val="20"/>
              </w:rPr>
              <w:t xml:space="preserve">387761,00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120894,00</w:t>
            </w:r>
          </w:p>
        </w:tc>
        <w:tc>
          <w:tcPr>
            <w:tcW w:w="1587" w:type="dxa"/>
          </w:tcPr>
          <w:p>
            <w:pPr>
              <w:pStyle w:val="0"/>
            </w:pPr>
            <w:r>
              <w:rPr>
                <w:sz w:val="20"/>
              </w:rPr>
              <w:t xml:space="preserve">129633,00</w:t>
            </w:r>
          </w:p>
        </w:tc>
        <w:tc>
          <w:tcPr>
            <w:tcW w:w="1417" w:type="dxa"/>
          </w:tcPr>
          <w:p>
            <w:pPr>
              <w:pStyle w:val="0"/>
            </w:pPr>
            <w:r>
              <w:rPr>
                <w:sz w:val="20"/>
              </w:rPr>
              <w:t xml:space="preserve">137234,00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116983,00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31433,00</w:t>
            </w:r>
          </w:p>
        </w:tc>
        <w:tc>
          <w:tcPr>
            <w:tcW w:w="1587" w:type="dxa"/>
          </w:tcPr>
          <w:p>
            <w:pPr>
              <w:pStyle w:val="0"/>
            </w:pPr>
            <w:r>
              <w:rPr>
                <w:sz w:val="20"/>
              </w:rPr>
              <w:t xml:space="preserve">38890,00</w:t>
            </w:r>
          </w:p>
        </w:tc>
        <w:tc>
          <w:tcPr>
            <w:tcW w:w="1417" w:type="dxa"/>
          </w:tcPr>
          <w:p>
            <w:pPr>
              <w:pStyle w:val="0"/>
            </w:pPr>
            <w:r>
              <w:rPr>
                <w:sz w:val="20"/>
              </w:rPr>
              <w:t xml:space="preserve">46660,00</w:t>
            </w:r>
          </w:p>
        </w:tc>
        <w:tc>
          <w:tcPr>
            <w:vMerge w:val="continue"/>
          </w:tcPr>
          <w:p/>
        </w:tc>
      </w:tr>
      <w:tr>
        <w:tc>
          <w:tcPr>
            <w:vMerge w:val="continue"/>
          </w:tcPr>
          <w:p/>
        </w:tc>
        <w:tc>
          <w:tcPr>
            <w:vMerge w:val="continue"/>
          </w:tcPr>
          <w:p/>
        </w:tc>
        <w:tc>
          <w:tcPr>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270778,00</w:t>
            </w:r>
          </w:p>
        </w:tc>
        <w:tc>
          <w:tcPr>
            <w:tcW w:w="1644" w:type="dxa"/>
          </w:tcPr>
          <w:p>
            <w:pPr>
              <w:pStyle w:val="0"/>
            </w:pPr>
            <w:r>
              <w:rPr>
                <w:sz w:val="20"/>
              </w:rPr>
              <w:t xml:space="preserve">-</w:t>
            </w:r>
          </w:p>
        </w:tc>
        <w:tc>
          <w:tcPr>
            <w:tcW w:w="1644" w:type="dxa"/>
          </w:tcPr>
          <w:p>
            <w:pPr>
              <w:pStyle w:val="0"/>
            </w:pPr>
            <w:r>
              <w:rPr>
                <w:sz w:val="20"/>
              </w:rPr>
              <w:t xml:space="preserve">-</w:t>
            </w:r>
          </w:p>
        </w:tc>
        <w:tc>
          <w:tcPr>
            <w:gridSpan w:val="5"/>
            <w:tcW w:w="6577" w:type="dxa"/>
          </w:tcPr>
          <w:p>
            <w:pPr>
              <w:pStyle w:val="0"/>
            </w:pPr>
            <w:r>
              <w:rPr>
                <w:sz w:val="20"/>
              </w:rPr>
              <w:t xml:space="preserve">89461,00</w:t>
            </w:r>
          </w:p>
        </w:tc>
        <w:tc>
          <w:tcPr>
            <w:tcW w:w="1587" w:type="dxa"/>
          </w:tcPr>
          <w:p>
            <w:pPr>
              <w:pStyle w:val="0"/>
            </w:pPr>
            <w:r>
              <w:rPr>
                <w:sz w:val="20"/>
              </w:rPr>
              <w:t xml:space="preserve">90743,00</w:t>
            </w:r>
          </w:p>
        </w:tc>
        <w:tc>
          <w:tcPr>
            <w:tcW w:w="1417" w:type="dxa"/>
          </w:tcPr>
          <w:p>
            <w:pPr>
              <w:pStyle w:val="0"/>
            </w:pPr>
            <w:r>
              <w:rPr>
                <w:sz w:val="20"/>
              </w:rPr>
              <w:t xml:space="preserve">90574,00</w:t>
            </w:r>
          </w:p>
        </w:tc>
        <w:tc>
          <w:tcPr>
            <w:vMerge w:val="continue"/>
          </w:tcPr>
          <w:p/>
        </w:tc>
      </w:tr>
      <w:tr>
        <w:tc>
          <w:tcPr>
            <w:vMerge w:val="continue"/>
          </w:tcPr>
          <w:p/>
        </w:tc>
        <w:tc>
          <w:tcPr>
            <w:tcW w:w="3458" w:type="dxa"/>
            <w:vMerge w:val="restart"/>
          </w:tcPr>
          <w:p>
            <w:pPr>
              <w:pStyle w:val="0"/>
            </w:pPr>
            <w:r>
              <w:rPr>
                <w:sz w:val="20"/>
              </w:rPr>
              <w:t xml:space="preserve">Результат 1. Реализовано проектов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 единиц</w:t>
            </w:r>
          </w:p>
        </w:tc>
        <w:tc>
          <w:tcPr>
            <w:tcW w:w="1587" w:type="dxa"/>
            <w:vMerge w:val="restart"/>
          </w:tcPr>
          <w:p>
            <w:pPr>
              <w:pStyle w:val="0"/>
            </w:pPr>
            <w:r>
              <w:rPr>
                <w:sz w:val="20"/>
              </w:rPr>
              <w:t xml:space="preserve">Х</w:t>
            </w:r>
          </w:p>
        </w:tc>
        <w:tc>
          <w:tcPr>
            <w:tcW w:w="2098" w:type="dxa"/>
            <w:vMerge w:val="restart"/>
          </w:tcPr>
          <w:p>
            <w:pPr>
              <w:pStyle w:val="0"/>
            </w:pPr>
            <w:r>
              <w:rPr>
                <w:sz w:val="20"/>
              </w:rPr>
              <w:t xml:space="preserve">Х</w:t>
            </w:r>
          </w:p>
        </w:tc>
        <w:tc>
          <w:tcPr>
            <w:tcW w:w="1531" w:type="dxa"/>
            <w:vMerge w:val="restart"/>
          </w:tcPr>
          <w:p>
            <w:pPr>
              <w:pStyle w:val="0"/>
            </w:pPr>
            <w:r>
              <w:rPr>
                <w:sz w:val="20"/>
              </w:rPr>
              <w:t xml:space="preserve">Всего</w:t>
            </w:r>
          </w:p>
        </w:tc>
        <w:tc>
          <w:tcPr>
            <w:tcW w:w="1644" w:type="dxa"/>
            <w:vMerge w:val="restart"/>
          </w:tcPr>
          <w:p>
            <w:pPr>
              <w:pStyle w:val="0"/>
            </w:pPr>
            <w:r>
              <w:rPr>
                <w:sz w:val="20"/>
              </w:rPr>
              <w:t xml:space="preserve">2023 год</w:t>
            </w:r>
          </w:p>
        </w:tc>
        <w:tc>
          <w:tcPr>
            <w:tcW w:w="1644" w:type="dxa"/>
            <w:vMerge w:val="restart"/>
          </w:tcPr>
          <w:p>
            <w:pPr>
              <w:pStyle w:val="0"/>
            </w:pPr>
            <w:r>
              <w:rPr>
                <w:sz w:val="20"/>
              </w:rPr>
              <w:t xml:space="preserve">2024 год</w:t>
            </w:r>
          </w:p>
        </w:tc>
        <w:tc>
          <w:tcPr>
            <w:tcW w:w="1077" w:type="dxa"/>
            <w:vMerge w:val="restart"/>
          </w:tcPr>
          <w:p>
            <w:pPr>
              <w:pStyle w:val="0"/>
            </w:pPr>
            <w:r>
              <w:rPr>
                <w:sz w:val="20"/>
              </w:rPr>
              <w:t xml:space="preserve">Итого 2025 год</w:t>
            </w:r>
          </w:p>
        </w:tc>
        <w:tc>
          <w:tcPr>
            <w:gridSpan w:val="4"/>
            <w:tcW w:w="5500" w:type="dxa"/>
          </w:tcPr>
          <w:p>
            <w:pPr>
              <w:pStyle w:val="0"/>
            </w:pPr>
            <w:r>
              <w:rPr>
                <w:sz w:val="20"/>
              </w:rPr>
              <w:t xml:space="preserve">В том числе:</w:t>
            </w:r>
          </w:p>
        </w:tc>
        <w:tc>
          <w:tcPr>
            <w:tcW w:w="1587" w:type="dxa"/>
            <w:vMerge w:val="restart"/>
          </w:tcPr>
          <w:p>
            <w:pPr>
              <w:pStyle w:val="0"/>
            </w:pPr>
            <w:r>
              <w:rPr>
                <w:sz w:val="20"/>
              </w:rPr>
              <w:t xml:space="preserve">2026 год</w:t>
            </w:r>
          </w:p>
        </w:tc>
        <w:tc>
          <w:tcPr>
            <w:tcW w:w="1417"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474" w:type="dxa"/>
          </w:tcPr>
          <w:p>
            <w:pPr>
              <w:pStyle w:val="0"/>
            </w:pPr>
            <w:r>
              <w:rPr>
                <w:sz w:val="20"/>
              </w:rPr>
              <w:t xml:space="preserve">1 полугодие</w:t>
            </w:r>
          </w:p>
        </w:tc>
        <w:tc>
          <w:tcPr>
            <w:tcW w:w="1361" w:type="dxa"/>
          </w:tcPr>
          <w:p>
            <w:pPr>
              <w:pStyle w:val="0"/>
            </w:pPr>
            <w:r>
              <w:rPr>
                <w:sz w:val="20"/>
              </w:rPr>
              <w:t xml:space="preserve">9 месяцев</w:t>
            </w:r>
          </w:p>
        </w:tc>
        <w:tc>
          <w:tcPr>
            <w:tcW w:w="136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150</w:t>
            </w:r>
          </w:p>
        </w:tc>
        <w:tc>
          <w:tcPr>
            <w:tcW w:w="1644" w:type="dxa"/>
          </w:tcPr>
          <w:p>
            <w:pPr>
              <w:pStyle w:val="0"/>
            </w:pPr>
            <w:r>
              <w:rPr>
                <w:sz w:val="20"/>
              </w:rPr>
              <w:t xml:space="preserve">-</w:t>
            </w:r>
          </w:p>
        </w:tc>
        <w:tc>
          <w:tcPr>
            <w:tcW w:w="1644" w:type="dxa"/>
          </w:tcPr>
          <w:p>
            <w:pPr>
              <w:pStyle w:val="0"/>
            </w:pPr>
            <w:r>
              <w:rPr>
                <w:sz w:val="20"/>
              </w:rPr>
              <w:t xml:space="preserve">-</w:t>
            </w:r>
          </w:p>
        </w:tc>
        <w:tc>
          <w:tcPr>
            <w:tcW w:w="1077" w:type="dxa"/>
          </w:tcPr>
          <w:p>
            <w:pPr>
              <w:pStyle w:val="0"/>
            </w:pPr>
            <w:r>
              <w:rPr>
                <w:sz w:val="20"/>
              </w:rPr>
              <w:t xml:space="preserve">50</w:t>
            </w:r>
          </w:p>
        </w:tc>
        <w:tc>
          <w:tcPr>
            <w:tcW w:w="1304" w:type="dxa"/>
          </w:tcPr>
          <w:p>
            <w:pPr>
              <w:pStyle w:val="0"/>
            </w:pPr>
            <w:r>
              <w:rPr>
                <w:sz w:val="20"/>
              </w:rPr>
              <w:t xml:space="preserve">-</w:t>
            </w:r>
          </w:p>
        </w:tc>
        <w:tc>
          <w:tcPr>
            <w:tcW w:w="1474" w:type="dxa"/>
          </w:tcPr>
          <w:p>
            <w:pPr>
              <w:pStyle w:val="0"/>
            </w:pPr>
            <w:r>
              <w:rPr>
                <w:sz w:val="20"/>
              </w:rPr>
              <w:t xml:space="preserve">-</w:t>
            </w:r>
          </w:p>
        </w:tc>
        <w:tc>
          <w:tcPr>
            <w:tcW w:w="1361" w:type="dxa"/>
          </w:tcPr>
          <w:p>
            <w:pPr>
              <w:pStyle w:val="0"/>
            </w:pPr>
            <w:r>
              <w:rPr>
                <w:sz w:val="20"/>
              </w:rPr>
              <w:t xml:space="preserve">-</w:t>
            </w:r>
          </w:p>
        </w:tc>
        <w:tc>
          <w:tcPr>
            <w:tcW w:w="1361" w:type="dxa"/>
          </w:tcPr>
          <w:p>
            <w:pPr>
              <w:pStyle w:val="0"/>
            </w:pPr>
            <w:r>
              <w:rPr>
                <w:sz w:val="20"/>
              </w:rPr>
              <w:t xml:space="preserve">50</w:t>
            </w:r>
          </w:p>
        </w:tc>
        <w:tc>
          <w:tcPr>
            <w:tcW w:w="1587" w:type="dxa"/>
          </w:tcPr>
          <w:p>
            <w:pPr>
              <w:pStyle w:val="0"/>
            </w:pPr>
            <w:r>
              <w:rPr>
                <w:sz w:val="20"/>
              </w:rPr>
              <w:t xml:space="preserve">50</w:t>
            </w:r>
          </w:p>
        </w:tc>
        <w:tc>
          <w:tcPr>
            <w:tcW w:w="1417" w:type="dxa"/>
          </w:tcPr>
          <w:p>
            <w:pPr>
              <w:pStyle w:val="0"/>
            </w:pPr>
            <w:r>
              <w:rPr>
                <w:sz w:val="20"/>
              </w:rPr>
              <w:t xml:space="preserve">50</w:t>
            </w:r>
          </w:p>
        </w:tc>
        <w:tc>
          <w:tcPr>
            <w:vMerge w:val="continue"/>
          </w:tcPr>
          <w:p/>
        </w:tc>
      </w:tr>
      <w:tr>
        <w:tc>
          <w:tcPr>
            <w:gridSpan w:val="3"/>
            <w:tcW w:w="5725" w:type="dxa"/>
            <w:vMerge w:val="restart"/>
          </w:tcPr>
          <w:p>
            <w:pPr>
              <w:pStyle w:val="0"/>
            </w:pPr>
            <w:r>
              <w:rPr>
                <w:sz w:val="20"/>
              </w:rPr>
              <w:t xml:space="preserve">Итого по подпрограмме</w:t>
            </w:r>
          </w:p>
        </w:tc>
        <w:tc>
          <w:tcPr>
            <w:tcW w:w="2098" w:type="dxa"/>
          </w:tcPr>
          <w:p>
            <w:pPr>
              <w:pStyle w:val="0"/>
            </w:pPr>
            <w:r>
              <w:rPr>
                <w:sz w:val="20"/>
              </w:rPr>
              <w:t xml:space="preserve">Итого:</w:t>
            </w:r>
          </w:p>
        </w:tc>
        <w:tc>
          <w:tcPr>
            <w:tcW w:w="1531" w:type="dxa"/>
          </w:tcPr>
          <w:p>
            <w:pPr>
              <w:pStyle w:val="0"/>
            </w:pPr>
            <w:r>
              <w:rPr>
                <w:sz w:val="20"/>
              </w:rPr>
              <w:t xml:space="preserve">60732162,48</w:t>
            </w:r>
          </w:p>
        </w:tc>
        <w:tc>
          <w:tcPr>
            <w:tcW w:w="1644" w:type="dxa"/>
          </w:tcPr>
          <w:p>
            <w:pPr>
              <w:pStyle w:val="0"/>
            </w:pPr>
            <w:r>
              <w:rPr>
                <w:sz w:val="20"/>
              </w:rPr>
              <w:t xml:space="preserve">8466199,21</w:t>
            </w:r>
          </w:p>
        </w:tc>
        <w:tc>
          <w:tcPr>
            <w:tcW w:w="1644" w:type="dxa"/>
          </w:tcPr>
          <w:p>
            <w:pPr>
              <w:pStyle w:val="0"/>
            </w:pPr>
            <w:r>
              <w:rPr>
                <w:sz w:val="20"/>
              </w:rPr>
              <w:t xml:space="preserve">15633892,57</w:t>
            </w:r>
          </w:p>
        </w:tc>
        <w:tc>
          <w:tcPr>
            <w:gridSpan w:val="5"/>
            <w:tcW w:w="6577" w:type="dxa"/>
          </w:tcPr>
          <w:p>
            <w:pPr>
              <w:pStyle w:val="0"/>
            </w:pPr>
            <w:r>
              <w:rPr>
                <w:sz w:val="20"/>
              </w:rPr>
              <w:t xml:space="preserve">20401149,60</w:t>
            </w:r>
          </w:p>
        </w:tc>
        <w:tc>
          <w:tcPr>
            <w:tcW w:w="1587" w:type="dxa"/>
          </w:tcPr>
          <w:p>
            <w:pPr>
              <w:pStyle w:val="0"/>
            </w:pPr>
            <w:r>
              <w:rPr>
                <w:sz w:val="20"/>
              </w:rPr>
              <w:t xml:space="preserve">12045300,20</w:t>
            </w:r>
          </w:p>
        </w:tc>
        <w:tc>
          <w:tcPr>
            <w:tcW w:w="1417" w:type="dxa"/>
          </w:tcPr>
          <w:p>
            <w:pPr>
              <w:pStyle w:val="0"/>
            </w:pPr>
            <w:r>
              <w:rPr>
                <w:sz w:val="20"/>
              </w:rPr>
              <w:t xml:space="preserve">4185620,90</w:t>
            </w:r>
          </w:p>
        </w:tc>
        <w:tc>
          <w:tcPr>
            <w:tcW w:w="1531" w:type="dxa"/>
            <w:vMerge w:val="restart"/>
          </w:tcPr>
          <w:p>
            <w:pPr>
              <w:pStyle w:val="0"/>
            </w:pPr>
            <w:r>
              <w:rPr>
                <w:sz w:val="20"/>
              </w:rPr>
              <w:t xml:space="preserve">Х</w:t>
            </w:r>
          </w:p>
        </w:tc>
      </w:tr>
      <w:tr>
        <w:tc>
          <w:tcPr>
            <w:gridSpan w:val="3"/>
            <w:vMerge w:val="continue"/>
          </w:tcPr>
          <w:p/>
        </w:tc>
        <w:tc>
          <w:tcPr>
            <w:tcW w:w="2098" w:type="dxa"/>
          </w:tcPr>
          <w:p>
            <w:pPr>
              <w:pStyle w:val="0"/>
            </w:pPr>
            <w:r>
              <w:rPr>
                <w:sz w:val="20"/>
              </w:rPr>
              <w:t xml:space="preserve">Средства бюджета Московской области</w:t>
            </w:r>
          </w:p>
        </w:tc>
        <w:tc>
          <w:tcPr>
            <w:tcW w:w="1531" w:type="dxa"/>
          </w:tcPr>
          <w:p>
            <w:pPr>
              <w:pStyle w:val="0"/>
            </w:pPr>
            <w:r>
              <w:rPr>
                <w:sz w:val="20"/>
              </w:rPr>
              <w:t xml:space="preserve">59281614,00</w:t>
            </w:r>
          </w:p>
        </w:tc>
        <w:tc>
          <w:tcPr>
            <w:tcW w:w="1644" w:type="dxa"/>
          </w:tcPr>
          <w:p>
            <w:pPr>
              <w:pStyle w:val="0"/>
            </w:pPr>
            <w:r>
              <w:rPr>
                <w:sz w:val="20"/>
              </w:rPr>
              <w:t xml:space="preserve">8096349,00</w:t>
            </w:r>
          </w:p>
        </w:tc>
        <w:tc>
          <w:tcPr>
            <w:tcW w:w="1644" w:type="dxa"/>
          </w:tcPr>
          <w:p>
            <w:pPr>
              <w:pStyle w:val="0"/>
            </w:pPr>
            <w:r>
              <w:rPr>
                <w:sz w:val="20"/>
              </w:rPr>
              <w:t xml:space="preserve">15296535,00</w:t>
            </w:r>
          </w:p>
        </w:tc>
        <w:tc>
          <w:tcPr>
            <w:gridSpan w:val="5"/>
            <w:tcW w:w="6577" w:type="dxa"/>
          </w:tcPr>
          <w:p>
            <w:pPr>
              <w:pStyle w:val="0"/>
            </w:pPr>
            <w:r>
              <w:rPr>
                <w:sz w:val="20"/>
              </w:rPr>
              <w:t xml:space="preserve">20067071,00</w:t>
            </w:r>
          </w:p>
        </w:tc>
        <w:tc>
          <w:tcPr>
            <w:tcW w:w="1587" w:type="dxa"/>
          </w:tcPr>
          <w:p>
            <w:pPr>
              <w:pStyle w:val="0"/>
            </w:pPr>
            <w:r>
              <w:rPr>
                <w:sz w:val="20"/>
              </w:rPr>
              <w:t xml:space="preserve">11839905,00</w:t>
            </w:r>
          </w:p>
        </w:tc>
        <w:tc>
          <w:tcPr>
            <w:tcW w:w="1417" w:type="dxa"/>
          </w:tcPr>
          <w:p>
            <w:pPr>
              <w:pStyle w:val="0"/>
            </w:pPr>
            <w:r>
              <w:rPr>
                <w:sz w:val="20"/>
              </w:rPr>
              <w:t xml:space="preserve">3981754,00</w:t>
            </w:r>
          </w:p>
        </w:tc>
        <w:tc>
          <w:tcPr>
            <w:vMerge w:val="continue"/>
          </w:tcPr>
          <w:p/>
        </w:tc>
      </w:tr>
      <w:tr>
        <w:tc>
          <w:tcPr>
            <w:gridSpan w:val="3"/>
            <w:vMerge w:val="continue"/>
          </w:tcPr>
          <w:p/>
        </w:tc>
        <w:tc>
          <w:tcPr>
            <w:tcW w:w="2098" w:type="dxa"/>
          </w:tcPr>
          <w:p>
            <w:pPr>
              <w:pStyle w:val="0"/>
            </w:pPr>
            <w:r>
              <w:rPr>
                <w:sz w:val="20"/>
              </w:rPr>
              <w:t xml:space="preserve">Средства федерального бюджета</w:t>
            </w:r>
          </w:p>
        </w:tc>
        <w:tc>
          <w:tcPr>
            <w:tcW w:w="1531" w:type="dxa"/>
          </w:tcPr>
          <w:p>
            <w:pPr>
              <w:pStyle w:val="0"/>
            </w:pPr>
            <w:r>
              <w:rPr>
                <w:sz w:val="20"/>
              </w:rPr>
              <w:t xml:space="preserve">1256573,00</w:t>
            </w:r>
          </w:p>
        </w:tc>
        <w:tc>
          <w:tcPr>
            <w:tcW w:w="1644" w:type="dxa"/>
          </w:tcPr>
          <w:p>
            <w:pPr>
              <w:pStyle w:val="0"/>
            </w:pPr>
            <w:r>
              <w:rPr>
                <w:sz w:val="20"/>
              </w:rPr>
              <w:t xml:space="preserve">289861,00</w:t>
            </w:r>
          </w:p>
        </w:tc>
        <w:tc>
          <w:tcPr>
            <w:tcW w:w="1644" w:type="dxa"/>
          </w:tcPr>
          <w:p>
            <w:pPr>
              <w:pStyle w:val="0"/>
            </w:pPr>
            <w:r>
              <w:rPr>
                <w:sz w:val="20"/>
              </w:rPr>
              <w:t xml:space="preserve">283367,00</w:t>
            </w:r>
          </w:p>
        </w:tc>
        <w:tc>
          <w:tcPr>
            <w:gridSpan w:val="5"/>
            <w:tcW w:w="6577" w:type="dxa"/>
          </w:tcPr>
          <w:p>
            <w:pPr>
              <w:pStyle w:val="0"/>
            </w:pPr>
            <w:r>
              <w:rPr>
                <w:sz w:val="20"/>
              </w:rPr>
              <w:t xml:space="preserve">305739,00</w:t>
            </w:r>
          </w:p>
        </w:tc>
        <w:tc>
          <w:tcPr>
            <w:tcW w:w="1587" w:type="dxa"/>
          </w:tcPr>
          <w:p>
            <w:pPr>
              <w:pStyle w:val="0"/>
            </w:pPr>
            <w:r>
              <w:rPr>
                <w:sz w:val="20"/>
              </w:rPr>
              <w:t xml:space="preserve">189740,00</w:t>
            </w:r>
          </w:p>
        </w:tc>
        <w:tc>
          <w:tcPr>
            <w:tcW w:w="1417" w:type="dxa"/>
          </w:tcPr>
          <w:p>
            <w:pPr>
              <w:pStyle w:val="0"/>
            </w:pPr>
            <w:r>
              <w:rPr>
                <w:sz w:val="20"/>
              </w:rPr>
              <w:t xml:space="preserve">187866,00</w:t>
            </w:r>
          </w:p>
        </w:tc>
        <w:tc>
          <w:tcPr>
            <w:vMerge w:val="continue"/>
          </w:tcPr>
          <w:p/>
        </w:tc>
      </w:tr>
      <w:tr>
        <w:tc>
          <w:tcPr>
            <w:gridSpan w:val="3"/>
            <w:vMerge w:val="continue"/>
          </w:tcPr>
          <w:p/>
        </w:tc>
        <w:tc>
          <w:tcPr>
            <w:tcW w:w="2098" w:type="dxa"/>
          </w:tcPr>
          <w:p>
            <w:pPr>
              <w:pStyle w:val="0"/>
            </w:pPr>
            <w:r>
              <w:rPr>
                <w:sz w:val="20"/>
              </w:rPr>
              <w:t xml:space="preserve">Средства бюджетов муниципальных образований Московской области</w:t>
            </w:r>
          </w:p>
        </w:tc>
        <w:tc>
          <w:tcPr>
            <w:tcW w:w="1531" w:type="dxa"/>
          </w:tcPr>
          <w:p>
            <w:pPr>
              <w:pStyle w:val="0"/>
            </w:pPr>
            <w:r>
              <w:rPr>
                <w:sz w:val="20"/>
              </w:rPr>
              <w:t xml:space="preserve">126693,60</w:t>
            </w:r>
          </w:p>
        </w:tc>
        <w:tc>
          <w:tcPr>
            <w:tcW w:w="1644" w:type="dxa"/>
          </w:tcPr>
          <w:p>
            <w:pPr>
              <w:pStyle w:val="0"/>
            </w:pPr>
            <w:r>
              <w:rPr>
                <w:sz w:val="20"/>
              </w:rPr>
              <w:t xml:space="preserve">38078,70</w:t>
            </w:r>
          </w:p>
        </w:tc>
        <w:tc>
          <w:tcPr>
            <w:tcW w:w="1644" w:type="dxa"/>
          </w:tcPr>
          <w:p>
            <w:pPr>
              <w:pStyle w:val="0"/>
            </w:pPr>
            <w:r>
              <w:rPr>
                <w:sz w:val="20"/>
              </w:rPr>
              <w:t xml:space="preserve">28619,20</w:t>
            </w:r>
          </w:p>
        </w:tc>
        <w:tc>
          <w:tcPr>
            <w:gridSpan w:val="5"/>
            <w:tcW w:w="6577" w:type="dxa"/>
          </w:tcPr>
          <w:p>
            <w:pPr>
              <w:pStyle w:val="0"/>
            </w:pPr>
            <w:r>
              <w:rPr>
                <w:sz w:val="20"/>
              </w:rPr>
              <w:t xml:space="preserve">28339,60</w:t>
            </w:r>
          </w:p>
        </w:tc>
        <w:tc>
          <w:tcPr>
            <w:tcW w:w="1587" w:type="dxa"/>
          </w:tcPr>
          <w:p>
            <w:pPr>
              <w:pStyle w:val="0"/>
            </w:pPr>
            <w:r>
              <w:rPr>
                <w:sz w:val="20"/>
              </w:rPr>
              <w:t xml:space="preserve">15655,20</w:t>
            </w:r>
          </w:p>
        </w:tc>
        <w:tc>
          <w:tcPr>
            <w:tcW w:w="1417" w:type="dxa"/>
          </w:tcPr>
          <w:p>
            <w:pPr>
              <w:pStyle w:val="0"/>
            </w:pPr>
            <w:r>
              <w:rPr>
                <w:sz w:val="20"/>
              </w:rPr>
              <w:t xml:space="preserve">16000,90</w:t>
            </w:r>
          </w:p>
        </w:tc>
        <w:tc>
          <w:tcPr>
            <w:vMerge w:val="continue"/>
          </w:tcPr>
          <w:p/>
        </w:tc>
      </w:tr>
      <w:tr>
        <w:tc>
          <w:tcPr>
            <w:gridSpan w:val="3"/>
            <w:vMerge w:val="continue"/>
          </w:tcPr>
          <w:p/>
        </w:tc>
        <w:tc>
          <w:tcPr>
            <w:tcW w:w="2098" w:type="dxa"/>
          </w:tcPr>
          <w:p>
            <w:pPr>
              <w:pStyle w:val="0"/>
            </w:pPr>
            <w:r>
              <w:rPr>
                <w:sz w:val="20"/>
              </w:rPr>
              <w:t xml:space="preserve">Внебюджетные средства</w:t>
            </w:r>
          </w:p>
        </w:tc>
        <w:tc>
          <w:tcPr>
            <w:tcW w:w="1531" w:type="dxa"/>
          </w:tcPr>
          <w:p>
            <w:pPr>
              <w:pStyle w:val="0"/>
            </w:pPr>
            <w:r>
              <w:rPr>
                <w:sz w:val="20"/>
              </w:rPr>
              <w:t xml:space="preserve">67281,88</w:t>
            </w:r>
          </w:p>
        </w:tc>
        <w:tc>
          <w:tcPr>
            <w:tcW w:w="1644" w:type="dxa"/>
          </w:tcPr>
          <w:p>
            <w:pPr>
              <w:pStyle w:val="0"/>
            </w:pPr>
            <w:r>
              <w:rPr>
                <w:sz w:val="20"/>
              </w:rPr>
              <w:t xml:space="preserve">41910,51</w:t>
            </w:r>
          </w:p>
        </w:tc>
        <w:tc>
          <w:tcPr>
            <w:tcW w:w="1644" w:type="dxa"/>
          </w:tcPr>
          <w:p>
            <w:pPr>
              <w:pStyle w:val="0"/>
            </w:pPr>
            <w:r>
              <w:rPr>
                <w:sz w:val="20"/>
              </w:rPr>
              <w:t xml:space="preserve">25371,37</w:t>
            </w:r>
          </w:p>
        </w:tc>
        <w:tc>
          <w:tcPr>
            <w:gridSpan w:val="5"/>
            <w:tcW w:w="6577" w:type="dxa"/>
          </w:tcPr>
          <w:p>
            <w:pPr>
              <w:pStyle w:val="0"/>
            </w:pPr>
            <w:r>
              <w:rPr>
                <w:sz w:val="20"/>
              </w:rPr>
              <w:t xml:space="preserve">-</w:t>
            </w:r>
          </w:p>
        </w:tc>
        <w:tc>
          <w:tcPr>
            <w:tcW w:w="1587" w:type="dxa"/>
          </w:tcPr>
          <w:p>
            <w:pPr>
              <w:pStyle w:val="0"/>
            </w:pPr>
            <w:r>
              <w:rPr>
                <w:sz w:val="20"/>
              </w:rPr>
              <w:t xml:space="preserve">-</w:t>
            </w:r>
          </w:p>
        </w:tc>
        <w:tc>
          <w:tcPr>
            <w:tcW w:w="1417" w:type="dxa"/>
          </w:tcPr>
          <w:p>
            <w:pPr>
              <w:pStyle w:val="0"/>
            </w:pPr>
            <w:r>
              <w:rPr>
                <w:sz w:val="20"/>
              </w:rPr>
              <w:t xml:space="preserve">-</w:t>
            </w: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2743" w:name="P2743"/>
    <w:bookmarkEnd w:id="2743"/>
    <w:p>
      <w:pPr>
        <w:pStyle w:val="0"/>
        <w:spacing w:before="200" w:line-rule="auto"/>
        <w:ind w:firstLine="540"/>
        <w:jc w:val="both"/>
      </w:pPr>
      <w:r>
        <w:rPr>
          <w:sz w:val="20"/>
        </w:rPr>
        <w:t xml:space="preserve">&lt;1&gt; Расходы не осуществляются до подписания дополнительного соглашения к соглашению о создании на территории г. Дубны (Московская область) особой экономической зоны технико-внедренческого типа от 18 января 2006 г. N 6680-ГГ/Ф7, которым будет утверждено увеличение границ особой экономической зоны технико-внедренческого типа "Дубна".</w:t>
      </w:r>
    </w:p>
    <w:p>
      <w:pPr>
        <w:pStyle w:val="0"/>
        <w:jc w:val="both"/>
      </w:pPr>
      <w:r>
        <w:rPr>
          <w:sz w:val="20"/>
        </w:rPr>
      </w:r>
    </w:p>
    <w:p>
      <w:pPr>
        <w:pStyle w:val="2"/>
        <w:outlineLvl w:val="2"/>
        <w:jc w:val="center"/>
      </w:pPr>
      <w:r>
        <w:rPr>
          <w:sz w:val="20"/>
        </w:rPr>
        <w:t xml:space="preserve">5.2. Порядки предоставления и распределения субсидий</w:t>
      </w:r>
    </w:p>
    <w:p>
      <w:pPr>
        <w:pStyle w:val="2"/>
        <w:jc w:val="center"/>
      </w:pPr>
      <w:r>
        <w:rPr>
          <w:sz w:val="20"/>
        </w:rPr>
        <w:t xml:space="preserve">из бюджета Московской области бюджетам муниципальных</w:t>
      </w:r>
    </w:p>
    <w:p>
      <w:pPr>
        <w:pStyle w:val="2"/>
        <w:jc w:val="center"/>
      </w:pPr>
      <w:r>
        <w:rPr>
          <w:sz w:val="20"/>
        </w:rPr>
        <w:t xml:space="preserve">образований Московской области на софинансирование</w:t>
      </w:r>
    </w:p>
    <w:p>
      <w:pPr>
        <w:pStyle w:val="2"/>
        <w:jc w:val="center"/>
      </w:pPr>
      <w:r>
        <w:rPr>
          <w:sz w:val="20"/>
        </w:rPr>
        <w:t xml:space="preserve">муниципальных программ или программных мероприятий,</w:t>
      </w:r>
    </w:p>
    <w:p>
      <w:pPr>
        <w:pStyle w:val="2"/>
        <w:jc w:val="center"/>
      </w:pPr>
      <w:r>
        <w:rPr>
          <w:sz w:val="20"/>
        </w:rPr>
        <w:t xml:space="preserve">направленных на достижение цели государственной программы</w:t>
      </w:r>
    </w:p>
    <w:p>
      <w:pPr>
        <w:pStyle w:val="0"/>
        <w:jc w:val="both"/>
      </w:pPr>
      <w:r>
        <w:rPr>
          <w:sz w:val="20"/>
        </w:rPr>
      </w:r>
    </w:p>
    <w:p>
      <w:pPr>
        <w:pStyle w:val="2"/>
        <w:outlineLvl w:val="3"/>
        <w:jc w:val="center"/>
      </w:pPr>
      <w:r>
        <w:rPr>
          <w:sz w:val="20"/>
        </w:rPr>
        <w:t xml:space="preserve">5.2.1. Порядок предоставления субсидий из бюджета Московской</w:t>
      </w:r>
    </w:p>
    <w:p>
      <w:pPr>
        <w:pStyle w:val="2"/>
        <w:jc w:val="center"/>
      </w:pPr>
      <w:r>
        <w:rPr>
          <w:sz w:val="20"/>
        </w:rPr>
        <w:t xml:space="preserve">области бюджетам муниципальных образований Московской</w:t>
      </w:r>
    </w:p>
    <w:p>
      <w:pPr>
        <w:pStyle w:val="2"/>
        <w:jc w:val="center"/>
      </w:pPr>
      <w:r>
        <w:rPr>
          <w:sz w:val="20"/>
        </w:rPr>
        <w:t xml:space="preserve">области в рамках реализации мероприятия 02.01 "Создание</w:t>
      </w:r>
    </w:p>
    <w:p>
      <w:pPr>
        <w:pStyle w:val="2"/>
        <w:jc w:val="center"/>
      </w:pPr>
      <w:r>
        <w:rPr>
          <w:sz w:val="20"/>
        </w:rPr>
        <w:t xml:space="preserve">и развитие индустриальных (промышленных) парков,</w:t>
      </w:r>
    </w:p>
    <w:p>
      <w:pPr>
        <w:pStyle w:val="2"/>
        <w:jc w:val="center"/>
      </w:pPr>
      <w:r>
        <w:rPr>
          <w:sz w:val="20"/>
        </w:rPr>
        <w:t xml:space="preserve">промышленных площадок на территориях муниципальных</w:t>
      </w:r>
    </w:p>
    <w:p>
      <w:pPr>
        <w:pStyle w:val="2"/>
        <w:jc w:val="center"/>
      </w:pPr>
      <w:r>
        <w:rPr>
          <w:sz w:val="20"/>
        </w:rPr>
        <w:t xml:space="preserve">образований Московской области" Подпрограммы 1</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r:id="rId19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главой 16</w:t>
        </w:r>
      </w:hyperlink>
      <w:r>
        <w:rPr>
          <w:sz w:val="20"/>
        </w:rPr>
        <w:t xml:space="preserve"> Бюджетного кодекса Российской Федерации, Порядком разработки и реализации государственных программ.</w:t>
      </w:r>
    </w:p>
    <w:p>
      <w:pPr>
        <w:pStyle w:val="0"/>
        <w:spacing w:before="200" w:line-rule="auto"/>
        <w:ind w:firstLine="540"/>
        <w:jc w:val="both"/>
      </w:pPr>
      <w:r>
        <w:rPr>
          <w:sz w:val="20"/>
        </w:rPr>
        <w:t xml:space="preserve">Настоящий порядок определяет условия предоставления и распределения субсидии из бюджета Московской области бюджетам муниципальных образований Московской области на софинансирование расходов на стимулирование инвестиционной деятельности (далее - Порядок, субсидия, муниципальное образование).</w:t>
      </w:r>
    </w:p>
    <w:p>
      <w:pPr>
        <w:pStyle w:val="0"/>
        <w:spacing w:before="200" w:line-rule="auto"/>
        <w:ind w:firstLine="540"/>
        <w:jc w:val="both"/>
      </w:pPr>
      <w:r>
        <w:rPr>
          <w:sz w:val="20"/>
        </w:rPr>
        <w:t xml:space="preserve">Средства субсидии направляются в рамках реализации полномочий органа местного самоуправления муниципального образования в соответствии с </w:t>
      </w:r>
      <w:hyperlink w:history="0" r:id="rId1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9 части 1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bookmarkStart w:id="2762" w:name="P2762"/>
    <w:bookmarkEnd w:id="2762"/>
    <w:p>
      <w:pPr>
        <w:pStyle w:val="0"/>
        <w:spacing w:before="200" w:line-rule="auto"/>
        <w:ind w:firstLine="540"/>
        <w:jc w:val="both"/>
      </w:pPr>
      <w:r>
        <w:rPr>
          <w:sz w:val="20"/>
        </w:rPr>
        <w:t xml:space="preserve">2. Субсидия предоставляется в целях:</w:t>
      </w:r>
    </w:p>
    <w:p>
      <w:pPr>
        <w:pStyle w:val="0"/>
        <w:spacing w:before="200" w:line-rule="auto"/>
        <w:ind w:firstLine="540"/>
        <w:jc w:val="both"/>
      </w:pPr>
      <w:r>
        <w:rPr>
          <w:sz w:val="20"/>
        </w:rPr>
        <w:t xml:space="preserve">1) выполнения комплекса проектных и изыскательских работ по проектированию инженерной инфраструктуры,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p>
      <w:pPr>
        <w:pStyle w:val="0"/>
        <w:spacing w:before="200" w:line-rule="auto"/>
        <w:ind w:firstLine="540"/>
        <w:jc w:val="both"/>
      </w:pPr>
      <w:r>
        <w:rPr>
          <w:sz w:val="20"/>
        </w:rPr>
        <w:t xml:space="preserve">2) технологического присоединения к сетям инженерной инфраструктуры;</w:t>
      </w:r>
    </w:p>
    <w:p>
      <w:pPr>
        <w:pStyle w:val="0"/>
        <w:spacing w:before="200" w:line-rule="auto"/>
        <w:ind w:firstLine="540"/>
        <w:jc w:val="both"/>
      </w:pPr>
      <w:r>
        <w:rPr>
          <w:sz w:val="20"/>
        </w:rPr>
        <w:t xml:space="preserve">3) выполнения строительно-монтажных работ (строительство инженерной инфраструктуры).</w:t>
      </w:r>
    </w:p>
    <w:p>
      <w:pPr>
        <w:pStyle w:val="0"/>
        <w:spacing w:before="200" w:line-rule="auto"/>
        <w:ind w:firstLine="540"/>
        <w:jc w:val="both"/>
      </w:pPr>
      <w:r>
        <w:rPr>
          <w:sz w:val="20"/>
        </w:rPr>
        <w:t xml:space="preserve">3. Субсидия предоставляется в пределах бюджетных ассигнований, предусмотренных Мининвесту Московской области в законе о бюджете Московской области на соответствующий финансовый год и плановый период, в рамках </w:t>
      </w:r>
      <w:hyperlink w:history="0" w:anchor="P1146" w:tooltip="Мероприятие 02.01. Создание и развитие индустриальных (промышленных) парков, промышленных площадок на территориях муниципальных образований Московской области">
        <w:r>
          <w:rPr>
            <w:sz w:val="20"/>
            <w:color w:val="0000ff"/>
          </w:rPr>
          <w:t xml:space="preserve">мероприятия 02.01</w:t>
        </w:r>
      </w:hyperlink>
      <w:r>
        <w:rPr>
          <w:sz w:val="20"/>
        </w:rPr>
        <w:t xml:space="preserve"> "Создание и развитие индустриальных (промышленных) парков, промышленных площадок на территориях муниципальных образований Московской области" Подпрограммы 1 государственной программы.</w:t>
      </w:r>
    </w:p>
    <w:p>
      <w:pPr>
        <w:pStyle w:val="0"/>
        <w:spacing w:before="200" w:line-rule="auto"/>
        <w:ind w:firstLine="540"/>
        <w:jc w:val="both"/>
      </w:pPr>
      <w:r>
        <w:rPr>
          <w:sz w:val="20"/>
        </w:rPr>
        <w:t xml:space="preserve">4. Главным распорядителем средств бюджета Московской области является Мининвест Московской области.</w:t>
      </w:r>
    </w:p>
    <w:bookmarkStart w:id="2768" w:name="P2768"/>
    <w:bookmarkEnd w:id="2768"/>
    <w:p>
      <w:pPr>
        <w:pStyle w:val="0"/>
        <w:spacing w:before="200" w:line-rule="auto"/>
        <w:ind w:firstLine="540"/>
        <w:jc w:val="both"/>
      </w:pPr>
      <w:r>
        <w:rPr>
          <w:sz w:val="20"/>
        </w:rPr>
        <w:t xml:space="preserve">5. Целевыми показателями результативности использования субсидии являются:</w:t>
      </w:r>
    </w:p>
    <w:p>
      <w:pPr>
        <w:pStyle w:val="0"/>
        <w:spacing w:before="200" w:line-rule="auto"/>
        <w:ind w:firstLine="540"/>
        <w:jc w:val="both"/>
      </w:pPr>
      <w:r>
        <w:rPr>
          <w:sz w:val="20"/>
        </w:rPr>
        <w:t xml:space="preserve">объем инвестиций не менее 50 млн рублей на 1 га площади индустриальных (промышленных) парков, промышленных площадок на территориях муниципальных образований;</w:t>
      </w:r>
    </w:p>
    <w:p>
      <w:pPr>
        <w:pStyle w:val="0"/>
        <w:spacing w:before="200" w:line-rule="auto"/>
        <w:ind w:firstLine="540"/>
        <w:jc w:val="both"/>
      </w:pPr>
      <w:r>
        <w:rPr>
          <w:sz w:val="20"/>
        </w:rPr>
        <w:t xml:space="preserve">создание не менее 10 рабочих мест на 1 га площади индустриальных (промышленных) парков, промышленных площадок на территориях муниципальных образований;</w:t>
      </w:r>
    </w:p>
    <w:p>
      <w:pPr>
        <w:pStyle w:val="0"/>
        <w:spacing w:before="200" w:line-rule="auto"/>
        <w:ind w:firstLine="540"/>
        <w:jc w:val="both"/>
      </w:pPr>
      <w:r>
        <w:rPr>
          <w:sz w:val="20"/>
        </w:rPr>
        <w:t xml:space="preserve">размещение промышленных предприятий не менее чем на 50 процентах общей площади земельных участков, относящихся к индустриальным (промышленным) паркам, промышленным площадкам на территориях муниципальных образований.</w:t>
      </w:r>
    </w:p>
    <w:bookmarkStart w:id="2772" w:name="P2772"/>
    <w:bookmarkEnd w:id="2772"/>
    <w:p>
      <w:pPr>
        <w:pStyle w:val="0"/>
        <w:spacing w:before="200" w:line-rule="auto"/>
        <w:ind w:firstLine="540"/>
        <w:jc w:val="both"/>
      </w:pPr>
      <w:r>
        <w:rPr>
          <w:sz w:val="20"/>
        </w:rPr>
        <w:t xml:space="preserve">6. Субсидия предоставляется при соблюдении следующих условий:</w:t>
      </w:r>
    </w:p>
    <w:p>
      <w:pPr>
        <w:pStyle w:val="0"/>
        <w:spacing w:before="200" w:line-rule="auto"/>
        <w:ind w:firstLine="540"/>
        <w:jc w:val="both"/>
      </w:pPr>
      <w:r>
        <w:rPr>
          <w:sz w:val="20"/>
        </w:rPr>
        <w:t xml:space="preserve">наличие правового акта муниципального образования Московской области, утверждающего перечень мероприятий, в целях софинансирования которых предоставляется субсидия;</w:t>
      </w:r>
    </w:p>
    <w:p>
      <w:pPr>
        <w:pStyle w:val="0"/>
        <w:jc w:val="both"/>
      </w:pPr>
      <w:r>
        <w:rPr>
          <w:sz w:val="20"/>
        </w:rPr>
        <w:t xml:space="preserve">(в ред. </w:t>
      </w:r>
      <w:hyperlink w:history="0" r:id="rId197"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pPr>
        <w:pStyle w:val="0"/>
        <w:spacing w:before="200" w:line-rule="auto"/>
        <w:ind w:firstLine="540"/>
        <w:jc w:val="both"/>
      </w:pPr>
      <w:r>
        <w:rPr>
          <w:sz w:val="20"/>
        </w:rPr>
        <w:t xml:space="preserve">заключение с Мининвестом Московской области соглашения о предоставлении из бюджета Московской области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предусмотренных в местном бюджете, в целях софинансирования которых предоставляется субсидия, соблюдение требований, установленных </w:t>
      </w:r>
      <w:hyperlink w:history="0" r:id="rId198"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51.1</w:t>
        </w:r>
      </w:hyperlink>
      <w:r>
        <w:rPr>
          <w:sz w:val="20"/>
        </w:rPr>
        <w:t xml:space="preserve"> Порядка разработки и реализации государственных программ, и ответственность за неисполнение предусмотренных Соглашением обязательств.</w:t>
      </w:r>
    </w:p>
    <w:p>
      <w:pPr>
        <w:pStyle w:val="0"/>
        <w:jc w:val="both"/>
      </w:pPr>
      <w:r>
        <w:rPr>
          <w:sz w:val="20"/>
        </w:rPr>
        <w:t xml:space="preserve">(в ред. </w:t>
      </w:r>
      <w:hyperlink w:history="0" r:id="rId199"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spacing w:before="200" w:line-rule="auto"/>
        <w:ind w:firstLine="540"/>
        <w:jc w:val="both"/>
      </w:pPr>
      <w:r>
        <w:rPr>
          <w:sz w:val="20"/>
        </w:rPr>
        <w:t xml:space="preserve">абзацы пятый - шестой утратили силу. - </w:t>
      </w:r>
      <w:hyperlink w:history="0" r:id="rId200"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22.05.2023 N 315-ПП.</w:t>
      </w:r>
    </w:p>
    <w:p>
      <w:pPr>
        <w:pStyle w:val="0"/>
        <w:spacing w:before="200" w:line-rule="auto"/>
        <w:ind w:firstLine="540"/>
        <w:jc w:val="both"/>
      </w:pPr>
      <w:r>
        <w:rPr>
          <w:sz w:val="20"/>
        </w:rPr>
        <w:t xml:space="preserve">7. Соглашение, дополнительные соглашения к Соглашению, в том числе дополнительное соглашение о расторжении Соглашения, заключаются в соответствии с типовой формой, утверждаемой Министерством экономики и финансов Московской области, с учетом условий, предусмотренных </w:t>
      </w:r>
      <w:hyperlink w:history="0" r:id="rId201"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55</w:t>
        </w:r>
      </w:hyperlink>
      <w:r>
        <w:rPr>
          <w:sz w:val="20"/>
        </w:rPr>
        <w:t xml:space="preserve"> - </w:t>
      </w:r>
      <w:hyperlink w:history="0" r:id="rId202"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60</w:t>
        </w:r>
      </w:hyperlink>
      <w:r>
        <w:rPr>
          <w:sz w:val="20"/>
        </w:rPr>
        <w:t xml:space="preserve"> Порядка разработки и реализации государственных программ Московской области.</w:t>
      </w:r>
    </w:p>
    <w:p>
      <w:pPr>
        <w:pStyle w:val="0"/>
        <w:spacing w:before="200" w:line-rule="auto"/>
        <w:ind w:firstLine="540"/>
        <w:jc w:val="both"/>
      </w:pPr>
      <w:r>
        <w:rPr>
          <w:sz w:val="20"/>
        </w:rPr>
        <w:t xml:space="preserve">Сроки, форма и порядок представления отчетности муниципальным образованием устанавливаются Соглашением.</w:t>
      </w:r>
    </w:p>
    <w:p>
      <w:pPr>
        <w:pStyle w:val="0"/>
        <w:jc w:val="both"/>
      </w:pPr>
      <w:r>
        <w:rPr>
          <w:sz w:val="20"/>
        </w:rPr>
        <w:t xml:space="preserve">(абзац введен </w:t>
      </w:r>
      <w:hyperlink w:history="0" r:id="rId203"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22.05.2023 N 315-ПП)</w:t>
      </w:r>
    </w:p>
    <w:p>
      <w:pPr>
        <w:pStyle w:val="0"/>
        <w:spacing w:before="200" w:line-rule="auto"/>
        <w:ind w:firstLine="540"/>
        <w:jc w:val="both"/>
      </w:pPr>
      <w:r>
        <w:rPr>
          <w:sz w:val="20"/>
        </w:rPr>
        <w:t xml:space="preserve">8. Размер субсидии (Si), предоставляемой в соответствующем году бюджету i-го муниципального образования, на расходы, указанные в </w:t>
      </w:r>
      <w:hyperlink w:history="0" w:anchor="P2762" w:tooltip="2. Субсидия предоставляется в целях:">
        <w:r>
          <w:rPr>
            <w:sz w:val="20"/>
            <w:color w:val="0000ff"/>
          </w:rPr>
          <w:t xml:space="preserve">пункте 2</w:t>
        </w:r>
      </w:hyperlink>
      <w:r>
        <w:rPr>
          <w:sz w:val="20"/>
        </w:rPr>
        <w:t xml:space="preserve"> настоящего Порядка, определяется по формуле:</w:t>
      </w:r>
    </w:p>
    <w:p>
      <w:pPr>
        <w:pStyle w:val="0"/>
        <w:jc w:val="both"/>
      </w:pPr>
      <w:r>
        <w:rPr>
          <w:sz w:val="20"/>
        </w:rPr>
      </w:r>
    </w:p>
    <w:p>
      <w:pPr>
        <w:pStyle w:val="0"/>
        <w:ind w:firstLine="540"/>
        <w:jc w:val="both"/>
      </w:pPr>
      <w:r>
        <w:rPr>
          <w:sz w:val="20"/>
        </w:rPr>
        <w:t xml:space="preserve">Si = ОПi(а) + ОПi(б) + ОПi(в) + ОПi(г) - Смi,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ОПi(а) - общая потребность в средствах на софинансирование документально подтвержденных затрат на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 разработку проекта межевания территории и получение положительного заключения государственной экспертизы, произведенных не ранее 1 января 2021 года;</w:t>
      </w:r>
    </w:p>
    <w:p>
      <w:pPr>
        <w:pStyle w:val="0"/>
        <w:spacing w:before="200" w:line-rule="auto"/>
        <w:ind w:firstLine="540"/>
        <w:jc w:val="both"/>
      </w:pPr>
      <w:r>
        <w:rPr>
          <w:sz w:val="20"/>
        </w:rPr>
        <w:t xml:space="preserve">ОПi(б) - общая потребность в средствах на софинансирование документально подтвержденных затрат на технологическое присоединение к сетям ресурсоснабжающих организаций, произведенных не ранее 1 января 2021 года;</w:t>
      </w:r>
    </w:p>
    <w:p>
      <w:pPr>
        <w:pStyle w:val="0"/>
        <w:spacing w:before="200" w:line-rule="auto"/>
        <w:ind w:firstLine="540"/>
        <w:jc w:val="both"/>
      </w:pPr>
      <w:r>
        <w:rPr>
          <w:sz w:val="20"/>
        </w:rPr>
        <w:t xml:space="preserve">ОПi(в) - общая потребность в средствах на софинансирование документально подтвержденных затрат на строительно-монтажные работы (строительство инженерно-транспортной инфраструктуры), произведенных не ранее 1 января 2021 года;</w:t>
      </w:r>
    </w:p>
    <w:p>
      <w:pPr>
        <w:pStyle w:val="0"/>
        <w:spacing w:before="200" w:line-rule="auto"/>
        <w:ind w:firstLine="540"/>
        <w:jc w:val="both"/>
      </w:pPr>
      <w:r>
        <w:rPr>
          <w:sz w:val="20"/>
        </w:rPr>
        <w:t xml:space="preserve">ОПi(г) - общая потребность в средствах на софинансирование документально подтвержденных затрат на строительство подъездных автомобильных дорог, произведенных не ранее 1 января 2021 года;</w:t>
      </w:r>
    </w:p>
    <w:p>
      <w:pPr>
        <w:pStyle w:val="0"/>
        <w:spacing w:before="200" w:line-rule="auto"/>
        <w:ind w:firstLine="540"/>
        <w:jc w:val="both"/>
      </w:pPr>
      <w:r>
        <w:rPr>
          <w:sz w:val="20"/>
        </w:rPr>
        <w:t xml:space="preserve">Смi - объем средств бюджета муниципального образования на финансирование расходов, предусмотренных </w:t>
      </w:r>
      <w:hyperlink w:history="0" w:anchor="P2762" w:tooltip="2. Субсидия предоставляется в целях:">
        <w:r>
          <w:rPr>
            <w:sz w:val="20"/>
            <w:color w:val="0000ff"/>
          </w:rPr>
          <w:t xml:space="preserve">пунктом 2</w:t>
        </w:r>
      </w:hyperlink>
      <w:r>
        <w:rPr>
          <w:sz w:val="20"/>
        </w:rPr>
        <w:t xml:space="preserve"> настоящего Порядка.</w:t>
      </w:r>
    </w:p>
    <w:p>
      <w:pPr>
        <w:pStyle w:val="0"/>
        <w:jc w:val="both"/>
      </w:pPr>
      <w:r>
        <w:rPr>
          <w:sz w:val="20"/>
        </w:rPr>
      </w:r>
    </w:p>
    <w:p>
      <w:pPr>
        <w:pStyle w:val="0"/>
        <w:ind w:firstLine="540"/>
        <w:jc w:val="both"/>
      </w:pPr>
      <w:r>
        <w:rPr>
          <w:sz w:val="20"/>
        </w:rPr>
        <w:t xml:space="preserve">9. 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МЭФ Московской области, с учетом поправочного коэффициента к предельным уровням софинансирования в размере 0,1.</w:t>
      </w:r>
    </w:p>
    <w:p>
      <w:pPr>
        <w:pStyle w:val="0"/>
        <w:spacing w:before="200" w:line-rule="auto"/>
        <w:ind w:firstLine="540"/>
        <w:jc w:val="both"/>
      </w:pPr>
      <w:r>
        <w:rPr>
          <w:sz w:val="20"/>
        </w:rPr>
        <w:t xml:space="preserve">10. Субсидия из бюджета Московской области перечисляется с соблюдением требований, предусмотренных </w:t>
      </w:r>
      <w:hyperlink w:history="0" r:id="rId204"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61</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11. Муниципальное образование представляет следующие документы, необходимые для подтверждения денежных обязательств муниципального образования, финансовое обеспечение которых осуществляется за счет средств субсидии:</w:t>
      </w:r>
    </w:p>
    <w:p>
      <w:pPr>
        <w:pStyle w:val="0"/>
        <w:spacing w:before="200" w:line-rule="auto"/>
        <w:ind w:firstLine="540"/>
        <w:jc w:val="both"/>
      </w:pPr>
      <w:r>
        <w:rPr>
          <w:sz w:val="20"/>
        </w:rPr>
        <w:t xml:space="preserve">муниципальный контракт, контракт, договор;</w:t>
      </w:r>
    </w:p>
    <w:p>
      <w:pPr>
        <w:pStyle w:val="0"/>
        <w:spacing w:before="200" w:line-rule="auto"/>
        <w:ind w:firstLine="540"/>
        <w:jc w:val="both"/>
      </w:pPr>
      <w:r>
        <w:rPr>
          <w:sz w:val="20"/>
        </w:rPr>
        <w:t xml:space="preserve">при поставке товаров: накладная и (или) акт приемки-передачи, и (или) счет-фактура;</w:t>
      </w:r>
    </w:p>
    <w:p>
      <w:pPr>
        <w:pStyle w:val="0"/>
        <w:spacing w:before="200" w:line-rule="auto"/>
        <w:ind w:firstLine="540"/>
        <w:jc w:val="both"/>
      </w:pPr>
      <w:r>
        <w:rPr>
          <w:sz w:val="20"/>
        </w:rPr>
        <w:t xml:space="preserve">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pPr>
        <w:pStyle w:val="0"/>
        <w:spacing w:before="200" w:line-rule="auto"/>
        <w:ind w:firstLine="540"/>
        <w:jc w:val="both"/>
      </w:pPr>
      <w:r>
        <w:rPr>
          <w:sz w:val="20"/>
        </w:rPr>
        <w:t xml:space="preserve">Документы, указанные в настоящем пункте, представляются в соответствии с </w:t>
      </w:r>
      <w:hyperlink w:history="0" r:id="rId205"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62</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12. Субсидия носит целевой характер и не может быть использована на иные цели, чем цели, предусмотренные </w:t>
      </w:r>
      <w:hyperlink w:history="0" w:anchor="P2762" w:tooltip="2. Субсидия предоставляется в целях:">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Не использованный по состоянию на 1 января соответствующего финансового года остаток предоставленной из бюджета Московской области субсидии подлежит возврату в бюджет Московской области в сроки, установленные бюджетным законодательством Российской Федерации.</w:t>
      </w:r>
    </w:p>
    <w:p>
      <w:pPr>
        <w:pStyle w:val="0"/>
        <w:spacing w:before="200" w:line-rule="auto"/>
        <w:ind w:firstLine="540"/>
        <w:jc w:val="both"/>
      </w:pPr>
      <w:r>
        <w:rPr>
          <w:sz w:val="20"/>
        </w:rPr>
        <w:t xml:space="preserve">В случае если неиспользованный остаток субсидии не перечислен в доход бюджета Московской области, указанные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pPr>
        <w:pStyle w:val="0"/>
        <w:spacing w:before="200" w:line-rule="auto"/>
        <w:ind w:firstLine="540"/>
        <w:jc w:val="both"/>
      </w:pPr>
      <w:r>
        <w:rPr>
          <w:sz w:val="20"/>
        </w:rPr>
        <w:t xml:space="preserve">13. Обязательства муниципального образования устанавливаются в соответствии с </w:t>
      </w:r>
      <w:hyperlink w:history="0" w:anchor="P2817" w:tooltip="ОБЯЗАТЕЛЬСТВА">
        <w:r>
          <w:rPr>
            <w:sz w:val="20"/>
            <w:color w:val="0000ff"/>
          </w:rPr>
          <w:t xml:space="preserve">таблицей 1</w:t>
        </w:r>
      </w:hyperlink>
      <w:r>
        <w:rPr>
          <w:sz w:val="20"/>
        </w:rPr>
        <w:t xml:space="preserve"> к настоящему Порядку.</w:t>
      </w:r>
    </w:p>
    <w:bookmarkStart w:id="2805" w:name="P2805"/>
    <w:bookmarkEnd w:id="2805"/>
    <w:p>
      <w:pPr>
        <w:pStyle w:val="0"/>
        <w:spacing w:before="200" w:line-rule="auto"/>
        <w:ind w:firstLine="540"/>
        <w:jc w:val="both"/>
      </w:pPr>
      <w:r>
        <w:rPr>
          <w:sz w:val="20"/>
        </w:rPr>
        <w:t xml:space="preserve">В случае нарушения муниципальным образованием условий предоставления субсидии, установленных </w:t>
      </w:r>
      <w:hyperlink w:history="0" w:anchor="P2772" w:tooltip="6. Субсидия предоставляется при соблюдении следующих условий:">
        <w:r>
          <w:rPr>
            <w:sz w:val="20"/>
            <w:color w:val="0000ff"/>
          </w:rPr>
          <w:t xml:space="preserve">пунктом 6</w:t>
        </w:r>
      </w:hyperlink>
      <w:r>
        <w:rPr>
          <w:sz w:val="20"/>
        </w:rPr>
        <w:t xml:space="preserve"> настоящего Порядка, применяются меры ответственности, предусмотренные </w:t>
      </w:r>
      <w:hyperlink w:history="0" r:id="rId206"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64</w:t>
        </w:r>
      </w:hyperlink>
      <w:r>
        <w:rPr>
          <w:sz w:val="20"/>
        </w:rPr>
        <w:t xml:space="preserve"> Порядка разработки и реализации государственных программ, в порядке и сроки, установленные </w:t>
      </w:r>
      <w:hyperlink w:history="0" r:id="rId207"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69.1</w:t>
        </w:r>
      </w:hyperlink>
      <w:r>
        <w:rPr>
          <w:sz w:val="20"/>
        </w:rPr>
        <w:t xml:space="preserve"> Порядка разработки и реализации государственных программ.</w:t>
      </w:r>
    </w:p>
    <w:bookmarkStart w:id="2806" w:name="P2806"/>
    <w:bookmarkEnd w:id="2806"/>
    <w:p>
      <w:pPr>
        <w:pStyle w:val="0"/>
        <w:spacing w:before="200" w:line-rule="auto"/>
        <w:ind w:firstLine="540"/>
        <w:jc w:val="both"/>
      </w:pPr>
      <w:r>
        <w:rPr>
          <w:sz w:val="20"/>
        </w:rPr>
        <w:t xml:space="preserve">В случае нарушения муниципальным образованием основных и дополнительных обязательств, установленных в соответствии с </w:t>
      </w:r>
      <w:hyperlink w:history="0" w:anchor="P2817" w:tooltip="ОБЯЗАТЕЛЬСТВА">
        <w:r>
          <w:rPr>
            <w:sz w:val="20"/>
            <w:color w:val="0000ff"/>
          </w:rPr>
          <w:t xml:space="preserve">таблицей 1</w:t>
        </w:r>
      </w:hyperlink>
      <w:r>
        <w:rPr>
          <w:sz w:val="20"/>
        </w:rPr>
        <w:t xml:space="preserve"> к настоящему Порядку, применяются меры ответственности, установленные </w:t>
      </w:r>
      <w:hyperlink w:history="0" r:id="rId208"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65</w:t>
        </w:r>
      </w:hyperlink>
      <w:r>
        <w:rPr>
          <w:sz w:val="20"/>
        </w:rPr>
        <w:t xml:space="preserve"> - </w:t>
      </w:r>
      <w:hyperlink w:history="0" r:id="rId209"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69</w:t>
        </w:r>
      </w:hyperlink>
      <w:r>
        <w:rPr>
          <w:sz w:val="20"/>
        </w:rPr>
        <w:t xml:space="preserve"> Порядка разработки и реализации государственных программ, в порядке и сроки, установленные </w:t>
      </w:r>
      <w:hyperlink w:history="0" r:id="rId210"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69.1</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Освобождение муниципального образования от применения мер ответственности, предусмотренных </w:t>
      </w:r>
      <w:hyperlink w:history="0" w:anchor="P2805" w:tooltip="В случае нарушения муниципальным образованием условий предоставления субсидии, установленных пунктом 6 настоящего Порядка, применяются меры ответственности, предусмотренные пунктом 64 Порядка разработки и реализации государственных программ, в порядке и сроки, установленные пунктом 69.1 Порядка разработки и реализации государственных программ.">
        <w:r>
          <w:rPr>
            <w:sz w:val="20"/>
            <w:color w:val="0000ff"/>
          </w:rPr>
          <w:t xml:space="preserve">абзацами вторым</w:t>
        </w:r>
      </w:hyperlink>
      <w:r>
        <w:rPr>
          <w:sz w:val="20"/>
        </w:rPr>
        <w:t xml:space="preserve"> и </w:t>
      </w:r>
      <w:hyperlink w:history="0" w:anchor="P2806" w:tooltip="В случае нарушения муниципальным образованием основных и дополнительных обязательств, установленных в соответствии с таблицей 1 к настоящему Порядку, применяются меры ответственности, установленные пунктами 65 - 69 Порядка разработки и реализации государственных программ, в порядке и сроки, установленные пунктом 69.1 Порядка разработки и реализации государственных программ.">
        <w:r>
          <w:rPr>
            <w:sz w:val="20"/>
            <w:color w:val="0000ff"/>
          </w:rPr>
          <w:t xml:space="preserve">третьим</w:t>
        </w:r>
      </w:hyperlink>
      <w:r>
        <w:rPr>
          <w:sz w:val="20"/>
        </w:rPr>
        <w:t xml:space="preserve"> настоящего пункта, осуществляется по основаниям и в порядке, установленном </w:t>
      </w:r>
      <w:hyperlink w:history="0" r:id="rId211"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71</w:t>
        </w:r>
      </w:hyperlink>
      <w:r>
        <w:rPr>
          <w:sz w:val="20"/>
        </w:rPr>
        <w:t xml:space="preserve"> и </w:t>
      </w:r>
      <w:hyperlink w:history="0" r:id="rId212"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72</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При отсутствии оснований для освобождения муниципальных образований от применения мер ответственности Мининвест Московской области направляет в срок до 1 мая года, следующего за годом предоставления субсидии, главе муниципального образования Московской области требование по возврату (уплате) из местного бюджета в бюджет Московской области объема средств (штрафа), рассчитанного в соответствии с </w:t>
      </w:r>
      <w:hyperlink w:history="0" r:id="rId213"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64</w:t>
        </w:r>
      </w:hyperlink>
      <w:r>
        <w:rPr>
          <w:sz w:val="20"/>
        </w:rPr>
        <w:t xml:space="preserve"> - </w:t>
      </w:r>
      <w:hyperlink w:history="0" r:id="rId214"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69</w:t>
        </w:r>
      </w:hyperlink>
      <w:r>
        <w:rPr>
          <w:sz w:val="20"/>
        </w:rPr>
        <w:t xml:space="preserve"> Порядка разработки и реализации государственных программ, с указанием сумм средств (размера штрафа), подлежащих возврату (уплате), и сроков их возврата (уплаты).</w:t>
      </w:r>
    </w:p>
    <w:p>
      <w:pPr>
        <w:pStyle w:val="0"/>
        <w:jc w:val="both"/>
      </w:pPr>
      <w:r>
        <w:rPr>
          <w:sz w:val="20"/>
        </w:rPr>
        <w:t xml:space="preserve">(п. 13 в ред. </w:t>
      </w:r>
      <w:hyperlink w:history="0" r:id="rId215"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spacing w:before="200" w:line-rule="auto"/>
        <w:ind w:firstLine="540"/>
        <w:jc w:val="both"/>
      </w:pPr>
      <w:r>
        <w:rPr>
          <w:sz w:val="20"/>
        </w:rPr>
        <w:t xml:space="preserve">14. Муниципальное образование несет ответственность в соответствии с законодательством Российской Федерации за достоверность и полноту сведений, представляемых Мининвесту Московской области, а также за целевое использование средств бюджета Московской области.</w:t>
      </w:r>
    </w:p>
    <w:p>
      <w:pPr>
        <w:pStyle w:val="0"/>
        <w:spacing w:before="200" w:line-rule="auto"/>
        <w:ind w:firstLine="540"/>
        <w:jc w:val="both"/>
      </w:pPr>
      <w:r>
        <w:rPr>
          <w:sz w:val="20"/>
        </w:rPr>
        <w:t xml:space="preserve">15. Мининвест Московской области осуществляет оценку эффективности использования субсидии муниципальным образованием на основании сравнения планируемых и достигнутых муниципальным образованием значений целевых показателей результативности использования субсидии в соответствии с Соглашением.</w:t>
      </w:r>
    </w:p>
    <w:p>
      <w:pPr>
        <w:pStyle w:val="0"/>
        <w:spacing w:before="200" w:line-rule="auto"/>
        <w:ind w:firstLine="540"/>
        <w:jc w:val="both"/>
      </w:pPr>
      <w:r>
        <w:rPr>
          <w:sz w:val="20"/>
        </w:rPr>
        <w:t xml:space="preserve">16. Контроль за соблюдением муниципальными образованиями условий, целей и порядка предоставления субсидии, а также обязательств по Соглашению, установленных при предоставлении субсидии, осуществляется Мининвестом Московской области и органами государственного финансового контроля.</w:t>
      </w:r>
    </w:p>
    <w:p>
      <w:pPr>
        <w:pStyle w:val="0"/>
        <w:jc w:val="both"/>
      </w:pPr>
      <w:r>
        <w:rPr>
          <w:sz w:val="20"/>
        </w:rPr>
        <w:t xml:space="preserve">(п. 16 в ред. </w:t>
      </w:r>
      <w:hyperlink w:history="0" r:id="rId216"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2817" w:name="P2817"/>
    <w:bookmarkEnd w:id="2817"/>
    <w:p>
      <w:pPr>
        <w:pStyle w:val="2"/>
        <w:jc w:val="center"/>
      </w:pPr>
      <w:r>
        <w:rPr>
          <w:sz w:val="20"/>
        </w:rPr>
        <w:t xml:space="preserve">ОБЯЗАТЕЛЬСТВА</w:t>
      </w:r>
    </w:p>
    <w:p>
      <w:pPr>
        <w:pStyle w:val="2"/>
        <w:jc w:val="center"/>
      </w:pPr>
      <w:r>
        <w:rPr>
          <w:sz w:val="20"/>
        </w:rPr>
        <w:t xml:space="preserve">МУНИЦИПАЛЬНОГО ОБРАЗОВАНИЯ ПРИ ПРЕДОСТАВЛЕНИИ СУБСИДИИ</w:t>
      </w:r>
    </w:p>
    <w:p>
      <w:pPr>
        <w:pStyle w:val="0"/>
        <w:jc w:val="center"/>
      </w:pPr>
      <w:r>
        <w:rPr>
          <w:sz w:val="20"/>
        </w:rPr>
      </w:r>
    </w:p>
    <w:p>
      <w:pPr>
        <w:pStyle w:val="0"/>
        <w:jc w:val="center"/>
      </w:pPr>
      <w:r>
        <w:rPr>
          <w:sz w:val="20"/>
        </w:rPr>
        <w:t xml:space="preserve">(в ред. </w:t>
      </w:r>
      <w:hyperlink w:history="0" r:id="rId217"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19.11.2024 N 1384-ПП)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5"/>
        <w:gridCol w:w="7483"/>
      </w:tblGrid>
      <w:tr>
        <w:tc>
          <w:tcPr>
            <w:tcW w:w="605" w:type="dxa"/>
            <w:vAlign w:val="bottom"/>
          </w:tcPr>
          <w:p>
            <w:pPr>
              <w:pStyle w:val="0"/>
              <w:jc w:val="center"/>
            </w:pPr>
            <w:r>
              <w:rPr>
                <w:sz w:val="20"/>
              </w:rPr>
              <w:t xml:space="preserve">N п/п</w:t>
            </w:r>
          </w:p>
        </w:tc>
        <w:tc>
          <w:tcPr>
            <w:tcW w:w="7483" w:type="dxa"/>
          </w:tcPr>
          <w:p>
            <w:pPr>
              <w:pStyle w:val="0"/>
              <w:jc w:val="center"/>
            </w:pPr>
            <w:r>
              <w:rPr>
                <w:sz w:val="20"/>
              </w:rPr>
              <w:t xml:space="preserve">Наименование обязательства</w:t>
            </w:r>
          </w:p>
        </w:tc>
      </w:tr>
      <w:tr>
        <w:tc>
          <w:tcPr>
            <w:tcW w:w="605" w:type="dxa"/>
            <w:vAlign w:val="center"/>
          </w:tcPr>
          <w:p>
            <w:pPr>
              <w:pStyle w:val="0"/>
              <w:jc w:val="center"/>
            </w:pPr>
            <w:r>
              <w:rPr>
                <w:sz w:val="20"/>
              </w:rPr>
              <w:t xml:space="preserve">1</w:t>
            </w:r>
          </w:p>
        </w:tc>
        <w:tc>
          <w:tcPr>
            <w:tcW w:w="7483" w:type="dxa"/>
            <w:vAlign w:val="center"/>
          </w:tcPr>
          <w:p>
            <w:pPr>
              <w:pStyle w:val="0"/>
              <w:jc w:val="center"/>
            </w:pPr>
            <w:r>
              <w:rPr>
                <w:sz w:val="20"/>
              </w:rPr>
              <w:t xml:space="preserve">2</w:t>
            </w:r>
          </w:p>
        </w:tc>
      </w:tr>
      <w:tr>
        <w:tc>
          <w:tcPr>
            <w:tcW w:w="605" w:type="dxa"/>
          </w:tcPr>
          <w:p>
            <w:pPr>
              <w:pStyle w:val="0"/>
              <w:outlineLvl w:val="5"/>
            </w:pPr>
            <w:r>
              <w:rPr>
                <w:sz w:val="20"/>
              </w:rPr>
              <w:t xml:space="preserve">1</w:t>
            </w:r>
          </w:p>
        </w:tc>
        <w:tc>
          <w:tcPr>
            <w:tcW w:w="7483" w:type="dxa"/>
          </w:tcPr>
          <w:p>
            <w:pPr>
              <w:pStyle w:val="0"/>
            </w:pPr>
            <w:r>
              <w:rPr>
                <w:sz w:val="20"/>
              </w:rPr>
              <w:t xml:space="preserve">Основные обязательства муниципального образования при предоставлении субсидии:</w:t>
            </w:r>
          </w:p>
        </w:tc>
      </w:tr>
      <w:tr>
        <w:tc>
          <w:tcPr>
            <w:tcW w:w="605" w:type="dxa"/>
          </w:tcPr>
          <w:p>
            <w:pPr>
              <w:pStyle w:val="0"/>
            </w:pPr>
            <w:r>
              <w:rPr>
                <w:sz w:val="20"/>
              </w:rPr>
              <w:t xml:space="preserve">1.1</w:t>
            </w:r>
          </w:p>
        </w:tc>
        <w:tc>
          <w:tcPr>
            <w:tcW w:w="7483" w:type="dxa"/>
          </w:tcPr>
          <w:p>
            <w:pPr>
              <w:pStyle w:val="0"/>
            </w:pPr>
            <w:r>
              <w:rPr>
                <w:sz w:val="20"/>
              </w:rPr>
              <w:t xml:space="preserve">Достижение целевых показателей результативности использования субсидии</w:t>
            </w:r>
          </w:p>
        </w:tc>
      </w:tr>
      <w:tr>
        <w:tc>
          <w:tcPr>
            <w:tcW w:w="605" w:type="dxa"/>
          </w:tcPr>
          <w:p>
            <w:pPr>
              <w:pStyle w:val="0"/>
            </w:pPr>
            <w:r>
              <w:rPr>
                <w:sz w:val="20"/>
              </w:rPr>
              <w:t xml:space="preserve">1.2</w:t>
            </w:r>
          </w:p>
        </w:tc>
        <w:tc>
          <w:tcPr>
            <w:tcW w:w="7483" w:type="dxa"/>
            <w:vAlign w:val="bottom"/>
          </w:tcPr>
          <w:p>
            <w:pPr>
              <w:pStyle w:val="0"/>
            </w:pPr>
            <w:r>
              <w:rPr>
                <w:sz w:val="20"/>
              </w:rPr>
              <w:t xml:space="preserve">Соблюдение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tc>
      </w:tr>
      <w:tr>
        <w:tc>
          <w:tcPr>
            <w:tcW w:w="605" w:type="dxa"/>
          </w:tcPr>
          <w:p>
            <w:pPr>
              <w:pStyle w:val="0"/>
            </w:pPr>
            <w:r>
              <w:rPr>
                <w:sz w:val="20"/>
              </w:rPr>
              <w:t xml:space="preserve">1.3</w:t>
            </w:r>
          </w:p>
        </w:tc>
        <w:tc>
          <w:tcPr>
            <w:tcW w:w="7483" w:type="dxa"/>
          </w:tcPr>
          <w:p>
            <w:pPr>
              <w:pStyle w:val="0"/>
            </w:pPr>
            <w:r>
              <w:rPr>
                <w:sz w:val="20"/>
              </w:rPr>
              <w:t xml:space="preserve">Соблюдение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 учетом требований, установленных </w:t>
            </w:r>
            <w:hyperlink w:history="0" r:id="rId218"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51.1</w:t>
              </w:r>
            </w:hyperlink>
            <w:r>
              <w:rPr>
                <w:sz w:val="20"/>
              </w:rPr>
              <w:t xml:space="preserve"> Порядка разработки и реализации государственных программ</w:t>
            </w:r>
          </w:p>
        </w:tc>
      </w:tr>
      <w:tr>
        <w:tc>
          <w:tcPr>
            <w:tcW w:w="605" w:type="dxa"/>
          </w:tcPr>
          <w:p>
            <w:pPr>
              <w:pStyle w:val="0"/>
            </w:pPr>
            <w:r>
              <w:rPr>
                <w:sz w:val="20"/>
              </w:rPr>
              <w:t xml:space="preserve">1.4</w:t>
            </w:r>
          </w:p>
        </w:tc>
        <w:tc>
          <w:tcPr>
            <w:tcW w:w="7483" w:type="dxa"/>
            <w:vAlign w:val="bottom"/>
          </w:tcPr>
          <w:p>
            <w:pPr>
              <w:pStyle w:val="0"/>
            </w:pPr>
            <w:r>
              <w:rPr>
                <w:sz w:val="20"/>
              </w:rPr>
              <w:t xml:space="preserve">Соблюдение следующих требований при исполнении муниципальных контрактов (контрактов, договоров), финансовое обеспечение исполнения обязательств по которым осуществлено за счет средств субсидии:</w:t>
            </w:r>
          </w:p>
          <w:p>
            <w:pPr>
              <w:pStyle w:val="0"/>
            </w:pPr>
            <w:r>
              <w:rPr>
                <w:sz w:val="20"/>
              </w:rPr>
              <w:t xml:space="preserve">осуществлена приемка поставленных товаров, выполненных работ (их результатов), оказанных услуг, соответствующих условиям муниципального (контракта, договора);</w:t>
            </w:r>
          </w:p>
          <w:p>
            <w:pPr>
              <w:pStyle w:val="0"/>
            </w:pPr>
            <w:r>
              <w:rPr>
                <w:sz w:val="20"/>
              </w:rPr>
              <w:t xml:space="preserve">товар (работа (ее результат), услуга) фактически поставлен (выполнена, оказана) заказчику и соответствует характеристикам и количеству, указанным в документе о приемке</w:t>
            </w:r>
          </w:p>
        </w:tc>
      </w:tr>
      <w:tr>
        <w:tc>
          <w:tcPr>
            <w:tcW w:w="605" w:type="dxa"/>
          </w:tcPr>
          <w:p>
            <w:pPr>
              <w:pStyle w:val="0"/>
              <w:outlineLvl w:val="5"/>
            </w:pPr>
            <w:r>
              <w:rPr>
                <w:sz w:val="20"/>
              </w:rPr>
              <w:t xml:space="preserve">2</w:t>
            </w:r>
          </w:p>
        </w:tc>
        <w:tc>
          <w:tcPr>
            <w:tcW w:w="7483" w:type="dxa"/>
            <w:vAlign w:val="bottom"/>
          </w:tcPr>
          <w:p>
            <w:pPr>
              <w:pStyle w:val="0"/>
            </w:pPr>
            <w:r>
              <w:rPr>
                <w:sz w:val="20"/>
              </w:rPr>
              <w:t xml:space="preserve">Дополнительные обязательства муниципального образования при предоставлении субсидии:</w:t>
            </w:r>
          </w:p>
        </w:tc>
      </w:tr>
      <w:tr>
        <w:tc>
          <w:tcPr>
            <w:tcW w:w="605" w:type="dxa"/>
          </w:tcPr>
          <w:p>
            <w:pPr>
              <w:pStyle w:val="0"/>
            </w:pPr>
            <w:r>
              <w:rPr>
                <w:sz w:val="20"/>
              </w:rPr>
              <w:t xml:space="preserve">2.1</w:t>
            </w:r>
          </w:p>
        </w:tc>
        <w:tc>
          <w:tcPr>
            <w:tcW w:w="7483" w:type="dxa"/>
            <w:vAlign w:val="bottom"/>
          </w:tcPr>
          <w:p>
            <w:pPr>
              <w:pStyle w:val="0"/>
            </w:pPr>
            <w:r>
              <w:rPr>
                <w:sz w:val="20"/>
              </w:rPr>
              <w:t xml:space="preserve">Взыскание неустойки (штрафов, пеней) с поставщика (подрядчика, исполнителя) в связи с неисполнением (ненадлежащим исполнением) муниципального контракта (контракта, договора) в соответствии с </w:t>
            </w:r>
            <w:hyperlink w:history="0" r:id="rId219" w:tooltip="Постановление Правительства МО от 27.12.2013 N 1184/57 (ред. от 28.12.2024)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акупок для государственных нужд Московской области и муниципальных нужд&quot;, &quot;Регламентом работы Межведомственной комиссии по проверке обоснованности закупок&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 (далее - Постановление N 1184/57) в случае осуществления закупок товаров, работ, услуг в соответствии с требованиями Федерального </w:t>
            </w:r>
            <w:hyperlink w:history="0" r:id="rId2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tc>
      </w:tr>
      <w:tr>
        <w:tc>
          <w:tcPr>
            <w:tcW w:w="605" w:type="dxa"/>
          </w:tcPr>
          <w:p>
            <w:pPr>
              <w:pStyle w:val="0"/>
            </w:pPr>
            <w:r>
              <w:rPr>
                <w:sz w:val="20"/>
              </w:rPr>
              <w:t xml:space="preserve">2.2</w:t>
            </w:r>
          </w:p>
        </w:tc>
        <w:tc>
          <w:tcPr>
            <w:tcW w:w="7483" w:type="dxa"/>
            <w:vAlign w:val="bottom"/>
          </w:tcPr>
          <w:p>
            <w:pPr>
              <w:pStyle w:val="0"/>
            </w:pPr>
            <w:r>
              <w:rPr>
                <w:sz w:val="20"/>
              </w:rPr>
              <w:t xml:space="preserve">Осуществление закупок посредством государственной информационной системы Московской области "Единая автоматизированная система управления закупками Московской области"</w:t>
            </w:r>
          </w:p>
        </w:tc>
      </w:tr>
      <w:tr>
        <w:tc>
          <w:tcPr>
            <w:tcW w:w="605" w:type="dxa"/>
          </w:tcPr>
          <w:p>
            <w:pPr>
              <w:pStyle w:val="0"/>
            </w:pPr>
            <w:r>
              <w:rPr>
                <w:sz w:val="20"/>
              </w:rPr>
              <w:t xml:space="preserve">2.3</w:t>
            </w:r>
          </w:p>
        </w:tc>
        <w:tc>
          <w:tcPr>
            <w:tcW w:w="7483" w:type="dxa"/>
            <w:vAlign w:val="bottom"/>
          </w:tcPr>
          <w:p>
            <w:pPr>
              <w:pStyle w:val="0"/>
            </w:pPr>
            <w:r>
              <w:rPr>
                <w:sz w:val="20"/>
              </w:rPr>
              <w:t xml:space="preserve">Передача Комитету по конкурентной политике Московской области полномочий по определению поставщиков (подрядчиков, исполнителей) в случаях и порядке, предусмотренных </w:t>
            </w:r>
            <w:hyperlink w:history="0" r:id="rId221" w:tooltip="Постановление Правительства МО от 27.12.2013 N 1184/57 (ред. от 28.12.2024)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акупок для государственных нужд Московской области и муниципальных нужд&quot;, &quot;Регламентом работы Межведомственной комиссии по проверке обоснованности закупок&quot;) (с изм. и доп., вступающими в силу с 01.01.2025) {КонсультантПлюс}">
              <w:r>
                <w:rPr>
                  <w:sz w:val="20"/>
                  <w:color w:val="0000ff"/>
                </w:rPr>
                <w:t xml:space="preserve">Постановлением</w:t>
              </w:r>
            </w:hyperlink>
            <w:r>
              <w:rPr>
                <w:sz w:val="20"/>
              </w:rPr>
              <w:t xml:space="preserve"> N 1184/57</w:t>
            </w:r>
          </w:p>
        </w:tc>
      </w:tr>
      <w:tr>
        <w:tc>
          <w:tcPr>
            <w:tcW w:w="605" w:type="dxa"/>
          </w:tcPr>
          <w:p>
            <w:pPr>
              <w:pStyle w:val="0"/>
            </w:pPr>
            <w:r>
              <w:rPr>
                <w:sz w:val="20"/>
              </w:rPr>
              <w:t xml:space="preserve">2.4</w:t>
            </w:r>
          </w:p>
        </w:tc>
        <w:tc>
          <w:tcPr>
            <w:tcW w:w="7483" w:type="dxa"/>
            <w:vAlign w:val="bottom"/>
          </w:tcPr>
          <w:p>
            <w:pPr>
              <w:pStyle w:val="0"/>
            </w:pPr>
            <w:r>
              <w:rPr>
                <w:sz w:val="20"/>
              </w:rPr>
              <w:t xml:space="preserve">Обеспечение согласования документов с Мининвестом Московской области, а также рабочей группой по оценке обоснованности закупок, образуемой Комитетом по конкурентной политике Московской области (далее - Рабочая группа), в соответствии с регламентом работы Рабочей группы</w:t>
            </w:r>
          </w:p>
        </w:tc>
      </w:tr>
      <w:tr>
        <w:tc>
          <w:tcPr>
            <w:tcW w:w="605" w:type="dxa"/>
          </w:tcPr>
          <w:p>
            <w:pPr>
              <w:pStyle w:val="0"/>
            </w:pPr>
            <w:r>
              <w:rPr>
                <w:sz w:val="20"/>
              </w:rPr>
              <w:t xml:space="preserve">2.5</w:t>
            </w:r>
          </w:p>
        </w:tc>
        <w:tc>
          <w:tcPr>
            <w:tcW w:w="7483" w:type="dxa"/>
            <w:vAlign w:val="bottom"/>
          </w:tcPr>
          <w:p>
            <w:pPr>
              <w:pStyle w:val="0"/>
            </w:pPr>
            <w:r>
              <w:rPr>
                <w:sz w:val="20"/>
              </w:rPr>
              <w:t xml:space="preserve">Наличие в собственности муниципального образования земельных участков общей площадью не менее 8 га, относящихся к категории земель, на которых допускается размещение промышленных предприятий и промышленной инфраструктуры</w:t>
            </w:r>
          </w:p>
        </w:tc>
      </w:tr>
      <w:tr>
        <w:tc>
          <w:tcPr>
            <w:tcW w:w="605" w:type="dxa"/>
          </w:tcPr>
          <w:p>
            <w:pPr>
              <w:pStyle w:val="0"/>
            </w:pPr>
            <w:r>
              <w:rPr>
                <w:sz w:val="20"/>
              </w:rPr>
              <w:t xml:space="preserve">2.6</w:t>
            </w:r>
          </w:p>
        </w:tc>
        <w:tc>
          <w:tcPr>
            <w:tcW w:w="7483" w:type="dxa"/>
            <w:vAlign w:val="bottom"/>
          </w:tcPr>
          <w:p>
            <w:pPr>
              <w:pStyle w:val="0"/>
            </w:pPr>
            <w:r>
              <w:rPr>
                <w:sz w:val="20"/>
              </w:rPr>
              <w:t xml:space="preserve">Наличие утвержденной в муниципальном образовании концепции (бизнес-плана) создания планируемой территории развития, ориентированной на развитие промышленного производства на территории Московской области, предусматривающей достижение целевых показателей результативности использования субсидии, указанных в </w:t>
            </w:r>
            <w:hyperlink w:history="0" w:anchor="P2768" w:tooltip="5. Целевыми показателями результативности использования субсидии являются:">
              <w:r>
                <w:rPr>
                  <w:sz w:val="20"/>
                  <w:color w:val="0000ff"/>
                </w:rPr>
                <w:t xml:space="preserve">пункте 5</w:t>
              </w:r>
            </w:hyperlink>
            <w:r>
              <w:rPr>
                <w:sz w:val="20"/>
              </w:rPr>
              <w:t xml:space="preserve"> настоящего Порядка</w:t>
            </w:r>
          </w:p>
        </w:tc>
      </w:tr>
    </w:tbl>
    <w:p>
      <w:pPr>
        <w:pStyle w:val="0"/>
        <w:jc w:val="both"/>
      </w:pPr>
      <w:r>
        <w:rPr>
          <w:sz w:val="20"/>
        </w:rPr>
      </w:r>
    </w:p>
    <w:p>
      <w:pPr>
        <w:pStyle w:val="2"/>
        <w:outlineLvl w:val="3"/>
        <w:jc w:val="center"/>
      </w:pPr>
      <w:r>
        <w:rPr>
          <w:sz w:val="20"/>
        </w:rPr>
        <w:t xml:space="preserve">5.2.2. Порядок предоставления субсидий из бюджета Московской</w:t>
      </w:r>
    </w:p>
    <w:p>
      <w:pPr>
        <w:pStyle w:val="2"/>
        <w:jc w:val="center"/>
      </w:pPr>
      <w:r>
        <w:rPr>
          <w:sz w:val="20"/>
        </w:rPr>
        <w:t xml:space="preserve">области бюджетам муниципальных образований Московской</w:t>
      </w:r>
    </w:p>
    <w:p>
      <w:pPr>
        <w:pStyle w:val="2"/>
        <w:jc w:val="center"/>
      </w:pPr>
      <w:r>
        <w:rPr>
          <w:sz w:val="20"/>
        </w:rPr>
        <w:t xml:space="preserve">области в рамках реализации мероприятия 03.01 "Осуществление</w:t>
      </w:r>
    </w:p>
    <w:p>
      <w:pPr>
        <w:pStyle w:val="2"/>
        <w:jc w:val="center"/>
      </w:pPr>
      <w:r>
        <w:rPr>
          <w:sz w:val="20"/>
        </w:rPr>
        <w:t xml:space="preserve">мероприятий по реализации стратегий социально-экономического</w:t>
      </w:r>
    </w:p>
    <w:p>
      <w:pPr>
        <w:pStyle w:val="2"/>
        <w:jc w:val="center"/>
      </w:pPr>
      <w:r>
        <w:rPr>
          <w:sz w:val="20"/>
        </w:rPr>
        <w:t xml:space="preserve">развития наукоградов Российской Федерации, способствующих</w:t>
      </w:r>
    </w:p>
    <w:p>
      <w:pPr>
        <w:pStyle w:val="2"/>
        <w:jc w:val="center"/>
      </w:pPr>
      <w:r>
        <w:rPr>
          <w:sz w:val="20"/>
        </w:rPr>
        <w:t xml:space="preserve">развитию научно-производственного комплекса наукоградов</w:t>
      </w:r>
    </w:p>
    <w:p>
      <w:pPr>
        <w:pStyle w:val="2"/>
        <w:jc w:val="center"/>
      </w:pPr>
      <w:r>
        <w:rPr>
          <w:sz w:val="20"/>
        </w:rPr>
        <w:t xml:space="preserve">Российской Федерации, а также сохранению и развитию</w:t>
      </w:r>
    </w:p>
    <w:p>
      <w:pPr>
        <w:pStyle w:val="2"/>
        <w:jc w:val="center"/>
      </w:pPr>
      <w:r>
        <w:rPr>
          <w:sz w:val="20"/>
        </w:rPr>
        <w:t xml:space="preserve">инфраструктуры наукоградов Российской Федерации"</w:t>
      </w:r>
    </w:p>
    <w:p>
      <w:pPr>
        <w:pStyle w:val="2"/>
        <w:jc w:val="center"/>
      </w:pPr>
      <w:r>
        <w:rPr>
          <w:sz w:val="20"/>
        </w:rPr>
        <w:t xml:space="preserve">Подпрограммы 1 государственной программы</w:t>
      </w:r>
    </w:p>
    <w:p>
      <w:pPr>
        <w:pStyle w:val="0"/>
        <w:jc w:val="both"/>
      </w:pPr>
      <w:r>
        <w:rPr>
          <w:sz w:val="20"/>
        </w:rPr>
      </w:r>
    </w:p>
    <w:bookmarkStart w:id="2864" w:name="P2864"/>
    <w:bookmarkEnd w:id="2864"/>
    <w:p>
      <w:pPr>
        <w:pStyle w:val="0"/>
        <w:ind w:firstLine="540"/>
        <w:jc w:val="both"/>
      </w:pPr>
      <w:r>
        <w:rPr>
          <w:sz w:val="20"/>
        </w:rPr>
        <w:t xml:space="preserve">1. Настоящий Порядок определяет правила предоставления субсидии из бюджета Московской области бюджетам муниципальных образований Московской области, имеющих статус наукограда Российской Федерации, в целях софинансирования их расходных обязательств, возникающих при осуществлении мероприятий по реализации стратегий социально-экономического развития наукоградов Российской Федерации (далее - Порядок, наукоград, субсидия) и обеспечивающих достижение целей, показателей и результатов федерального проекта "Поддержка наукоградов" государственной программы Российской Федерации "Научно-технологическое развитие Российской Федерации", на следующие мероприятия (далее - мероприятия, способствующие развитию наукограда):</w:t>
      </w:r>
    </w:p>
    <w:p>
      <w:pPr>
        <w:pStyle w:val="0"/>
        <w:jc w:val="both"/>
      </w:pPr>
      <w:r>
        <w:rPr>
          <w:sz w:val="20"/>
        </w:rPr>
        <w:t xml:space="preserve">(в ред. </w:t>
      </w:r>
      <w:hyperlink w:history="0" r:id="rId222" w:tooltip="Постановление Правительства МО от 06.08.2024 N 8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06.08.2024 N 814-ПП)</w:t>
      </w:r>
    </w:p>
    <w:p>
      <w:pPr>
        <w:pStyle w:val="0"/>
        <w:spacing w:before="200" w:line-rule="auto"/>
        <w:ind w:firstLine="540"/>
        <w:jc w:val="both"/>
      </w:pPr>
      <w:r>
        <w:rPr>
          <w:sz w:val="20"/>
        </w:rPr>
        <w:t xml:space="preserve">1) мероприятия, способствующие развитию научно-производственного комплекса наукограда (в том числе малых и средних предприятий), а также сохранению и развитию его инфраструктуры;</w:t>
      </w:r>
    </w:p>
    <w:p>
      <w:pPr>
        <w:pStyle w:val="0"/>
        <w:spacing w:before="200" w:line-rule="auto"/>
        <w:ind w:firstLine="540"/>
        <w:jc w:val="both"/>
      </w:pPr>
      <w:r>
        <w:rPr>
          <w:sz w:val="20"/>
        </w:rPr>
        <w:t xml:space="preserve">2) мероприятия, способствующие реализации инновационных проектов, направленных на создание и развитие производства высокотехнологичной промышленной продукции и (или) инновационных товаров и услуг в соответствии с приоритетными направлениями развития науки, технологий и техники Российской Федерации.</w:t>
      </w:r>
    </w:p>
    <w:p>
      <w:pPr>
        <w:pStyle w:val="0"/>
        <w:spacing w:before="200" w:line-rule="auto"/>
        <w:ind w:firstLine="540"/>
        <w:jc w:val="both"/>
      </w:pPr>
      <w:r>
        <w:rPr>
          <w:sz w:val="20"/>
        </w:rPr>
        <w:t xml:space="preserve">2. Субсидия формируется из средств, предоставленных в виде субсидии из федерального бюджета бюджету Московской области на софинансирование расходов местных бюджетов в соответствии с </w:t>
      </w:r>
      <w:hyperlink w:history="0" r:id="rId223" w:tooltip="Постановление Правительства РФ от 29.03.2019 N 377 (ред. от 23.12.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осуществлении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установленными постановлением Правительства Российской Федерации от 29.03.2019 N 377 "Об утверждении государственной программы Российской Федерации "Научно-технологическое развитие Российской Федерации" (далее - Правила предоставления субсидий).</w:t>
      </w:r>
    </w:p>
    <w:p>
      <w:pPr>
        <w:pStyle w:val="0"/>
        <w:spacing w:before="200" w:line-rule="auto"/>
        <w:ind w:firstLine="540"/>
        <w:jc w:val="both"/>
      </w:pPr>
      <w:r>
        <w:rPr>
          <w:sz w:val="20"/>
        </w:rPr>
        <w:t xml:space="preserve">Субсидия предоставляется в пределах бюджетных ассигнований, предусмотренных Мининвесту Московской области в законе о бюджете Московской области на соответствующий финансовый год и плановый период, в рамках </w:t>
      </w:r>
      <w:hyperlink w:history="0" w:anchor="P1471" w:tooltip="Мероприятие 03.01.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w:r>
          <w:rPr>
            <w:sz w:val="20"/>
            <w:color w:val="0000ff"/>
          </w:rPr>
          <w:t xml:space="preserve">мероприятия 03.01</w:t>
        </w:r>
      </w:hyperlink>
      <w:r>
        <w:rPr>
          <w:sz w:val="20"/>
        </w:rPr>
        <w:t xml:space="preserve">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Подпрограммы 1 государственной программы.</w:t>
      </w:r>
    </w:p>
    <w:p>
      <w:pPr>
        <w:pStyle w:val="0"/>
        <w:spacing w:before="200" w:line-rule="auto"/>
        <w:ind w:firstLine="540"/>
        <w:jc w:val="both"/>
      </w:pPr>
      <w:r>
        <w:rPr>
          <w:sz w:val="20"/>
        </w:rPr>
        <w:t xml:space="preserve">3. Субсидия носит целевой характер и не может быть использована на иные цели, чем цели, предусмотренные </w:t>
      </w:r>
      <w:hyperlink w:history="0" w:anchor="P2864" w:tooltip="1. Настоящий Порядок определяет правила предоставления субсидии из бюджета Московской области бюджетам муниципальных образований Московской области, имеющих статус наукограда Российской Федерации, в целях софинансирования их расходных обязательств, возникающих при осуществлении мероприятий по реализации стратегий социально-экономического развития наукоградов Российской Федерации (далее - Порядок, наукоград, субсидия) и обеспечивающих достижение целей, показателей и результатов федерального проекта &quot;Подде...">
        <w:r>
          <w:rPr>
            <w:sz w:val="20"/>
            <w:color w:val="0000ff"/>
          </w:rPr>
          <w:t xml:space="preserve">пунктом 1</w:t>
        </w:r>
      </w:hyperlink>
      <w:r>
        <w:rPr>
          <w:sz w:val="20"/>
        </w:rPr>
        <w:t xml:space="preserve"> настоящего Порядка.</w:t>
      </w:r>
    </w:p>
    <w:p>
      <w:pPr>
        <w:pStyle w:val="0"/>
        <w:spacing w:before="200" w:line-rule="auto"/>
        <w:ind w:firstLine="540"/>
        <w:jc w:val="both"/>
      </w:pPr>
      <w:r>
        <w:rPr>
          <w:sz w:val="20"/>
        </w:rPr>
        <w:t xml:space="preserve">В случае нецелевого использования субсидия подлежит взысканию в бюджет Московской области в соответствии с законодательством Российской Федерации и законодательством Московской области.</w:t>
      </w:r>
    </w:p>
    <w:bookmarkStart w:id="2872" w:name="P2872"/>
    <w:bookmarkEnd w:id="2872"/>
    <w:p>
      <w:pPr>
        <w:pStyle w:val="0"/>
        <w:spacing w:before="200" w:line-rule="auto"/>
        <w:ind w:firstLine="540"/>
        <w:jc w:val="both"/>
      </w:pPr>
      <w:r>
        <w:rPr>
          <w:sz w:val="20"/>
        </w:rPr>
        <w:t xml:space="preserve">4. Целевым показателем результативности использования субсидии является количество реализованных мероприятий, способствующих развитию научно-производственного комплекса наукограда (в том числе малых и средних предприятий), сохранению и развитию его инфраструктуры, а также мероприятий, способствующих реализации инновационных проектов, направленных на создание и развитие производства высокотехнологичной промышленной продукции и (или) инновационных товаров и услуг в соответствии с приоритетными направлениями развития науки, технологий и техники Российской Федерации, представленных субъектами Российской Федерации, на территориях которых расположены муниципальные образования, имеющие статус наукограда Российской Федерации (единиц) (далее - целевой показатель результативности).</w:t>
      </w:r>
    </w:p>
    <w:p>
      <w:pPr>
        <w:pStyle w:val="0"/>
        <w:jc w:val="both"/>
      </w:pPr>
      <w:r>
        <w:rPr>
          <w:sz w:val="20"/>
        </w:rPr>
        <w:t xml:space="preserve">(п. 4 в ред. </w:t>
      </w:r>
      <w:hyperlink w:history="0" r:id="rId224" w:tooltip="Постановление Правительства МО от 06.08.2024 N 8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06.08.2024 N 814-ПП)</w:t>
      </w:r>
    </w:p>
    <w:p>
      <w:pPr>
        <w:pStyle w:val="0"/>
        <w:spacing w:before="200" w:line-rule="auto"/>
        <w:ind w:firstLine="540"/>
        <w:jc w:val="both"/>
      </w:pPr>
      <w:r>
        <w:rPr>
          <w:sz w:val="20"/>
        </w:rPr>
        <w:t xml:space="preserve">5. Субсидия предоставляется при соблюдении муниципальным образованием Московской области следующих условий:</w:t>
      </w:r>
    </w:p>
    <w:p>
      <w:pPr>
        <w:pStyle w:val="0"/>
        <w:spacing w:before="200" w:line-rule="auto"/>
        <w:ind w:firstLine="540"/>
        <w:jc w:val="both"/>
      </w:pPr>
      <w:r>
        <w:rPr>
          <w:sz w:val="20"/>
        </w:rPr>
        <w:t xml:space="preserve">1) наличие правового акта наукограда (муниципальной программы), утверждающего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2) наличие в бюджете наукограда бюджетных ассигнований на осуществление мероприятий,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pPr>
        <w:pStyle w:val="0"/>
        <w:spacing w:before="200" w:line-rule="auto"/>
        <w:ind w:firstLine="540"/>
        <w:jc w:val="both"/>
      </w:pPr>
      <w:r>
        <w:rPr>
          <w:sz w:val="20"/>
        </w:rPr>
        <w:t xml:space="preserve">3) заключение с Мининвестом Московской области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предусмотренных в местном бюджете, в целях софинансирования которых предоставляется субсидия, соблюдение требований, установленных </w:t>
      </w:r>
      <w:hyperlink w:history="0" r:id="rId225"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51.1</w:t>
        </w:r>
      </w:hyperlink>
      <w:r>
        <w:rPr>
          <w:sz w:val="20"/>
        </w:rPr>
        <w:t xml:space="preserve"> Порядка разработки и реализации государственных программ, и ответственность за неисполнение предусмотренных Соглашением обязательств.</w:t>
      </w:r>
    </w:p>
    <w:p>
      <w:pPr>
        <w:pStyle w:val="0"/>
        <w:jc w:val="both"/>
      </w:pPr>
      <w:r>
        <w:rPr>
          <w:sz w:val="20"/>
        </w:rPr>
        <w:t xml:space="preserve">(пп. 3 в ред. </w:t>
      </w:r>
      <w:hyperlink w:history="0" r:id="rId226"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spacing w:before="200" w:line-rule="auto"/>
        <w:ind w:firstLine="540"/>
        <w:jc w:val="both"/>
      </w:pPr>
      <w:r>
        <w:rPr>
          <w:sz w:val="20"/>
        </w:rPr>
        <w:t xml:space="preserve">6. Критериями отбора муниципальных образований Московской области для предоставления субсидии являются:</w:t>
      </w:r>
    </w:p>
    <w:p>
      <w:pPr>
        <w:pStyle w:val="0"/>
        <w:spacing w:before="200" w:line-rule="auto"/>
        <w:ind w:firstLine="540"/>
        <w:jc w:val="both"/>
      </w:pPr>
      <w:r>
        <w:rPr>
          <w:sz w:val="20"/>
        </w:rPr>
        <w:t xml:space="preserve">наличие присвоенного муниципальному образованию Московской области статуса наукограда;</w:t>
      </w:r>
    </w:p>
    <w:p>
      <w:pPr>
        <w:pStyle w:val="0"/>
        <w:spacing w:before="200" w:line-rule="auto"/>
        <w:ind w:firstLine="540"/>
        <w:jc w:val="both"/>
      </w:pPr>
      <w:r>
        <w:rPr>
          <w:sz w:val="20"/>
        </w:rPr>
        <w:t xml:space="preserve">наличие соглашения об информационном взаимодействии при предоставлении межбюджетных трансфертов из бюджета Московской области, заключенного между органом местного самоуправления муниципального образования Московской области и МЭФ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муниципальных образований Московской области и Министерством экономики и финансов Московской области, утверждаемым МЭФ Московской области.</w:t>
      </w:r>
    </w:p>
    <w:p>
      <w:pPr>
        <w:pStyle w:val="0"/>
        <w:spacing w:before="200" w:line-rule="auto"/>
        <w:ind w:firstLine="540"/>
        <w:jc w:val="both"/>
      </w:pPr>
      <w:r>
        <w:rPr>
          <w:sz w:val="20"/>
        </w:rPr>
        <w:t xml:space="preserve">7. Обязательства органа местного самоуправления муниципального образования Московской области устанавливаются в соответствии с </w:t>
      </w:r>
      <w:hyperlink w:history="0" w:anchor="P2941" w:tooltip="ОБЯЗАТЕЛЬСТВА">
        <w:r>
          <w:rPr>
            <w:sz w:val="20"/>
            <w:color w:val="0000ff"/>
          </w:rPr>
          <w:t xml:space="preserve">таблицей 1</w:t>
        </w:r>
      </w:hyperlink>
      <w:r>
        <w:rPr>
          <w:sz w:val="20"/>
        </w:rPr>
        <w:t xml:space="preserve"> к настоящему Порядку.</w:t>
      </w:r>
    </w:p>
    <w:p>
      <w:pPr>
        <w:pStyle w:val="0"/>
        <w:spacing w:before="200" w:line-rule="auto"/>
        <w:ind w:firstLine="540"/>
        <w:jc w:val="both"/>
      </w:pPr>
      <w:r>
        <w:rPr>
          <w:sz w:val="20"/>
        </w:rPr>
        <w:t xml:space="preserve">8. Размер субсидии (Si), предоставляемой бюджету i-го наукограда в соответствующем году, определяется по формуле:</w:t>
      </w:r>
    </w:p>
    <w:p>
      <w:pPr>
        <w:pStyle w:val="0"/>
        <w:jc w:val="both"/>
      </w:pPr>
      <w:r>
        <w:rPr>
          <w:sz w:val="20"/>
        </w:rPr>
      </w:r>
    </w:p>
    <w:p>
      <w:pPr>
        <w:pStyle w:val="0"/>
        <w:jc w:val="center"/>
      </w:pPr>
      <w:r>
        <w:rPr>
          <w:position w:val="-20"/>
        </w:rPr>
        <w:drawing>
          <wp:inline distT="0" distB="0" distL="0" distR="0">
            <wp:extent cx="975360"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975360" cy="381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общее количество мероприятий, способствующих развитию i-го наукограда, в соответствии с Соглашением;</w:t>
      </w:r>
    </w:p>
    <w:p>
      <w:pPr>
        <w:pStyle w:val="0"/>
        <w:spacing w:before="200" w:line-rule="auto"/>
        <w:ind w:firstLine="540"/>
        <w:jc w:val="both"/>
      </w:pPr>
      <w:r>
        <w:rPr>
          <w:sz w:val="20"/>
        </w:rPr>
        <w:t xml:space="preserve">Сj - размер субсидии в соответствующем году на j-е мероприятие, способствующее развитию i-го наукограда.</w:t>
      </w:r>
    </w:p>
    <w:p>
      <w:pPr>
        <w:pStyle w:val="0"/>
        <w:jc w:val="both"/>
      </w:pPr>
      <w:r>
        <w:rPr>
          <w:sz w:val="20"/>
        </w:rPr>
      </w:r>
    </w:p>
    <w:p>
      <w:pPr>
        <w:pStyle w:val="0"/>
        <w:ind w:firstLine="540"/>
        <w:jc w:val="both"/>
      </w:pPr>
      <w:r>
        <w:rPr>
          <w:sz w:val="20"/>
        </w:rPr>
        <w:t xml:space="preserve">Сj определяется по формуле:</w:t>
      </w:r>
    </w:p>
    <w:p>
      <w:pPr>
        <w:pStyle w:val="0"/>
        <w:jc w:val="both"/>
      </w:pPr>
      <w:r>
        <w:rPr>
          <w:sz w:val="20"/>
        </w:rPr>
      </w:r>
    </w:p>
    <w:p>
      <w:pPr>
        <w:pStyle w:val="0"/>
        <w:ind w:firstLine="540"/>
        <w:jc w:val="both"/>
      </w:pPr>
      <w:r>
        <w:rPr>
          <w:sz w:val="20"/>
        </w:rPr>
        <w:t xml:space="preserve">Сj = Сфj + Соj,</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Сфj - размер субсидии в соответствующем году на j-е мероприятие, способствующее развитию i-го наукограда, из федерального бюджета.</w:t>
      </w:r>
    </w:p>
    <w:p>
      <w:pPr>
        <w:pStyle w:val="0"/>
        <w:spacing w:before="200" w:line-rule="auto"/>
        <w:ind w:firstLine="540"/>
        <w:jc w:val="both"/>
      </w:pPr>
      <w:r>
        <w:rPr>
          <w:sz w:val="20"/>
        </w:rPr>
        <w:t xml:space="preserve">Сфj определяется в соответствии с распределением субсидии i-му наукограду для осуществления мероприятий по реализации стратегий социально-экономического развития наукоградов, способствующих развитию научно-производственного комплекса наукоградов, а также сохранению и развитию инфраструктуры наукоградов, бюджетам субъектов Российской Федерации, предусмотренных в федеральном законе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Соj - размер субсидии в соответствующем году на j-е мероприятие, способствующее развитию i-го наукограда, из бюджета Московской области.</w:t>
      </w:r>
    </w:p>
    <w:p>
      <w:pPr>
        <w:pStyle w:val="0"/>
        <w:jc w:val="both"/>
      </w:pPr>
      <w:r>
        <w:rPr>
          <w:sz w:val="20"/>
        </w:rPr>
      </w:r>
    </w:p>
    <w:p>
      <w:pPr>
        <w:pStyle w:val="0"/>
        <w:ind w:firstLine="540"/>
        <w:jc w:val="both"/>
      </w:pPr>
      <w:r>
        <w:rPr>
          <w:sz w:val="20"/>
        </w:rPr>
        <w:t xml:space="preserve">Соj определяется по формуле:</w:t>
      </w:r>
    </w:p>
    <w:p>
      <w:pPr>
        <w:pStyle w:val="0"/>
        <w:jc w:val="both"/>
      </w:pPr>
      <w:r>
        <w:rPr>
          <w:sz w:val="20"/>
        </w:rPr>
      </w:r>
    </w:p>
    <w:p>
      <w:pPr>
        <w:pStyle w:val="0"/>
        <w:ind w:firstLine="540"/>
        <w:jc w:val="both"/>
      </w:pPr>
      <w:r>
        <w:rPr>
          <w:sz w:val="20"/>
        </w:rPr>
        <w:t xml:space="preserve">Соj = Сфj x (100 - Кфб) / Кфб),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Кфб - уровень софинансирования расходного обязательства Московской области, в целях софинансирования которого предоставляется субсидия из федерального бюджета, в процентах.</w:t>
      </w:r>
    </w:p>
    <w:p>
      <w:pPr>
        <w:pStyle w:val="0"/>
        <w:jc w:val="both"/>
      </w:pPr>
      <w:r>
        <w:rPr>
          <w:sz w:val="20"/>
        </w:rPr>
      </w:r>
    </w:p>
    <w:p>
      <w:pPr>
        <w:pStyle w:val="0"/>
        <w:ind w:firstLine="540"/>
        <w:jc w:val="both"/>
      </w:pPr>
      <w:r>
        <w:rPr>
          <w:sz w:val="20"/>
        </w:rPr>
        <w:t xml:space="preserve">Кфб устанавливается в размере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утвержденного Правительством Российской Федерации в порядке, определенном </w:t>
      </w:r>
      <w:hyperlink w:history="0" r:id="rId22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предельный уровень, Правила формирования, предоставления и распределения субсидий).</w:t>
      </w:r>
    </w:p>
    <w:p>
      <w:pPr>
        <w:pStyle w:val="0"/>
        <w:spacing w:before="200" w:line-rule="auto"/>
        <w:ind w:firstLine="540"/>
        <w:jc w:val="both"/>
      </w:pPr>
      <w:r>
        <w:rPr>
          <w:sz w:val="20"/>
        </w:rPr>
        <w:t xml:space="preserve">9. В случае если в бюджете Московской области бюджетные ассигнования на исполнение расходного обязательства Московской области, в целях софинансирования которого предоставляется субсидия из федерального бюджета, предусмотрены в объеме, превышающем размер расходного обязательства Московской области, рассчитанного в соответствии с предельным уровнем, Кфб определяется в соответствии с соглашением о предоставлении субсидии из федерального бюджета бюджету Московской области для осуществления мероприятий по реализации стратегий социально-экономического развития наукоградов, способствующих развитию научно-производственного комплекса наукоградов, а также сохранению и развитию инфраструктуры наукоградов, заключенным между Минобрнауки России и Правительством Московской области на соответствующий финансовый год и плановый период.</w:t>
      </w:r>
    </w:p>
    <w:p>
      <w:pPr>
        <w:pStyle w:val="0"/>
        <w:spacing w:before="200" w:line-rule="auto"/>
        <w:ind w:firstLine="540"/>
        <w:jc w:val="both"/>
      </w:pPr>
      <w:r>
        <w:rPr>
          <w:sz w:val="20"/>
        </w:rPr>
        <w:t xml:space="preserve">10. Объем средств бюджета муниципального образования Московской области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МЭФ Московской области, с учетом поправочного коэффициента к предельным уровням софинансирования в размере 0,46.</w:t>
      </w:r>
    </w:p>
    <w:p>
      <w:pPr>
        <w:pStyle w:val="0"/>
        <w:spacing w:before="200" w:line-rule="auto"/>
        <w:ind w:firstLine="540"/>
        <w:jc w:val="both"/>
      </w:pPr>
      <w:r>
        <w:rPr>
          <w:sz w:val="20"/>
        </w:rPr>
        <w:t xml:space="preserve">11. Оценка эффективности использования субсидии наукоградом осуществляется Мининвестом Московской области на основании сравнения значения целевого показателя результативности использования субсидии, установленного Соглашением, и фактически достигнутого по итогам отчетного года значения целевого показателя результативности использования субсидии, предусмотренного </w:t>
      </w:r>
      <w:hyperlink w:history="0" w:anchor="P2872" w:tooltip="4. Целевым показателем результативности использования субсидии является количество реализованных мероприятий, способствующих развитию научно-производственного комплекса наукограда (в том числе малых и средних предприятий), сохранению и развитию его инфраструктуры, а также мероприятий, способствующих реализации инновационных проектов, направленных на создание и развитие производства высокотехнологичной промышленной продукции и (или) инновационных товаров и услуг в соответствии с приоритетными направлениям...">
        <w:r>
          <w:rPr>
            <w:sz w:val="20"/>
            <w:color w:val="0000ff"/>
          </w:rPr>
          <w:t xml:space="preserve">пунктом 4</w:t>
        </w:r>
      </w:hyperlink>
      <w:r>
        <w:rPr>
          <w:sz w:val="20"/>
        </w:rPr>
        <w:t xml:space="preserve"> настоящего Порядка, по формуле:</w:t>
      </w:r>
    </w:p>
    <w:p>
      <w:pPr>
        <w:pStyle w:val="0"/>
        <w:jc w:val="both"/>
      </w:pPr>
      <w:r>
        <w:rPr>
          <w:sz w:val="20"/>
        </w:rPr>
      </w:r>
    </w:p>
    <w:p>
      <w:pPr>
        <w:pStyle w:val="0"/>
        <w:ind w:firstLine="540"/>
        <w:jc w:val="both"/>
      </w:pPr>
      <w:r>
        <w:rPr>
          <w:sz w:val="20"/>
        </w:rPr>
        <w:t xml:space="preserve">Pф &gt;= Pс,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Pф - значение целевого показателя результативности использования субсидии, фактически достигнутого по итогам отчетного года;</w:t>
      </w:r>
    </w:p>
    <w:p>
      <w:pPr>
        <w:pStyle w:val="0"/>
        <w:spacing w:before="200" w:line-rule="auto"/>
        <w:ind w:firstLine="540"/>
        <w:jc w:val="both"/>
      </w:pPr>
      <w:r>
        <w:rPr>
          <w:sz w:val="20"/>
        </w:rPr>
        <w:t xml:space="preserve">Pс - значение целевого показателя результативности использования субсидии, установленного Соглашением.</w:t>
      </w:r>
    </w:p>
    <w:p>
      <w:pPr>
        <w:pStyle w:val="0"/>
        <w:jc w:val="both"/>
      </w:pPr>
      <w:r>
        <w:rPr>
          <w:sz w:val="20"/>
        </w:rPr>
      </w:r>
    </w:p>
    <w:p>
      <w:pPr>
        <w:pStyle w:val="0"/>
        <w:ind w:firstLine="540"/>
        <w:jc w:val="both"/>
      </w:pPr>
      <w:r>
        <w:rPr>
          <w:sz w:val="20"/>
        </w:rPr>
        <w:t xml:space="preserve">Недостижение значения целевого показателя результативности использования субсидии является основанием для возврата субсидии.</w:t>
      </w:r>
    </w:p>
    <w:p>
      <w:pPr>
        <w:pStyle w:val="0"/>
        <w:spacing w:before="200" w:line-rule="auto"/>
        <w:ind w:firstLine="540"/>
        <w:jc w:val="both"/>
      </w:pPr>
      <w:r>
        <w:rPr>
          <w:sz w:val="20"/>
        </w:rPr>
        <w:t xml:space="preserve">12. В случае если муниципальным образованием Московской области по состоянию на 31 декабря года предоставления субсидии допущены нарушения обязательства муниципального образования Московской области по достижению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к муниципальным образованиям Московской области применяются меры ответственности за недостижение целевых показателей результативности использования субсидии в порядке, аналогичном порядку, предусмотренному </w:t>
      </w:r>
      <w:hyperlink w:history="0" r:id="rId2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19(1)</w:t>
        </w:r>
      </w:hyperlink>
      <w:r>
        <w:rPr>
          <w:sz w:val="20"/>
        </w:rPr>
        <w:t xml:space="preserve"> Правил формирования, предоставления и распределения субсидий, и освобождение муниципальных образований Московской области от ответственности по основаниям, аналогичным основаниям, предусмотренным </w:t>
      </w:r>
      <w:hyperlink w:history="0" r:id="rId23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абзацами вторым</w:t>
        </w:r>
      </w:hyperlink>
      <w:r>
        <w:rPr>
          <w:sz w:val="20"/>
        </w:rPr>
        <w:t xml:space="preserve"> - </w:t>
      </w:r>
      <w:hyperlink w:history="0" r:id="rId23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пятым пункта 20</w:t>
        </w:r>
      </w:hyperlink>
      <w:r>
        <w:rPr>
          <w:sz w:val="20"/>
        </w:rPr>
        <w:t xml:space="preserve"> Правил формирования, предоставления и распределения субсидий, в порядке, установленном </w:t>
      </w:r>
      <w:hyperlink w:history="0" r:id="rId234"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72</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Основания и порядок применения мер финансовой ответственности к органу местного самоуправления муниципального образования Московской области за нарушение условий предоставления субсидий, невыполнение основных и (или) дополнительных обязательств, предусмотренных Соглашением, а также основания и порядок освобождения муниципальных образований Московской области от применения указанной ответственности установлены </w:t>
      </w:r>
      <w:hyperlink w:history="0" r:id="rId235"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64</w:t>
        </w:r>
      </w:hyperlink>
      <w:r>
        <w:rPr>
          <w:sz w:val="20"/>
        </w:rPr>
        <w:t xml:space="preserve"> - </w:t>
      </w:r>
      <w:hyperlink w:history="0" r:id="rId236"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71</w:t>
        </w:r>
      </w:hyperlink>
      <w:r>
        <w:rPr>
          <w:sz w:val="20"/>
        </w:rPr>
        <w:t xml:space="preserve"> Порядка разработки и реализации государственных программ.</w:t>
      </w:r>
    </w:p>
    <w:p>
      <w:pPr>
        <w:pStyle w:val="0"/>
        <w:jc w:val="both"/>
      </w:pPr>
      <w:r>
        <w:rPr>
          <w:sz w:val="20"/>
        </w:rPr>
        <w:t xml:space="preserve">(абзац введен </w:t>
      </w:r>
      <w:hyperlink w:history="0" r:id="rId237"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19.11.2024 N 1384-ПП)</w:t>
      </w:r>
    </w:p>
    <w:p>
      <w:pPr>
        <w:pStyle w:val="0"/>
        <w:spacing w:before="200" w:line-rule="auto"/>
        <w:ind w:firstLine="540"/>
        <w:jc w:val="both"/>
      </w:pPr>
      <w:r>
        <w:rPr>
          <w:sz w:val="20"/>
        </w:rPr>
        <w:t xml:space="preserve">13. Главным распорядителем средств бюджета по предоставлению субсидии является Мининвест Московской области.</w:t>
      </w:r>
    </w:p>
    <w:p>
      <w:pPr>
        <w:pStyle w:val="0"/>
        <w:spacing w:before="200" w:line-rule="auto"/>
        <w:ind w:firstLine="540"/>
        <w:jc w:val="both"/>
      </w:pPr>
      <w:r>
        <w:rPr>
          <w:sz w:val="20"/>
        </w:rPr>
        <w:t xml:space="preserve">14.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w:history="0" r:id="rId238"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пунктами 55</w:t>
        </w:r>
      </w:hyperlink>
      <w:r>
        <w:rPr>
          <w:sz w:val="20"/>
        </w:rPr>
        <w:t xml:space="preserve"> - </w:t>
      </w:r>
      <w:hyperlink w:history="0" r:id="rId239"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60</w:t>
        </w:r>
      </w:hyperlink>
      <w:r>
        <w:rPr>
          <w:sz w:val="20"/>
        </w:rPr>
        <w:t xml:space="preserve"> Порядка разработки и реализации государственных программ, а также в соответствии с </w:t>
      </w:r>
      <w:hyperlink w:history="0" r:id="rId24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"л(1)" пункта 10</w:t>
        </w:r>
      </w:hyperlink>
      <w:r>
        <w:rPr>
          <w:sz w:val="20"/>
        </w:rPr>
        <w:t xml:space="preserve"> Правил формирования, предоставления и распределения субсидий.</w:t>
      </w:r>
    </w:p>
    <w:p>
      <w:pPr>
        <w:pStyle w:val="0"/>
        <w:jc w:val="both"/>
      </w:pPr>
      <w:r>
        <w:rPr>
          <w:sz w:val="20"/>
        </w:rPr>
        <w:t xml:space="preserve">(п. 14 в ред. </w:t>
      </w:r>
      <w:hyperlink w:history="0" r:id="rId241"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spacing w:before="200" w:line-rule="auto"/>
        <w:ind w:firstLine="540"/>
        <w:jc w:val="both"/>
      </w:pPr>
      <w:r>
        <w:rPr>
          <w:sz w:val="20"/>
        </w:rPr>
        <w:t xml:space="preserve">15. Субсидия перечисляется на основании заявки на перечисление межбюджетных трансфертов и следующих документов, подтверждающих возникновение денежных обязательств:</w:t>
      </w:r>
    </w:p>
    <w:p>
      <w:pPr>
        <w:pStyle w:val="0"/>
        <w:spacing w:before="200" w:line-rule="auto"/>
        <w:ind w:firstLine="540"/>
        <w:jc w:val="both"/>
      </w:pPr>
      <w:r>
        <w:rPr>
          <w:sz w:val="20"/>
        </w:rPr>
        <w:t xml:space="preserve">муниципального контракта, контракта, договора;</w:t>
      </w:r>
    </w:p>
    <w:p>
      <w:pPr>
        <w:pStyle w:val="0"/>
        <w:spacing w:before="200" w:line-rule="auto"/>
        <w:ind w:firstLine="540"/>
        <w:jc w:val="both"/>
      </w:pPr>
      <w:r>
        <w:rPr>
          <w:sz w:val="20"/>
        </w:rPr>
        <w:t xml:space="preserve">при поставке товаров - накладной и (или) акта приемки-передачи, и (или) счета-фактуры;</w:t>
      </w:r>
    </w:p>
    <w:p>
      <w:pPr>
        <w:pStyle w:val="0"/>
        <w:spacing w:before="200" w:line-rule="auto"/>
        <w:ind w:firstLine="540"/>
        <w:jc w:val="both"/>
      </w:pPr>
      <w:r>
        <w:rPr>
          <w:sz w:val="20"/>
        </w:rPr>
        <w:t xml:space="preserve">при выполнении работ, оказании услуг - акта выполненных работ (оказанных услуг) и (или) счета, и (или) счета-фактуры, иного документа, подтверждающего возникновение денежного обязательства и предусмотренного нормативными правовыми актами Российской Федерации, нормативными правовыми актами Московской области.</w:t>
      </w:r>
    </w:p>
    <w:p>
      <w:pPr>
        <w:pStyle w:val="0"/>
        <w:spacing w:before="200" w:line-rule="auto"/>
        <w:ind w:firstLine="540"/>
        <w:jc w:val="both"/>
      </w:pPr>
      <w:r>
        <w:rPr>
          <w:sz w:val="20"/>
        </w:rPr>
        <w:t xml:space="preserve">Документы для предоставления и перечисления субсидии, указанные в настоящем пункте, представляются муниципальным образованием Московской области в Мининвест Московской области, за исключением документов, получение которых осуществляется Мининвестом Московской области с использованием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либо путем межведомственного информационного взаимодействия. При этом муниципальные контракты (договоры), договоры, документы, подтверждающие денежные обязательства, представляются посредством Единой автоматизированной системы управления закупками Московской области.</w:t>
      </w:r>
    </w:p>
    <w:p>
      <w:pPr>
        <w:pStyle w:val="0"/>
        <w:spacing w:before="200" w:line-rule="auto"/>
        <w:ind w:firstLine="540"/>
        <w:jc w:val="both"/>
      </w:pPr>
      <w:r>
        <w:rPr>
          <w:sz w:val="20"/>
        </w:rPr>
        <w:t xml:space="preserve">Заявка на перечисление межбюджетных трансфертов направляется органом местного самоуправления наукограда в электронной форме посредством государственной информационной системы "Региональный электронный бюджет Московской области" без дублирования на бумажном носителе. В случае отсутствия технической возможности заявка на перечисление межбюджетных трансфертов направляется посредством межведомственной системы электронного документооборота Московской области с последующим ее формированием в государственной информационной системе "Региональный электронный бюджет Московской области" (отсутствие технической возможности подтверждается документально).</w:t>
      </w:r>
    </w:p>
    <w:p>
      <w:pPr>
        <w:pStyle w:val="0"/>
        <w:spacing w:before="200" w:line-rule="auto"/>
        <w:ind w:firstLine="540"/>
        <w:jc w:val="both"/>
      </w:pPr>
      <w:r>
        <w:rPr>
          <w:sz w:val="20"/>
        </w:rPr>
        <w:t xml:space="preserve">16. Не использованные по состоянию на 1 января соответствующего финансового года остатки субсидии подлежат возврату в бюджет Московской области в сроки, установленные бюджетным законодательством Российской Федерации. Не перечисленный в доход бюджета Московской области неиспользованный остаток субсидии подлежит взысканию в доход бюджета Московской области в порядке, определяемом МЭФ Московской области, с соблюдением общих требований, установленных Минфином России.</w:t>
      </w:r>
    </w:p>
    <w:p>
      <w:pPr>
        <w:pStyle w:val="0"/>
        <w:spacing w:before="200" w:line-rule="auto"/>
        <w:ind w:firstLine="540"/>
        <w:jc w:val="both"/>
      </w:pPr>
      <w:r>
        <w:rPr>
          <w:sz w:val="20"/>
        </w:rPr>
        <w:t xml:space="preserve">В соответствии с решением Мининвеста Московской области (по согласованию с МЭФ Московской области) о наличии потребности в субсидии, полученной из бюджета Московской области и не использованной в соответствующем финансовом году, средства в объеме, не превышающем остатка субсидии, подлежат возврату в очередном финансовом году в доход бюджета наукограда, которому они были ранее предоставлены, для финансового обеспечения расходов бюджета наукограда, соответствующих целям предоставления субсидии.</w:t>
      </w:r>
    </w:p>
    <w:p>
      <w:pPr>
        <w:pStyle w:val="0"/>
        <w:spacing w:before="200" w:line-rule="auto"/>
        <w:ind w:firstLine="540"/>
        <w:jc w:val="both"/>
      </w:pPr>
      <w:r>
        <w:rPr>
          <w:sz w:val="20"/>
        </w:rPr>
        <w:t xml:space="preserve">17. Обязательства органа местного самоуправления муниципального образования Московской области устанавливаются в соответствии с </w:t>
      </w:r>
      <w:hyperlink w:history="0" w:anchor="P2941" w:tooltip="ОБЯЗАТЕЛЬСТВА">
        <w:r>
          <w:rPr>
            <w:sz w:val="20"/>
            <w:color w:val="0000ff"/>
          </w:rPr>
          <w:t xml:space="preserve">таблицей 1</w:t>
        </w:r>
      </w:hyperlink>
      <w:r>
        <w:rPr>
          <w:sz w:val="20"/>
        </w:rPr>
        <w:t xml:space="preserve"> к настоящему Порядку.</w:t>
      </w:r>
    </w:p>
    <w:p>
      <w:pPr>
        <w:pStyle w:val="0"/>
        <w:spacing w:before="200" w:line-rule="auto"/>
        <w:ind w:firstLine="540"/>
        <w:jc w:val="both"/>
      </w:pPr>
      <w:r>
        <w:rPr>
          <w:sz w:val="20"/>
        </w:rPr>
        <w:t xml:space="preserve">Абзацы второй - четвертый утратили силу. - </w:t>
      </w:r>
      <w:hyperlink w:history="0" r:id="rId242"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19.11.2024 N 1384-ПП.</w:t>
      </w:r>
    </w:p>
    <w:p>
      <w:pPr>
        <w:pStyle w:val="0"/>
        <w:spacing w:before="200" w:line-rule="auto"/>
        <w:ind w:firstLine="540"/>
        <w:jc w:val="both"/>
      </w:pPr>
      <w:r>
        <w:rPr>
          <w:sz w:val="20"/>
        </w:rPr>
        <w:t xml:space="preserve">18. Контроль за соблюдением наукоградами условий, целей и порядка предоставления субсидии, а также обязательств по Соглашению, установленных при предоставлении субсидии, осуществляется Мининвестом Московской области и органами государственного финансового контроля.</w:t>
      </w:r>
    </w:p>
    <w:p>
      <w:pPr>
        <w:pStyle w:val="0"/>
        <w:jc w:val="both"/>
      </w:pPr>
      <w:r>
        <w:rPr>
          <w:sz w:val="20"/>
        </w:rPr>
        <w:t xml:space="preserve">(п. 18 в ред. </w:t>
      </w:r>
      <w:hyperlink w:history="0" r:id="rId243"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19.11.2024 N 1384-ПП)</w:t>
      </w:r>
    </w:p>
    <w:p>
      <w:pPr>
        <w:pStyle w:val="0"/>
        <w:spacing w:before="200" w:line-rule="auto"/>
        <w:ind w:firstLine="540"/>
        <w:jc w:val="both"/>
      </w:pPr>
      <w:r>
        <w:rPr>
          <w:sz w:val="20"/>
        </w:rPr>
        <w:t xml:space="preserve">19. В случае прекращения статуса наукограда в течение соответствующего финансового года субсидии, предусмотренные законом о бюджете Московской области на соответствующий финансовый год и плановый период соответствующему наукограду в соответствующем финансовом году, предоставляются в размере, пропорциональном количеству месяцев в году, в течение которых действует статус наукограда.</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2941" w:name="P2941"/>
    <w:bookmarkEnd w:id="2941"/>
    <w:p>
      <w:pPr>
        <w:pStyle w:val="2"/>
        <w:jc w:val="center"/>
      </w:pPr>
      <w:r>
        <w:rPr>
          <w:sz w:val="20"/>
        </w:rPr>
        <w:t xml:space="preserve">ОБЯЗАТЕЛЬСТВА</w:t>
      </w:r>
    </w:p>
    <w:p>
      <w:pPr>
        <w:pStyle w:val="2"/>
        <w:jc w:val="center"/>
      </w:pPr>
      <w:r>
        <w:rPr>
          <w:sz w:val="20"/>
        </w:rPr>
        <w:t xml:space="preserve">МУНИЦИПАЛЬНОГО ОБРАЗОВАНИЯ ПРИ ПРЕДОСТАВЛЕНИИ СУБСИДИИ</w:t>
      </w:r>
    </w:p>
    <w:p>
      <w:pPr>
        <w:pStyle w:val="0"/>
        <w:jc w:val="center"/>
      </w:pPr>
      <w:r>
        <w:rPr>
          <w:sz w:val="20"/>
        </w:rPr>
      </w:r>
    </w:p>
    <w:p>
      <w:pPr>
        <w:pStyle w:val="0"/>
        <w:jc w:val="center"/>
      </w:pPr>
      <w:r>
        <w:rPr>
          <w:sz w:val="20"/>
        </w:rPr>
        <w:t xml:space="preserve">(в ред. </w:t>
      </w:r>
      <w:hyperlink w:history="0" r:id="rId244" w:tooltip="Постановление Правительства МО от 19.11.2024 N 138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19.11.2024 N 1384-ПП)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5"/>
        <w:gridCol w:w="7483"/>
      </w:tblGrid>
      <w:tr>
        <w:tc>
          <w:tcPr>
            <w:tcW w:w="605" w:type="dxa"/>
          </w:tcPr>
          <w:p>
            <w:pPr>
              <w:pStyle w:val="0"/>
              <w:jc w:val="center"/>
            </w:pPr>
            <w:r>
              <w:rPr>
                <w:sz w:val="20"/>
              </w:rPr>
              <w:t xml:space="preserve">N п/п</w:t>
            </w:r>
          </w:p>
        </w:tc>
        <w:tc>
          <w:tcPr>
            <w:tcW w:w="7483" w:type="dxa"/>
          </w:tcPr>
          <w:p>
            <w:pPr>
              <w:pStyle w:val="0"/>
              <w:jc w:val="center"/>
            </w:pPr>
            <w:r>
              <w:rPr>
                <w:sz w:val="20"/>
              </w:rPr>
              <w:t xml:space="preserve">Наименование обязательства</w:t>
            </w:r>
          </w:p>
        </w:tc>
      </w:tr>
      <w:tr>
        <w:tc>
          <w:tcPr>
            <w:tcW w:w="605" w:type="dxa"/>
          </w:tcPr>
          <w:p>
            <w:pPr>
              <w:pStyle w:val="0"/>
              <w:jc w:val="center"/>
            </w:pPr>
            <w:r>
              <w:rPr>
                <w:sz w:val="20"/>
              </w:rPr>
              <w:t xml:space="preserve">1</w:t>
            </w:r>
          </w:p>
        </w:tc>
        <w:tc>
          <w:tcPr>
            <w:tcW w:w="7483" w:type="dxa"/>
          </w:tcPr>
          <w:p>
            <w:pPr>
              <w:pStyle w:val="0"/>
              <w:jc w:val="center"/>
            </w:pPr>
            <w:r>
              <w:rPr>
                <w:sz w:val="20"/>
              </w:rPr>
              <w:t xml:space="preserve">2</w:t>
            </w:r>
          </w:p>
        </w:tc>
      </w:tr>
      <w:tr>
        <w:tc>
          <w:tcPr>
            <w:tcW w:w="605" w:type="dxa"/>
          </w:tcPr>
          <w:p>
            <w:pPr>
              <w:pStyle w:val="0"/>
              <w:outlineLvl w:val="5"/>
            </w:pPr>
            <w:r>
              <w:rPr>
                <w:sz w:val="20"/>
              </w:rPr>
              <w:t xml:space="preserve">1</w:t>
            </w:r>
          </w:p>
        </w:tc>
        <w:tc>
          <w:tcPr>
            <w:tcW w:w="7483" w:type="dxa"/>
          </w:tcPr>
          <w:p>
            <w:pPr>
              <w:pStyle w:val="0"/>
            </w:pPr>
            <w:r>
              <w:rPr>
                <w:sz w:val="20"/>
              </w:rPr>
              <w:t xml:space="preserve">Основные обязательства муниципального образования при предоставлении субсидии:</w:t>
            </w:r>
          </w:p>
        </w:tc>
      </w:tr>
      <w:tr>
        <w:tc>
          <w:tcPr>
            <w:tcW w:w="605" w:type="dxa"/>
          </w:tcPr>
          <w:p>
            <w:pPr>
              <w:pStyle w:val="0"/>
            </w:pPr>
            <w:r>
              <w:rPr>
                <w:sz w:val="20"/>
              </w:rPr>
              <w:t xml:space="preserve">1.1</w:t>
            </w:r>
          </w:p>
        </w:tc>
        <w:tc>
          <w:tcPr>
            <w:tcW w:w="7483" w:type="dxa"/>
          </w:tcPr>
          <w:p>
            <w:pPr>
              <w:pStyle w:val="0"/>
            </w:pPr>
            <w:r>
              <w:rPr>
                <w:sz w:val="20"/>
              </w:rPr>
              <w:t xml:space="preserve">Достижение целевых показателей результативности использования субсидии</w:t>
            </w:r>
          </w:p>
        </w:tc>
      </w:tr>
      <w:tr>
        <w:tc>
          <w:tcPr>
            <w:tcW w:w="605" w:type="dxa"/>
          </w:tcPr>
          <w:p>
            <w:pPr>
              <w:pStyle w:val="0"/>
            </w:pPr>
            <w:r>
              <w:rPr>
                <w:sz w:val="20"/>
              </w:rPr>
              <w:t xml:space="preserve">1.2</w:t>
            </w:r>
          </w:p>
        </w:tc>
        <w:tc>
          <w:tcPr>
            <w:tcW w:w="7483" w:type="dxa"/>
          </w:tcPr>
          <w:p>
            <w:pPr>
              <w:pStyle w:val="0"/>
            </w:pPr>
            <w:r>
              <w:rPr>
                <w:sz w:val="20"/>
              </w:rPr>
              <w:t xml:space="preserve">Соблюдение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 учетом требований, установленных </w:t>
            </w:r>
            <w:hyperlink w:history="0" r:id="rId245"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пунктом 51.1</w:t>
              </w:r>
            </w:hyperlink>
            <w:r>
              <w:rPr>
                <w:sz w:val="20"/>
              </w:rPr>
              <w:t xml:space="preserve"> Порядка разработки и реализации государственных программ</w:t>
            </w:r>
          </w:p>
        </w:tc>
      </w:tr>
      <w:tr>
        <w:tc>
          <w:tcPr>
            <w:tcW w:w="605" w:type="dxa"/>
          </w:tcPr>
          <w:p>
            <w:pPr>
              <w:pStyle w:val="0"/>
            </w:pPr>
            <w:r>
              <w:rPr>
                <w:sz w:val="20"/>
              </w:rPr>
              <w:t xml:space="preserve">1.3</w:t>
            </w:r>
          </w:p>
        </w:tc>
        <w:tc>
          <w:tcPr>
            <w:tcW w:w="7483" w:type="dxa"/>
          </w:tcPr>
          <w:p>
            <w:pPr>
              <w:pStyle w:val="0"/>
            </w:pPr>
            <w:r>
              <w:rPr>
                <w:sz w:val="20"/>
              </w:rPr>
              <w:t xml:space="preserve">Соблюдение следующих требований при исполнении муниципальных контрактов (контрактов, договоров), финансовое обеспечение исполнения обязательств по которым осуществлено за счет средств субсидии:</w:t>
            </w:r>
          </w:p>
          <w:p>
            <w:pPr>
              <w:pStyle w:val="0"/>
            </w:pPr>
            <w:r>
              <w:rPr>
                <w:sz w:val="20"/>
              </w:rPr>
              <w:t xml:space="preserve">осуществлена приемка поставленных товаров, выполненных работ (их результатов), оказанных услуг, соответствующих условиям муниципального (контракта, договора);</w:t>
            </w:r>
          </w:p>
          <w:p>
            <w:pPr>
              <w:pStyle w:val="0"/>
            </w:pPr>
            <w:r>
              <w:rPr>
                <w:sz w:val="20"/>
              </w:rPr>
              <w:t xml:space="preserve">товар (работа (ее результат), услуга) фактически поставлен (выполнена, оказана) заказчику и соответствует характеристикам и количеству, указанным в документе о приемке</w:t>
            </w:r>
          </w:p>
        </w:tc>
      </w:tr>
      <w:tr>
        <w:tc>
          <w:tcPr>
            <w:tcW w:w="605" w:type="dxa"/>
          </w:tcPr>
          <w:p>
            <w:pPr>
              <w:pStyle w:val="0"/>
              <w:outlineLvl w:val="5"/>
            </w:pPr>
            <w:r>
              <w:rPr>
                <w:sz w:val="20"/>
              </w:rPr>
              <w:t xml:space="preserve">2</w:t>
            </w:r>
          </w:p>
        </w:tc>
        <w:tc>
          <w:tcPr>
            <w:tcW w:w="7483" w:type="dxa"/>
          </w:tcPr>
          <w:p>
            <w:pPr>
              <w:pStyle w:val="0"/>
            </w:pPr>
            <w:r>
              <w:rPr>
                <w:sz w:val="20"/>
              </w:rPr>
              <w:t xml:space="preserve">Дополнительные обязательства муниципального образования при предоставлении субсидии:</w:t>
            </w:r>
          </w:p>
        </w:tc>
      </w:tr>
      <w:tr>
        <w:tc>
          <w:tcPr>
            <w:tcW w:w="605" w:type="dxa"/>
          </w:tcPr>
          <w:p>
            <w:pPr>
              <w:pStyle w:val="0"/>
            </w:pPr>
            <w:r>
              <w:rPr>
                <w:sz w:val="20"/>
              </w:rPr>
              <w:t xml:space="preserve">2.1</w:t>
            </w:r>
          </w:p>
        </w:tc>
        <w:tc>
          <w:tcPr>
            <w:tcW w:w="7483" w:type="dxa"/>
          </w:tcPr>
          <w:p>
            <w:pPr>
              <w:pStyle w:val="0"/>
            </w:pPr>
            <w:r>
              <w:rPr>
                <w:sz w:val="20"/>
              </w:rPr>
              <w:t xml:space="preserve">Взыскание неустойки (штрафов, пеней) с поставщика (подрядчика, исполнителя) в связи с неисполнением (ненадлежащим исполнением) муниципального контракта (контракта, договора) в соответствии с </w:t>
            </w:r>
            <w:hyperlink w:history="0" r:id="rId246" w:tooltip="Постановление Правительства МО от 27.12.2013 N 1184/57 (ред. от 28.12.2024)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акупок для государственных нужд Московской области и муниципальных нужд&quot;, &quot;Регламентом работы Межведомственной комиссии по проверке обоснованности закупок&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 (далее - Постановление N 1184/57) в случае осуществления закупок товаров, работ, услуг в соответствии с требованиями Федерального </w:t>
            </w:r>
            <w:hyperlink w:history="0" r:id="rId2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tc>
      </w:tr>
      <w:tr>
        <w:tc>
          <w:tcPr>
            <w:tcW w:w="605" w:type="dxa"/>
          </w:tcPr>
          <w:p>
            <w:pPr>
              <w:pStyle w:val="0"/>
            </w:pPr>
            <w:r>
              <w:rPr>
                <w:sz w:val="20"/>
              </w:rPr>
              <w:t xml:space="preserve">2.2</w:t>
            </w:r>
          </w:p>
        </w:tc>
        <w:tc>
          <w:tcPr>
            <w:tcW w:w="7483" w:type="dxa"/>
          </w:tcPr>
          <w:p>
            <w:pPr>
              <w:pStyle w:val="0"/>
            </w:pPr>
            <w:r>
              <w:rPr>
                <w:sz w:val="20"/>
              </w:rPr>
              <w:t xml:space="preserve">Осуществление закупок посредством государственной информационной системы Московской области "Единая автоматизированная система управления закупками Московской области"</w:t>
            </w:r>
          </w:p>
        </w:tc>
      </w:tr>
      <w:tr>
        <w:tc>
          <w:tcPr>
            <w:tcW w:w="605" w:type="dxa"/>
          </w:tcPr>
          <w:p>
            <w:pPr>
              <w:pStyle w:val="0"/>
            </w:pPr>
            <w:r>
              <w:rPr>
                <w:sz w:val="20"/>
              </w:rPr>
              <w:t xml:space="preserve">2.3</w:t>
            </w:r>
          </w:p>
        </w:tc>
        <w:tc>
          <w:tcPr>
            <w:tcW w:w="7483" w:type="dxa"/>
          </w:tcPr>
          <w:p>
            <w:pPr>
              <w:pStyle w:val="0"/>
            </w:pPr>
            <w:r>
              <w:rPr>
                <w:sz w:val="20"/>
              </w:rPr>
              <w:t xml:space="preserve">Передача Комитету по конкурентной политике Московской области полномочий по определению поставщиков (подрядчиков, исполнителей) в случаях и порядке, предусмотренных </w:t>
            </w:r>
            <w:hyperlink w:history="0" r:id="rId248" w:tooltip="Постановление Правительства МО от 27.12.2013 N 1184/57 (ред. от 28.12.2024)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акупок для государственных нужд Московской области и муниципальных нужд&quot;, &quot;Регламентом работы Межведомственной комиссии по проверке обоснованности закупок&quot;) (с изм. и доп., вступающими в силу с 01.01.2025) {КонсультантПлюс}">
              <w:r>
                <w:rPr>
                  <w:sz w:val="20"/>
                  <w:color w:val="0000ff"/>
                </w:rPr>
                <w:t xml:space="preserve">Постановлением</w:t>
              </w:r>
            </w:hyperlink>
            <w:r>
              <w:rPr>
                <w:sz w:val="20"/>
              </w:rPr>
              <w:t xml:space="preserve"> N 1184/57</w:t>
            </w:r>
          </w:p>
        </w:tc>
      </w:tr>
      <w:tr>
        <w:tc>
          <w:tcPr>
            <w:tcW w:w="605" w:type="dxa"/>
          </w:tcPr>
          <w:p>
            <w:pPr>
              <w:pStyle w:val="0"/>
            </w:pPr>
            <w:r>
              <w:rPr>
                <w:sz w:val="20"/>
              </w:rPr>
              <w:t xml:space="preserve">2.4</w:t>
            </w:r>
          </w:p>
        </w:tc>
        <w:tc>
          <w:tcPr>
            <w:tcW w:w="7483" w:type="dxa"/>
          </w:tcPr>
          <w:p>
            <w:pPr>
              <w:pStyle w:val="0"/>
            </w:pPr>
            <w:r>
              <w:rPr>
                <w:sz w:val="20"/>
              </w:rPr>
              <w:t xml:space="preserve">Обеспечение согласования документов с Мининвестом Московской области, а также рабочей группой по оценке обоснованности закупок, образуемой Комитетом по конкурентной политике Московской области (далее - Рабочая группа), в соответствии с регламентом работы Рабочей группы</w:t>
            </w:r>
          </w:p>
        </w:tc>
      </w:tr>
      <w:tr>
        <w:tc>
          <w:tcPr>
            <w:tcW w:w="605" w:type="dxa"/>
          </w:tcPr>
          <w:p>
            <w:pPr>
              <w:pStyle w:val="0"/>
            </w:pPr>
            <w:r>
              <w:rPr>
                <w:sz w:val="20"/>
              </w:rPr>
              <w:t xml:space="preserve">2.5</w:t>
            </w:r>
          </w:p>
        </w:tc>
        <w:tc>
          <w:tcPr>
            <w:tcW w:w="7483" w:type="dxa"/>
          </w:tcPr>
          <w:p>
            <w:pPr>
              <w:pStyle w:val="0"/>
            </w:pPr>
            <w:r>
              <w:rPr>
                <w:sz w:val="20"/>
              </w:rPr>
              <w:t xml:space="preserve">Представление Мининвесту Московской области в порядке и в сроки, предусмотренные соглашением, документов, подтверждающих целевой характер использования средств субсидии, включая:</w:t>
            </w:r>
          </w:p>
          <w:p>
            <w:pPr>
              <w:pStyle w:val="0"/>
            </w:pPr>
            <w:r>
              <w:rPr>
                <w:sz w:val="20"/>
              </w:rPr>
              <w:t xml:space="preserve">1) копию муниципальной программы (выписки из муниципальной программы), содержащей мероприятия, на которые предусматривается выделение субсидии из бюджета Московской области и средств местного бюджета, заверенную подписью уполномоченного лица;</w:t>
            </w:r>
          </w:p>
          <w:p>
            <w:pPr>
              <w:pStyle w:val="0"/>
            </w:pPr>
            <w:r>
              <w:rPr>
                <w:sz w:val="20"/>
              </w:rPr>
              <w:t xml:space="preserve">2) выписку из бюджета муниципального образования Московской области, подтверждающую наличие бюджетных ассигнований на финансирование соответствующего мероприятия, заверенную подписью уполномоченного лица;</w:t>
            </w:r>
          </w:p>
          <w:p>
            <w:pPr>
              <w:pStyle w:val="0"/>
            </w:pPr>
            <w:r>
              <w:rPr>
                <w:sz w:val="20"/>
              </w:rPr>
              <w:t xml:space="preserve">3) утвержденные в муниципальном образовании Московской области стратегию социально-экономического развития наукограда и план мероприятий по реализации стратегии социально-экономического развития наукограда, способствующие развитию научно-производственного комплекса наукограда, а также сохранению и развитию его инфраструктуры</w:t>
            </w:r>
          </w:p>
        </w:tc>
      </w:tr>
    </w:tbl>
    <w:p>
      <w:pPr>
        <w:pStyle w:val="0"/>
        <w:jc w:val="both"/>
      </w:pPr>
      <w:r>
        <w:rPr>
          <w:sz w:val="20"/>
        </w:rPr>
      </w:r>
    </w:p>
    <w:p>
      <w:pPr>
        <w:pStyle w:val="2"/>
        <w:outlineLvl w:val="2"/>
        <w:jc w:val="center"/>
      </w:pPr>
      <w:r>
        <w:rPr>
          <w:sz w:val="20"/>
        </w:rPr>
        <w:t xml:space="preserve">5.3. Порядки предоставления субсидий из бюджета Московской</w:t>
      </w:r>
    </w:p>
    <w:p>
      <w:pPr>
        <w:pStyle w:val="2"/>
        <w:jc w:val="center"/>
      </w:pPr>
      <w:r>
        <w:rPr>
          <w:sz w:val="20"/>
        </w:rPr>
        <w:t xml:space="preserve">области юридическим лицам (за исключением государственных</w:t>
      </w:r>
    </w:p>
    <w:p>
      <w:pPr>
        <w:pStyle w:val="2"/>
        <w:jc w:val="center"/>
      </w:pPr>
      <w:r>
        <w:rPr>
          <w:sz w:val="20"/>
        </w:rPr>
        <w:t xml:space="preserve">(муниципальных) учреждений), индивидуальным</w:t>
      </w:r>
    </w:p>
    <w:p>
      <w:pPr>
        <w:pStyle w:val="2"/>
        <w:jc w:val="center"/>
      </w:pPr>
      <w:r>
        <w:rPr>
          <w:sz w:val="20"/>
        </w:rPr>
        <w:t xml:space="preserve">предпринимателям, физическим лицам - производителям товаров,</w:t>
      </w:r>
    </w:p>
    <w:p>
      <w:pPr>
        <w:pStyle w:val="2"/>
        <w:jc w:val="center"/>
      </w:pPr>
      <w:r>
        <w:rPr>
          <w:sz w:val="20"/>
        </w:rPr>
        <w:t xml:space="preserve">работ, услуг</w:t>
      </w:r>
    </w:p>
    <w:p>
      <w:pPr>
        <w:pStyle w:val="0"/>
        <w:jc w:val="both"/>
      </w:pPr>
      <w:r>
        <w:rPr>
          <w:sz w:val="20"/>
        </w:rPr>
      </w:r>
    </w:p>
    <w:p>
      <w:pPr>
        <w:pStyle w:val="2"/>
        <w:outlineLvl w:val="3"/>
        <w:jc w:val="center"/>
      </w:pPr>
      <w:r>
        <w:rPr>
          <w:sz w:val="20"/>
        </w:rPr>
        <w:t xml:space="preserve">5.3.1. Порядок предоставления субсидий из бюджета Московской</w:t>
      </w:r>
    </w:p>
    <w:p>
      <w:pPr>
        <w:pStyle w:val="2"/>
        <w:jc w:val="center"/>
      </w:pPr>
      <w:r>
        <w:rPr>
          <w:sz w:val="20"/>
        </w:rPr>
        <w:t xml:space="preserve">области юридическим лицам в рамках реализации мероприятия</w:t>
      </w:r>
    </w:p>
    <w:p>
      <w:pPr>
        <w:pStyle w:val="2"/>
        <w:jc w:val="center"/>
      </w:pPr>
      <w:r>
        <w:rPr>
          <w:sz w:val="20"/>
        </w:rPr>
        <w:t xml:space="preserve">02.02 "Возмещение затрат юридических лиц на создание</w:t>
      </w:r>
    </w:p>
    <w:p>
      <w:pPr>
        <w:pStyle w:val="2"/>
        <w:jc w:val="center"/>
      </w:pPr>
      <w:r>
        <w:rPr>
          <w:sz w:val="20"/>
        </w:rPr>
        <w:t xml:space="preserve">объектов инженерной и транспортной инфраструктуры</w:t>
      </w:r>
    </w:p>
    <w:p>
      <w:pPr>
        <w:pStyle w:val="2"/>
        <w:jc w:val="center"/>
      </w:pPr>
      <w:r>
        <w:rPr>
          <w:sz w:val="20"/>
        </w:rPr>
        <w:t xml:space="preserve">на территориях индустриальных (промышленных) парков</w:t>
      </w:r>
    </w:p>
    <w:p>
      <w:pPr>
        <w:pStyle w:val="2"/>
        <w:jc w:val="center"/>
      </w:pPr>
      <w:r>
        <w:rPr>
          <w:sz w:val="20"/>
        </w:rPr>
        <w:t xml:space="preserve">и территориях, на которых планируется создание</w:t>
      </w:r>
    </w:p>
    <w:p>
      <w:pPr>
        <w:pStyle w:val="2"/>
        <w:jc w:val="center"/>
      </w:pPr>
      <w:r>
        <w:rPr>
          <w:sz w:val="20"/>
        </w:rPr>
        <w:t xml:space="preserve">инновационно-технологических центров"</w:t>
      </w:r>
    </w:p>
    <w:p>
      <w:pPr>
        <w:pStyle w:val="2"/>
        <w:jc w:val="center"/>
      </w:pPr>
      <w:r>
        <w:rPr>
          <w:sz w:val="20"/>
        </w:rPr>
        <w:t xml:space="preserve">Подпрограммы 1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249"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5.3.2. Порядок предоставления субсидий из бюджета Московской</w:t>
      </w:r>
    </w:p>
    <w:p>
      <w:pPr>
        <w:pStyle w:val="2"/>
        <w:jc w:val="center"/>
      </w:pPr>
      <w:r>
        <w:rPr>
          <w:sz w:val="20"/>
        </w:rPr>
        <w:t xml:space="preserve">области акционерному обществу "Корпорация развития</w:t>
      </w:r>
    </w:p>
    <w:p>
      <w:pPr>
        <w:pStyle w:val="2"/>
        <w:jc w:val="center"/>
      </w:pPr>
      <w:r>
        <w:rPr>
          <w:sz w:val="20"/>
        </w:rPr>
        <w:t xml:space="preserve">Московской области" в рамках реализации мероприятия 02.03</w:t>
      </w:r>
    </w:p>
    <w:p>
      <w:pPr>
        <w:pStyle w:val="2"/>
        <w:jc w:val="center"/>
      </w:pPr>
      <w:r>
        <w:rPr>
          <w:sz w:val="20"/>
        </w:rPr>
        <w:t xml:space="preserve">"Финансовое обеспечение затрат юридических лиц, 100</w:t>
      </w:r>
    </w:p>
    <w:p>
      <w:pPr>
        <w:pStyle w:val="2"/>
        <w:jc w:val="center"/>
      </w:pPr>
      <w:r>
        <w:rPr>
          <w:sz w:val="20"/>
        </w:rPr>
        <w:t xml:space="preserve">процентов акций (долей) которых принадлежат Московской</w:t>
      </w:r>
    </w:p>
    <w:p>
      <w:pPr>
        <w:pStyle w:val="2"/>
        <w:jc w:val="center"/>
      </w:pPr>
      <w:r>
        <w:rPr>
          <w:sz w:val="20"/>
        </w:rPr>
        <w:t xml:space="preserve">области, на осуществление капитальных вложений в объекты</w:t>
      </w:r>
    </w:p>
    <w:p>
      <w:pPr>
        <w:pStyle w:val="2"/>
        <w:jc w:val="center"/>
      </w:pPr>
      <w:r>
        <w:rPr>
          <w:sz w:val="20"/>
        </w:rPr>
        <w:t xml:space="preserve">капитального строительства индустриальных парков,</w:t>
      </w:r>
    </w:p>
    <w:p>
      <w:pPr>
        <w:pStyle w:val="2"/>
        <w:jc w:val="center"/>
      </w:pPr>
      <w:r>
        <w:rPr>
          <w:sz w:val="20"/>
        </w:rPr>
        <w:t xml:space="preserve">находящиеся в собственности указанных юридических лиц,</w:t>
      </w:r>
    </w:p>
    <w:p>
      <w:pPr>
        <w:pStyle w:val="2"/>
        <w:jc w:val="center"/>
      </w:pPr>
      <w:r>
        <w:rPr>
          <w:sz w:val="20"/>
        </w:rPr>
        <w:t xml:space="preserve">и (или) приобретение ими объектов недвижимого имущества</w:t>
      </w:r>
    </w:p>
    <w:p>
      <w:pPr>
        <w:pStyle w:val="2"/>
        <w:jc w:val="center"/>
      </w:pPr>
      <w:r>
        <w:rPr>
          <w:sz w:val="20"/>
        </w:rPr>
        <w:t xml:space="preserve">с последующим увеличением уставных капиталов таких</w:t>
      </w:r>
    </w:p>
    <w:p>
      <w:pPr>
        <w:pStyle w:val="2"/>
        <w:jc w:val="center"/>
      </w:pPr>
      <w:r>
        <w:rPr>
          <w:sz w:val="20"/>
        </w:rPr>
        <w:t xml:space="preserve">юридических лиц"</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субсидии из бюджета Московской области акционерному обществу "Корпорация развития Московской области" (далее - АО "КРМО"), предусмотренной </w:t>
      </w:r>
      <w:hyperlink w:history="0" r:id="rId2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8 статьи 78</w:t>
        </w:r>
      </w:hyperlink>
      <w:r>
        <w:rPr>
          <w:sz w:val="20"/>
        </w:rPr>
        <w:t xml:space="preserve"> Бюджетного кодекса Российской Федерации, в соответствии с </w:t>
      </w:r>
      <w:hyperlink w:history="0" w:anchor="P1239" w:tooltip="Мероприятие 02.03.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w:r>
          <w:rPr>
            <w:sz w:val="20"/>
            <w:color w:val="0000ff"/>
          </w:rPr>
          <w:t xml:space="preserve">мероприятием 02.03</w:t>
        </w:r>
      </w:hyperlink>
      <w:r>
        <w:rPr>
          <w:sz w:val="20"/>
        </w:rPr>
        <w:t xml:space="preserve">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Подпрограммы 1 государственной программы (далее - Порядок, Субсидия, мероприятие 02.03), а также требования к соглашению о предоставлении Субсидии, срокам и условиям ее предоставления.</w:t>
      </w:r>
    </w:p>
    <w:p>
      <w:pPr>
        <w:pStyle w:val="0"/>
        <w:spacing w:before="200" w:line-rule="auto"/>
        <w:ind w:firstLine="540"/>
        <w:jc w:val="both"/>
      </w:pPr>
      <w:r>
        <w:rPr>
          <w:sz w:val="20"/>
        </w:rPr>
        <w:t xml:space="preserve">2. Целью предоставления Субсидии является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собственности АО "КРМО", и (или) приобретения АО "КРМО" объектов недвижимого имущества с последующим увеличением уставного капитала АО "КРМО" в соответствии с </w:t>
      </w:r>
      <w:hyperlink w:history="0" w:anchor="P8034" w:tooltip="5.7.1. Адресный перечень объектов строительства">
        <w:r>
          <w:rPr>
            <w:sz w:val="20"/>
            <w:color w:val="0000ff"/>
          </w:rPr>
          <w:t xml:space="preserve">подразделом 5.7.1</w:t>
        </w:r>
      </w:hyperlink>
      <w:r>
        <w:rPr>
          <w:sz w:val="20"/>
        </w:rPr>
        <w:t xml:space="preserve"> Подпрограммы 1 государственной программы.</w:t>
      </w:r>
    </w:p>
    <w:p>
      <w:pPr>
        <w:pStyle w:val="0"/>
        <w:jc w:val="both"/>
      </w:pPr>
      <w:r>
        <w:rPr>
          <w:sz w:val="20"/>
        </w:rPr>
        <w:t xml:space="preserve">(в ред. </w:t>
      </w:r>
      <w:hyperlink w:history="0" r:id="rId251"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3. Субсидия предоставляется АО "КРМО" в пределах бюджетных ассигнований, предусмотренных на реализацию </w:t>
      </w:r>
      <w:hyperlink w:history="0" w:anchor="P1239" w:tooltip="Мероприятие 02.03.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индустриальных парков,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w:r>
          <w:rPr>
            <w:sz w:val="20"/>
            <w:color w:val="0000ff"/>
          </w:rPr>
          <w:t xml:space="preserve">мероприятия 02.03</w:t>
        </w:r>
      </w:hyperlink>
      <w:r>
        <w:rPr>
          <w:sz w:val="20"/>
        </w:rPr>
        <w:t xml:space="preserve"> законом Московской области о бюджете Московской области на соответствующий финансовый год и плановый период, в соответствии со сводной бюджетной росписью бюджета Московской области и утвержденными лимитами бюджетных обязательств.</w:t>
      </w:r>
    </w:p>
    <w:p>
      <w:pPr>
        <w:pStyle w:val="0"/>
        <w:spacing w:before="200" w:line-rule="auto"/>
        <w:ind w:firstLine="540"/>
        <w:jc w:val="both"/>
      </w:pPr>
      <w:r>
        <w:rPr>
          <w:sz w:val="20"/>
        </w:rPr>
        <w:t xml:space="preserve">4. Главным распорядителем бюджетных средств по предоставлению Субсидии является Мининвест Московской области.</w:t>
      </w:r>
    </w:p>
    <w:p>
      <w:pPr>
        <w:pStyle w:val="0"/>
        <w:spacing w:before="200" w:line-rule="auto"/>
        <w:ind w:firstLine="540"/>
        <w:jc w:val="both"/>
      </w:pPr>
      <w:r>
        <w:rPr>
          <w:sz w:val="20"/>
        </w:rPr>
        <w:t xml:space="preserve">5. Настоящий Порядок разработан в соответствии со следующими нормативными правовыми актами:</w:t>
      </w:r>
    </w:p>
    <w:p>
      <w:pPr>
        <w:pStyle w:val="0"/>
        <w:spacing w:before="200" w:line-rule="auto"/>
        <w:ind w:firstLine="540"/>
        <w:jc w:val="both"/>
      </w:pPr>
      <w:r>
        <w:rPr>
          <w:sz w:val="20"/>
        </w:rPr>
        <w:t xml:space="preserve">Бюджетный </w:t>
      </w:r>
      <w:hyperlink w:history="0" r:id="rId2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hyperlink w:history="0" r:id="rId253"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постановление</w:t>
        </w:r>
      </w:hyperlink>
      <w:r>
        <w:rPr>
          <w:sz w:val="20"/>
        </w:rPr>
        <w:t xml:space="preserve"> Правительства Московской области от 19.08.2022 N 881/27 "Об утверждении Порядка разработки и реализации государственных программ Московской области";</w:t>
      </w:r>
    </w:p>
    <w:p>
      <w:pPr>
        <w:pStyle w:val="0"/>
        <w:spacing w:before="200" w:line-rule="auto"/>
        <w:ind w:firstLine="540"/>
        <w:jc w:val="both"/>
      </w:pPr>
      <w:hyperlink w:history="0" r:id="rId254" w:tooltip="Постановление Правительства МО от 10.07.2018 N 438/24 (ред. от 19.08.2022) &quot;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 {КонсультантПлюс}">
        <w:r>
          <w:rPr>
            <w:sz w:val="20"/>
            <w:color w:val="0000ff"/>
          </w:rPr>
          <w:t xml:space="preserve">постановление</w:t>
        </w:r>
      </w:hyperlink>
      <w:r>
        <w:rPr>
          <w:sz w:val="20"/>
        </w:rPr>
        <w:t xml:space="preserve"> Правительства Московской области от 10.07.2018 N 438/24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государственных программ Московской области".</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6. Условия, которым должно соответствовать АО "КРМО" на 1-е число месяца, предшествующего месяцу, в котором планируется заключение соглашения о предоставлении Субсидии:</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3023" w:name="P3023"/>
    <w:bookmarkEnd w:id="3023"/>
    <w:p>
      <w:pPr>
        <w:pStyle w:val="0"/>
        <w:spacing w:before="200" w:line-rule="auto"/>
        <w:ind w:firstLine="540"/>
        <w:jc w:val="both"/>
      </w:pPr>
      <w:r>
        <w:rPr>
          <w:sz w:val="20"/>
        </w:rPr>
        <w:t xml:space="preserve">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pPr>
        <w:pStyle w:val="0"/>
        <w:spacing w:before="200" w:line-rule="auto"/>
        <w:ind w:firstLine="540"/>
        <w:jc w:val="both"/>
      </w:pPr>
      <w:r>
        <w:rPr>
          <w:sz w:val="20"/>
        </w:rPr>
        <w:t xml:space="preserve">3) отсутствие процесса реорганизации (за исключением реорганизации в форме присоединения к АО "КРМО" другого юридического лица), ликвидации, введения в отношении АО "КРМО" процедуры банкротства, приостановления его деятельности в порядке, предусмотренном законодательством Российской Федерации.</w:t>
      </w:r>
    </w:p>
    <w:bookmarkStart w:id="3025" w:name="P3025"/>
    <w:bookmarkEnd w:id="3025"/>
    <w:p>
      <w:pPr>
        <w:pStyle w:val="0"/>
        <w:spacing w:before="200" w:line-rule="auto"/>
        <w:ind w:firstLine="540"/>
        <w:jc w:val="both"/>
      </w:pPr>
      <w:r>
        <w:rPr>
          <w:sz w:val="20"/>
        </w:rPr>
        <w:t xml:space="preserve">7. Для заключения соглашения о предоставлении Субсидии АО "КРМО" представляет в Мининвест Московской области следующие документы:</w:t>
      </w:r>
    </w:p>
    <w:p>
      <w:pPr>
        <w:pStyle w:val="0"/>
        <w:spacing w:before="200" w:line-rule="auto"/>
        <w:ind w:firstLine="540"/>
        <w:jc w:val="both"/>
      </w:pPr>
      <w:r>
        <w:rPr>
          <w:sz w:val="20"/>
        </w:rPr>
        <w:t xml:space="preserve">1) справка об уплате налогов АО "КРМО";</w:t>
      </w:r>
    </w:p>
    <w:p>
      <w:pPr>
        <w:pStyle w:val="0"/>
        <w:jc w:val="both"/>
      </w:pPr>
      <w:r>
        <w:rPr>
          <w:sz w:val="20"/>
        </w:rPr>
        <w:t xml:space="preserve">(пп. 1 в ред. </w:t>
      </w:r>
      <w:hyperlink w:history="0" r:id="rId255"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2) выписка из ЕГРЮЛ, содержащая сведения о юридическом лице (в случае непредставления АО "КРМО" такого документа Мининвест Московской области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3) справка, подписанная руководителем АО "КРМО" (иным уполномоченным лицом), подтверждающая соответствие АО "КРМО" условию, предусмотренному </w:t>
      </w:r>
      <w:hyperlink w:history="0" w:anchor="P3023" w:tooltip="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
        <w:r>
          <w:rPr>
            <w:sz w:val="20"/>
            <w:color w:val="0000ff"/>
          </w:rPr>
          <w:t xml:space="preserve">подпунктом 2 пункта 6</w:t>
        </w:r>
      </w:hyperlink>
      <w:r>
        <w:rPr>
          <w:sz w:val="20"/>
        </w:rPr>
        <w:t xml:space="preserve"> настоящего Порядка;</w:t>
      </w:r>
    </w:p>
    <w:p>
      <w:pPr>
        <w:pStyle w:val="0"/>
        <w:spacing w:before="200" w:line-rule="auto"/>
        <w:ind w:firstLine="540"/>
        <w:jc w:val="both"/>
      </w:pPr>
      <w:r>
        <w:rPr>
          <w:sz w:val="20"/>
        </w:rPr>
        <w:t xml:space="preserve">4) гарантийное письмо, подписанное руководителем АО "КРМО", содержащее обязательство АО "КРМО"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"КРМО" указанного заключения.</w:t>
      </w:r>
    </w:p>
    <w:bookmarkStart w:id="3031" w:name="P3031"/>
    <w:bookmarkEnd w:id="3031"/>
    <w:p>
      <w:pPr>
        <w:pStyle w:val="0"/>
        <w:spacing w:before="200" w:line-rule="auto"/>
        <w:ind w:firstLine="540"/>
        <w:jc w:val="both"/>
      </w:pPr>
      <w:r>
        <w:rPr>
          <w:sz w:val="20"/>
        </w:rPr>
        <w:t xml:space="preserve">8. Мининвест Московской области в течение 10 рабочих дней со дня получения от АО "КРМО" документов, указанных в </w:t>
      </w:r>
      <w:hyperlink w:history="0" w:anchor="P3025" w:tooltip="7. Для заключения соглашения о предоставлении Субсидии АО &quot;КРМО&quot; представляет в Мининвест Московской области следующие документы:">
        <w:r>
          <w:rPr>
            <w:sz w:val="20"/>
            <w:color w:val="0000ff"/>
          </w:rPr>
          <w:t xml:space="preserve">пункте 7</w:t>
        </w:r>
      </w:hyperlink>
      <w:r>
        <w:rPr>
          <w:sz w:val="20"/>
        </w:rPr>
        <w:t xml:space="preserve"> настоящего Порядка, рассматривает их и принимает решение о заключении с АО "КРМО" соглашения о предоставлении Субсидии (далее - Соглашение) либо направляет АО "КРМО" информацию об отказе в предоставлении Субсидии с указанием причин отказа.</w:t>
      </w:r>
    </w:p>
    <w:p>
      <w:pPr>
        <w:pStyle w:val="0"/>
        <w:spacing w:before="200" w:line-rule="auto"/>
        <w:ind w:firstLine="540"/>
        <w:jc w:val="both"/>
      </w:pPr>
      <w:r>
        <w:rPr>
          <w:sz w:val="20"/>
        </w:rPr>
        <w:t xml:space="preserve">9. Основаниями для отказа АО "КРМО"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АО "КРМО" документов, определенных </w:t>
      </w:r>
      <w:hyperlink w:history="0" w:anchor="P3025" w:tooltip="7. Для заключения соглашения о предоставлении Субсидии АО &quot;КРМО&quot; представляет в Мининвест Московской области следующие документы:">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содержащейся в представленных АО "КРМО" документах;</w:t>
      </w:r>
    </w:p>
    <w:p>
      <w:pPr>
        <w:pStyle w:val="0"/>
        <w:spacing w:before="200" w:line-rule="auto"/>
        <w:ind w:firstLine="540"/>
        <w:jc w:val="both"/>
      </w:pPr>
      <w:r>
        <w:rPr>
          <w:sz w:val="20"/>
        </w:rPr>
        <w:t xml:space="preserve">3) отсутствие в соответствии с бюджетным законодательством Российской Федерации оснований для заключения с АО "КРМО" соглашения о предоставлении Субсидии.</w:t>
      </w:r>
    </w:p>
    <w:p>
      <w:pPr>
        <w:pStyle w:val="0"/>
        <w:spacing w:before="200" w:line-rule="auto"/>
        <w:ind w:firstLine="540"/>
        <w:jc w:val="both"/>
      </w:pPr>
      <w:r>
        <w:rPr>
          <w:sz w:val="20"/>
        </w:rPr>
        <w:t xml:space="preserve">10. Соглашение заключается в течение 30 календарных дней с даты принятия Мининвестом Московской области решения о заключении с АО "КРМО" Соглашения в соответствии с </w:t>
      </w:r>
      <w:hyperlink w:history="0" w:anchor="P3031" w:tooltip="8. Мининвест Московской области в течение 10 рабочих дней со дня получения от АО &quot;КРМО&quot; документов, указанных в пункте 7 настоящего Порядка, рассматривает их и принимает решение о заключении с АО &quot;КРМО&quot; соглашения о предоставлении Субсидии (далее - Соглашение) либо направляет АО &quot;КРМО&quot; информацию об отказе в предоставлении Субсидии с указанием причин отказа.">
        <w:r>
          <w:rPr>
            <w:sz w:val="20"/>
            <w:color w:val="0000ff"/>
          </w:rPr>
          <w:t xml:space="preserve">пунктом 8</w:t>
        </w:r>
      </w:hyperlink>
      <w:r>
        <w:rPr>
          <w:sz w:val="20"/>
        </w:rPr>
        <w:t xml:space="preserve"> настоящего Порядка и должно содержать:</w:t>
      </w:r>
    </w:p>
    <w:p>
      <w:pPr>
        <w:pStyle w:val="0"/>
        <w:spacing w:before="200" w:line-rule="auto"/>
        <w:ind w:firstLine="540"/>
        <w:jc w:val="both"/>
      </w:pPr>
      <w:r>
        <w:rPr>
          <w:sz w:val="20"/>
        </w:rPr>
        <w:t xml:space="preserve">1) целевое назначение и значения результатов предоставления Субсидии, включая в отношении каждого объекта капитального строительства и (или) объектов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который в соответствующем финансовом году и плановом периоде соответствует объему бюджетных ассигнований на предоставление Субсидии согласно </w:t>
      </w:r>
      <w:hyperlink w:history="0" w:anchor="P8034" w:tooltip="5.7.1. Адресный перечень объектов строительства">
        <w:r>
          <w:rPr>
            <w:sz w:val="20"/>
            <w:color w:val="0000ff"/>
          </w:rPr>
          <w:t xml:space="preserve">подразделу 5.7.1</w:t>
        </w:r>
      </w:hyperlink>
      <w:r>
        <w:rPr>
          <w:sz w:val="20"/>
        </w:rPr>
        <w:t xml:space="preserve"> Подпрограммы 1 государственной программы;</w:t>
      </w:r>
    </w:p>
    <w:p>
      <w:pPr>
        <w:pStyle w:val="0"/>
        <w:jc w:val="both"/>
      </w:pPr>
      <w:r>
        <w:rPr>
          <w:sz w:val="20"/>
        </w:rPr>
        <w:t xml:space="preserve">(в ред. </w:t>
      </w:r>
      <w:hyperlink w:history="0" r:id="rId256"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2) утратил силу. - </w:t>
      </w:r>
      <w:hyperlink w:history="0" r:id="rId257"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23.09.2024 N 1033-ПП;</w:t>
      </w:r>
    </w:p>
    <w:p>
      <w:pPr>
        <w:pStyle w:val="0"/>
        <w:spacing w:before="200" w:line-rule="auto"/>
        <w:ind w:firstLine="540"/>
        <w:jc w:val="both"/>
      </w:pPr>
      <w:r>
        <w:rPr>
          <w:sz w:val="20"/>
        </w:rPr>
        <w:t xml:space="preserve">3) положения о перечислении Субсидии на счет, указанный в </w:t>
      </w:r>
      <w:hyperlink w:history="0" w:anchor="P3058" w:tooltip="11. Субсидия перечисляется на расчетный счет, открытый АО &quot;КРМО&quot; в кредитной организации, в установленные Соглашением сроки.">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4) обязанность АО "КРМО" осуществлять закупки за счет средств Субсидии в порядке, установленном Федеральным </w:t>
      </w:r>
      <w:hyperlink w:history="0" r:id="rId2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обязанность АО "КРМО" обеспечить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находящихся в его собственности, и (или) приобретение им объектов недвижимого имущества в размере, предусмотренном решением о предоставлении Субсидии и Соглашением;</w:t>
      </w:r>
    </w:p>
    <w:p>
      <w:pPr>
        <w:pStyle w:val="0"/>
        <w:spacing w:before="200" w:line-rule="auto"/>
        <w:ind w:firstLine="540"/>
        <w:jc w:val="both"/>
      </w:pPr>
      <w:r>
        <w:rPr>
          <w:sz w:val="20"/>
        </w:rPr>
        <w:t xml:space="preserve">6) положения о запрете:</w:t>
      </w:r>
    </w:p>
    <w:p>
      <w:pPr>
        <w:pStyle w:val="0"/>
        <w:spacing w:before="200" w:line-rule="auto"/>
        <w:ind w:firstLine="540"/>
        <w:jc w:val="both"/>
      </w:pPr>
      <w:r>
        <w:rPr>
          <w:sz w:val="20"/>
        </w:rPr>
        <w:t xml:space="preserve">на приобретение АО "КРМО"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Субсидии;</w:t>
      </w:r>
    </w:p>
    <w:p>
      <w:pPr>
        <w:pStyle w:val="0"/>
        <w:spacing w:before="200" w:line-rule="auto"/>
        <w:ind w:firstLine="540"/>
        <w:jc w:val="both"/>
      </w:pPr>
      <w:r>
        <w:rPr>
          <w:sz w:val="20"/>
        </w:rPr>
        <w:t xml:space="preserve">на перечисление АО "КРМО"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pPr>
        <w:pStyle w:val="0"/>
        <w:spacing w:before="200" w:line-rule="auto"/>
        <w:ind w:firstLine="540"/>
        <w:jc w:val="both"/>
      </w:pPr>
      <w:r>
        <w:rPr>
          <w:sz w:val="20"/>
        </w:rPr>
        <w:t xml:space="preserve">на размещение АО "КРМО"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jc w:val="both"/>
      </w:pPr>
      <w:r>
        <w:rPr>
          <w:sz w:val="20"/>
        </w:rPr>
        <w:t xml:space="preserve">(абзац введен </w:t>
      </w:r>
      <w:hyperlink w:history="0" r:id="rId259"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08.10.2024 N 1223-ПП)</w:t>
      </w:r>
    </w:p>
    <w:p>
      <w:pPr>
        <w:pStyle w:val="0"/>
        <w:spacing w:before="200" w:line-rule="auto"/>
        <w:ind w:firstLine="540"/>
        <w:jc w:val="both"/>
      </w:pPr>
      <w:r>
        <w:rPr>
          <w:sz w:val="20"/>
        </w:rPr>
        <w:t xml:space="preserve">7) положение о возврате АО "КРМО" в бюджет Московской области остатка Субсидии, не использованного в отчетном финансовом году, если Мининвестом Московской области не принято в соответствии с </w:t>
      </w:r>
      <w:hyperlink w:history="0" w:anchor="P3062" w:tooltip="13. При наличии у АО &quot;КРМО&quot; неиспользованного остатка Субсидии в конце соответствующего финансового года АО &quot;КРМО&quot;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quot;КРМО&quot; в очередном финансовом году при наличии потребности направления их на те же цели в соответствии с решением Мининвеста Мо...">
        <w:r>
          <w:rPr>
            <w:sz w:val="20"/>
            <w:color w:val="0000ff"/>
          </w:rPr>
          <w:t xml:space="preserve">пунктом 13</w:t>
        </w:r>
      </w:hyperlink>
      <w:r>
        <w:rPr>
          <w:sz w:val="20"/>
        </w:rPr>
        <w:t xml:space="preserve"> настоящего Порядка решение об использовании этих средств на цели предоставления Субсидии в соответствующем финансовом году (далее - решение об использовании остатка Субсидии);</w:t>
      </w:r>
    </w:p>
    <w:p>
      <w:pPr>
        <w:pStyle w:val="0"/>
        <w:spacing w:before="200" w:line-rule="auto"/>
        <w:ind w:firstLine="540"/>
        <w:jc w:val="both"/>
      </w:pPr>
      <w:r>
        <w:rPr>
          <w:sz w:val="20"/>
        </w:rPr>
        <w:t xml:space="preserve">8) порядок и сроки представления АО "КРМО" отчетности о расходах, источником финансового обеспечения которых является Субсидия, и о достижении результатов предоставления Субсидии;</w:t>
      </w:r>
    </w:p>
    <w:p>
      <w:pPr>
        <w:pStyle w:val="0"/>
        <w:jc w:val="both"/>
      </w:pPr>
      <w:r>
        <w:rPr>
          <w:sz w:val="20"/>
        </w:rPr>
        <w:t xml:space="preserve">(в ред. </w:t>
      </w:r>
      <w:hyperlink w:history="0" r:id="rId260"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9) согласие АО "КРМО"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2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6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10) обязанность АО "КРМО" по возврату соответствующих средств в бюджет Московской области в случае установления по итогам проверок, проведенных Мининвестом Московской области 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w:t>
      </w:r>
    </w:p>
    <w:p>
      <w:pPr>
        <w:pStyle w:val="0"/>
        <w:spacing w:before="200" w:line-rule="auto"/>
        <w:ind w:firstLine="540"/>
        <w:jc w:val="both"/>
      </w:pPr>
      <w:r>
        <w:rPr>
          <w:sz w:val="20"/>
        </w:rPr>
        <w:t xml:space="preserve">11) обязанность АО "КРМО" уведомить Минмособлимущество о вводе в эксплуатацию объекта капитального строительства или приобретении объекта недвижимого имущества, источником финансового обеспечения которых является Субсидия, для осуществления Минмособлимуществом действий, направленных на увеличение уставного капитала АО "КРМО" в порядке, установленном законодательством Российской Федерации;</w:t>
      </w:r>
    </w:p>
    <w:p>
      <w:pPr>
        <w:pStyle w:val="0"/>
        <w:spacing w:before="200" w:line-rule="auto"/>
        <w:ind w:firstLine="540"/>
        <w:jc w:val="both"/>
      </w:pPr>
      <w:r>
        <w:rPr>
          <w:sz w:val="20"/>
        </w:rPr>
        <w:t xml:space="preserve">12) сроки перечисления Субсидии;</w:t>
      </w:r>
    </w:p>
    <w:p>
      <w:pPr>
        <w:pStyle w:val="0"/>
        <w:spacing w:before="200" w:line-rule="auto"/>
        <w:ind w:firstLine="540"/>
        <w:jc w:val="both"/>
      </w:pPr>
      <w:r>
        <w:rPr>
          <w:sz w:val="20"/>
        </w:rPr>
        <w:t xml:space="preserve">13) обязанность АО "КРМО" обеспечить финансовое обеспечение работ и услуг в соответствии с нормативными правовыми актами Российской Федерации и нормативными правовыми актами Московской области, регулирующими порядок принятия решений о предоставлении субсидий, без использования на эти цели средств, предоставляемых из бюджета Московской области;</w:t>
      </w:r>
    </w:p>
    <w:p>
      <w:pPr>
        <w:pStyle w:val="0"/>
        <w:spacing w:before="200" w:line-rule="auto"/>
        <w:ind w:firstLine="540"/>
        <w:jc w:val="both"/>
      </w:pPr>
      <w:r>
        <w:rPr>
          <w:sz w:val="20"/>
        </w:rPr>
        <w:t xml:space="preserve">14) обязательство АО "КРМО" осуществлять эксплуатационные расходы, необходимые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Московской области в соответствии с законом Московской области о бюджете Московской области и иными нормативными правовыми актами, регулирующими правила предоставления указанных средств;</w:t>
      </w:r>
    </w:p>
    <w:p>
      <w:pPr>
        <w:pStyle w:val="0"/>
        <w:spacing w:before="200" w:line-rule="auto"/>
        <w:ind w:firstLine="540"/>
        <w:jc w:val="both"/>
      </w:pPr>
      <w:r>
        <w:rPr>
          <w:sz w:val="20"/>
        </w:rPr>
        <w:t xml:space="preserve">15) обязательство АО "КРМО"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"КРМО" указанного заключения.</w:t>
      </w:r>
    </w:p>
    <w:bookmarkStart w:id="3058" w:name="P3058"/>
    <w:bookmarkEnd w:id="3058"/>
    <w:p>
      <w:pPr>
        <w:pStyle w:val="0"/>
        <w:spacing w:before="200" w:line-rule="auto"/>
        <w:ind w:firstLine="540"/>
        <w:jc w:val="both"/>
      </w:pPr>
      <w:r>
        <w:rPr>
          <w:sz w:val="20"/>
        </w:rPr>
        <w:t xml:space="preserve">11. Субсидия перечисляется на расчетный счет, открытый АО "КРМО" в кредитной организации, в установленные Соглашением сроки.</w:t>
      </w:r>
    </w:p>
    <w:p>
      <w:pPr>
        <w:pStyle w:val="0"/>
        <w:jc w:val="both"/>
      </w:pPr>
      <w:r>
        <w:rPr>
          <w:sz w:val="20"/>
        </w:rPr>
        <w:t xml:space="preserve">(п. 11 в ред. </w:t>
      </w:r>
      <w:hyperlink w:history="0" r:id="rId263"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08.10.2024 N 1223-ПП)</w:t>
      </w:r>
    </w:p>
    <w:p>
      <w:pPr>
        <w:pStyle w:val="0"/>
        <w:spacing w:before="200" w:line-rule="auto"/>
        <w:ind w:firstLine="540"/>
        <w:jc w:val="both"/>
      </w:pPr>
      <w:r>
        <w:rPr>
          <w:sz w:val="20"/>
        </w:rPr>
        <w:t xml:space="preserve">12. Результатом предоставления Субсидии является количество введенных в эксплуатацию объектов инфраструктуры, а также выполненных работ (услуг) по технологическому присоединению (подключению).</w:t>
      </w:r>
    </w:p>
    <w:p>
      <w:pPr>
        <w:pStyle w:val="0"/>
        <w:jc w:val="both"/>
      </w:pPr>
      <w:r>
        <w:rPr>
          <w:sz w:val="20"/>
        </w:rPr>
        <w:t xml:space="preserve">(п. 12 в ред. </w:t>
      </w:r>
      <w:hyperlink w:history="0" r:id="rId264"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bookmarkStart w:id="3062" w:name="P3062"/>
    <w:bookmarkEnd w:id="3062"/>
    <w:p>
      <w:pPr>
        <w:pStyle w:val="0"/>
        <w:spacing w:before="200" w:line-rule="auto"/>
        <w:ind w:firstLine="540"/>
        <w:jc w:val="both"/>
      </w:pPr>
      <w:r>
        <w:rPr>
          <w:sz w:val="20"/>
        </w:rPr>
        <w:t xml:space="preserve">13. При наличии у АО "КРМО" неиспользованного остатка Субсидии в конце соответствующего финансового года АО "КРМО"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"КРМО" в очередном финансовом году при наличии потребности направления их на те же цели в соответствии с решением Мининвеста Московской области об использовании остатка Субсидии.</w:t>
      </w:r>
    </w:p>
    <w:p>
      <w:pPr>
        <w:pStyle w:val="0"/>
        <w:spacing w:before="200" w:line-rule="auto"/>
        <w:ind w:firstLine="540"/>
        <w:jc w:val="both"/>
      </w:pPr>
      <w:r>
        <w:rPr>
          <w:sz w:val="20"/>
        </w:rPr>
        <w:t xml:space="preserve">В решение Мининвеста Московской области об использовании остатка Субсидии включается один или несколько объектов капитального строительства и (или) объектов недвижимого имущества.</w:t>
      </w:r>
    </w:p>
    <w:p>
      <w:pPr>
        <w:pStyle w:val="0"/>
        <w:spacing w:before="200" w:line-rule="auto"/>
        <w:ind w:firstLine="540"/>
        <w:jc w:val="both"/>
      </w:pPr>
      <w:r>
        <w:rPr>
          <w:sz w:val="20"/>
        </w:rPr>
        <w:t xml:space="preserve">Решение Мининвеста Московской области об использовании остатка Субсидии подлежит согласованию с МЭФ Московской области.</w:t>
      </w:r>
    </w:p>
    <w:p>
      <w:pPr>
        <w:pStyle w:val="0"/>
        <w:spacing w:before="200" w:line-rule="auto"/>
        <w:ind w:firstLine="540"/>
        <w:jc w:val="both"/>
      </w:pPr>
      <w:r>
        <w:rPr>
          <w:sz w:val="20"/>
        </w:rPr>
        <w:t xml:space="preserve">В случае возникновения обстоятельств, свидетельствующих об отсутствии потребности в неиспользованном остатке Субсидии у АО "КРМО" в соответствующем финансовом году, АО "КРМО" обязано письменно уведомить Мининвест Московской области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бюджет Московской области.</w:t>
      </w:r>
    </w:p>
    <w:p>
      <w:pPr>
        <w:pStyle w:val="0"/>
        <w:spacing w:before="200" w:line-rule="auto"/>
        <w:ind w:firstLine="540"/>
        <w:jc w:val="both"/>
      </w:pPr>
      <w:r>
        <w:rPr>
          <w:sz w:val="20"/>
        </w:rPr>
        <w:t xml:space="preserve">14. АО "КРМО" несет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p>
      <w:pPr>
        <w:pStyle w:val="0"/>
        <w:ind w:firstLine="540"/>
        <w:jc w:val="both"/>
      </w:pPr>
      <w:r>
        <w:rPr>
          <w:sz w:val="20"/>
        </w:rPr>
        <w:t xml:space="preserve">15. АО "КРМО" представляет Мининвесту Московской области отчетность о расходовании Субсидии, предоставленной из бюджета Московской области АО "КРМО"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приобретение им объектов недвижимого имущества, и о достижении АО "КРМО" результата предоставления Субсидии по форме и в сроки, определенные Соглашением, за период с даты заключения Соглашения по 31 декабря 2025 года с приложением подтверждающих документов. Отчетность представляется по итогам каждого завершенного календарного года (далее - отчетный год) не позднее 20 рабочих дней после его окончания.</w:t>
      </w:r>
    </w:p>
    <w:p>
      <w:pPr>
        <w:pStyle w:val="0"/>
        <w:spacing w:before="200" w:line-rule="auto"/>
        <w:ind w:firstLine="540"/>
        <w:jc w:val="both"/>
      </w:pPr>
      <w:r>
        <w:rPr>
          <w:sz w:val="20"/>
        </w:rPr>
        <w:t xml:space="preserve">Мининвест Московской области в течение 10 рабочих дней со дня представления отчетности в соответствии с требованиями настоящего Порядка осуществляет ее проверку и принятие.</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АО "КРМО" отчетность в случае ее соответствия требованиям настоящего Порядка.</w:t>
      </w:r>
    </w:p>
    <w:p>
      <w:pPr>
        <w:pStyle w:val="0"/>
        <w:spacing w:before="200" w:line-rule="auto"/>
        <w:ind w:firstLine="540"/>
        <w:jc w:val="both"/>
      </w:pPr>
      <w:r>
        <w:rPr>
          <w:sz w:val="20"/>
        </w:rPr>
        <w:t xml:space="preserve">В случае несоответствия отчетности требованиям настоящего Порядка Мининвест Московской области в течение 5 рабочих дней направляет АО "КРМО" уведомление об исправлении представленной отчетности и повторном направлении в Мининвест Московской области в срок, указанный в уведомлении.</w:t>
      </w:r>
    </w:p>
    <w:p>
      <w:pPr>
        <w:pStyle w:val="0"/>
        <w:jc w:val="both"/>
      </w:pPr>
      <w:r>
        <w:rPr>
          <w:sz w:val="20"/>
        </w:rPr>
        <w:t xml:space="preserve">(п. 15 в ред. </w:t>
      </w:r>
      <w:hyperlink w:history="0" r:id="rId265"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16. Мининвест Московской области представляет МЭФ Московской области отчет о расходовании Субсидии, предоставленной из бюджета Московской области АО "КРМО" на строительство, реконструкцию, в том числе с элементами реставрации, техническое перевооружение объектов капитального строительства, находящихся в его собственности, и (или) приобретение им объектов недвижимого имущества, и отчет о достижении АО "КРМО" результата предоставления Субсидии не позднее 1 марта года, следующего за отчетным годом, по формам согласно </w:t>
      </w:r>
      <w:hyperlink w:history="0" w:anchor="P3110" w:tooltip="Отчет">
        <w:r>
          <w:rPr>
            <w:sz w:val="20"/>
            <w:color w:val="0000ff"/>
          </w:rPr>
          <w:t xml:space="preserve">таблицам 2</w:t>
        </w:r>
      </w:hyperlink>
      <w:r>
        <w:rPr>
          <w:sz w:val="20"/>
        </w:rPr>
        <w:t xml:space="preserve"> и </w:t>
      </w:r>
      <w:hyperlink w:history="0" w:anchor="P3238" w:tooltip="Отчет">
        <w:r>
          <w:rPr>
            <w:sz w:val="20"/>
            <w:color w:val="0000ff"/>
          </w:rPr>
          <w:t xml:space="preserve">3</w:t>
        </w:r>
      </w:hyperlink>
      <w:r>
        <w:rPr>
          <w:sz w:val="20"/>
        </w:rPr>
        <w:t xml:space="preserve"> к настоящему Порядку с приложением подтверждающих документов.</w:t>
      </w:r>
    </w:p>
    <w:p>
      <w:pPr>
        <w:pStyle w:val="0"/>
        <w:jc w:val="both"/>
      </w:pPr>
      <w:r>
        <w:rPr>
          <w:sz w:val="20"/>
        </w:rPr>
        <w:t xml:space="preserve">(п. 16 в ред. </w:t>
      </w:r>
      <w:hyperlink w:history="0" r:id="rId266"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jc w:val="both"/>
      </w:pPr>
      <w:r>
        <w:rPr>
          <w:sz w:val="20"/>
        </w:rPr>
      </w:r>
    </w:p>
    <w:p>
      <w:pPr>
        <w:pStyle w:val="2"/>
        <w:outlineLvl w:val="4"/>
        <w:jc w:val="center"/>
      </w:pPr>
      <w:r>
        <w:rPr>
          <w:sz w:val="20"/>
        </w:rPr>
        <w:t xml:space="preserve">IV.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Субсидии и ответственность за их нарушение</w:t>
      </w:r>
    </w:p>
    <w:p>
      <w:pPr>
        <w:pStyle w:val="0"/>
        <w:jc w:val="both"/>
      </w:pPr>
      <w:r>
        <w:rPr>
          <w:sz w:val="20"/>
        </w:rPr>
      </w:r>
    </w:p>
    <w:p>
      <w:pPr>
        <w:pStyle w:val="0"/>
        <w:ind w:firstLine="540"/>
        <w:jc w:val="both"/>
      </w:pPr>
      <w:r>
        <w:rPr>
          <w:sz w:val="20"/>
        </w:rPr>
        <w:t xml:space="preserve">17. Минмособлимущество осуществляет корпоративные мероприятия, направленные на увеличение уставного капитала АО "КРМО" в порядке, установленном законодательством Российской Федерации.</w:t>
      </w:r>
    </w:p>
    <w:p>
      <w:pPr>
        <w:pStyle w:val="0"/>
        <w:spacing w:before="200" w:line-rule="auto"/>
        <w:ind w:firstLine="540"/>
        <w:jc w:val="both"/>
      </w:pPr>
      <w:r>
        <w:rPr>
          <w:sz w:val="20"/>
        </w:rPr>
        <w:t xml:space="preserve">18. Соблюдение АО "КРМО"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w:history="0" r:id="rId2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6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19. Субсидия подлежит возврату в бюджет Московской области в сроки и порядке, установленные в Соглашении, в случаях:</w:t>
      </w:r>
    </w:p>
    <w:p>
      <w:pPr>
        <w:pStyle w:val="0"/>
        <w:spacing w:before="200" w:line-rule="auto"/>
        <w:ind w:firstLine="540"/>
        <w:jc w:val="both"/>
      </w:pPr>
      <w:r>
        <w:rPr>
          <w:sz w:val="20"/>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pPr>
        <w:pStyle w:val="0"/>
        <w:spacing w:before="200" w:line-rule="auto"/>
        <w:ind w:firstLine="540"/>
        <w:jc w:val="both"/>
      </w:pPr>
      <w:r>
        <w:rPr>
          <w:sz w:val="20"/>
        </w:rPr>
        <w:t xml:space="preserve">недостижения получателем Субсидии результатов предоставления Субсидии.</w:t>
      </w:r>
    </w:p>
    <w:p>
      <w:pPr>
        <w:pStyle w:val="0"/>
        <w:spacing w:before="200" w:line-rule="auto"/>
        <w:ind w:firstLine="540"/>
        <w:jc w:val="both"/>
      </w:pPr>
      <w:r>
        <w:rPr>
          <w:sz w:val="20"/>
        </w:rPr>
        <w:t xml:space="preserve">20. При недостижении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результату предоставления Субсидии.</w:t>
      </w:r>
    </w:p>
    <w:p>
      <w:pPr>
        <w:pStyle w:val="0"/>
        <w:jc w:val="both"/>
      </w:pPr>
      <w:r>
        <w:rPr>
          <w:sz w:val="20"/>
        </w:rPr>
        <w:t xml:space="preserve">(в ред. </w:t>
      </w:r>
      <w:hyperlink w:history="0" r:id="rId269"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Порядок расчета размера Субсидии, подлежащей возврату в бюджет Московской области, устанавливается в Соглашении.</w:t>
      </w:r>
    </w:p>
    <w:p>
      <w:pPr>
        <w:pStyle w:val="0"/>
        <w:spacing w:before="200" w:line-rule="auto"/>
        <w:ind w:firstLine="540"/>
        <w:jc w:val="both"/>
      </w:pPr>
      <w:r>
        <w:rPr>
          <w:sz w:val="20"/>
        </w:rPr>
        <w:t xml:space="preserve">21.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АО "КРМО",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pPr>
        <w:pStyle w:val="0"/>
        <w:spacing w:before="200" w:line-rule="auto"/>
        <w:ind w:firstLine="540"/>
        <w:jc w:val="both"/>
      </w:pPr>
      <w:r>
        <w:rPr>
          <w:sz w:val="20"/>
        </w:rPr>
        <w:t xml:space="preserve">22.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рабочих дней с даты подписания требование о возврате направляется в АО "КРМО".</w:t>
      </w:r>
    </w:p>
    <w:p>
      <w:pPr>
        <w:pStyle w:val="0"/>
        <w:spacing w:before="200" w:line-rule="auto"/>
        <w:ind w:firstLine="540"/>
        <w:jc w:val="both"/>
      </w:pPr>
      <w:r>
        <w:rPr>
          <w:sz w:val="20"/>
        </w:rPr>
        <w:t xml:space="preserve">23. В случае неисполнения АО "КРМО"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p>
      <w:pPr>
        <w:pStyle w:val="2"/>
        <w:jc w:val="center"/>
      </w:pPr>
      <w:r>
        <w:rPr>
          <w:sz w:val="20"/>
        </w:rPr>
        <w:t xml:space="preserve">ПОКАЗАТЕЛИ</w:t>
      </w:r>
    </w:p>
    <w:p>
      <w:pPr>
        <w:pStyle w:val="2"/>
        <w:jc w:val="center"/>
      </w:pPr>
      <w:r>
        <w:rPr>
          <w:sz w:val="20"/>
        </w:rPr>
        <w:t xml:space="preserve">РЕЗУЛЬТАТИВНОСТИ ПРЕДОСТАВЛЕНИЯ СУБСИДИИ (ОБЪЕКТЫ</w:t>
      </w:r>
    </w:p>
    <w:p>
      <w:pPr>
        <w:pStyle w:val="2"/>
        <w:jc w:val="center"/>
      </w:pPr>
      <w:r>
        <w:rPr>
          <w:sz w:val="20"/>
        </w:rPr>
        <w:t xml:space="preserve">НЕДВИЖИМОГО ИМУЩЕСТВА, НА СТРОИТЕЛЬСТВО И (ИЛИ) ПРИОБРЕТЕНИЕ</w:t>
      </w:r>
    </w:p>
    <w:p>
      <w:pPr>
        <w:pStyle w:val="2"/>
        <w:jc w:val="center"/>
      </w:pPr>
      <w:r>
        <w:rPr>
          <w:sz w:val="20"/>
        </w:rPr>
        <w:t xml:space="preserve">КОТОРЫХ ПРЕДОСТАВЛЯЕТСЯ СУБСИДИЯ)</w:t>
      </w:r>
    </w:p>
    <w:p>
      <w:pPr>
        <w:pStyle w:val="0"/>
        <w:jc w:val="both"/>
      </w:pPr>
      <w:r>
        <w:rPr>
          <w:sz w:val="20"/>
        </w:rPr>
      </w:r>
    </w:p>
    <w:p>
      <w:pPr>
        <w:pStyle w:val="0"/>
        <w:jc w:val="center"/>
      </w:pPr>
      <w:r>
        <w:rPr>
          <w:sz w:val="20"/>
        </w:rPr>
        <w:t xml:space="preserve">Утратили силу. - </w:t>
      </w:r>
      <w:hyperlink w:history="0" r:id="rId270"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22.05.2023 N 315-ПП.</w:t>
      </w:r>
    </w:p>
    <w:p>
      <w:pPr>
        <w:pStyle w:val="0"/>
        <w:jc w:val="both"/>
      </w:pPr>
      <w:r>
        <w:rPr>
          <w:sz w:val="20"/>
        </w:rPr>
      </w:r>
    </w:p>
    <w:p>
      <w:pPr>
        <w:pStyle w:val="0"/>
        <w:outlineLvl w:val="4"/>
        <w:jc w:val="right"/>
      </w:pPr>
      <w:r>
        <w:rPr>
          <w:sz w:val="20"/>
        </w:rPr>
        <w:t xml:space="preserve">Таблица 2</w:t>
      </w:r>
    </w:p>
    <w:p>
      <w:pPr>
        <w:pStyle w:val="0"/>
        <w:jc w:val="center"/>
      </w:pPr>
      <w:r>
        <w:rPr>
          <w:sz w:val="20"/>
        </w:rPr>
      </w:r>
    </w:p>
    <w:p>
      <w:pPr>
        <w:pStyle w:val="0"/>
        <w:jc w:val="center"/>
      </w:pPr>
      <w:r>
        <w:rPr>
          <w:sz w:val="20"/>
        </w:rPr>
        <w:t xml:space="preserve">(в ред. </w:t>
      </w:r>
      <w:hyperlink w:history="0" r:id="rId271"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3110" w:name="P3110"/>
    <w:bookmarkEnd w:id="3110"/>
    <w:p>
      <w:pPr>
        <w:pStyle w:val="0"/>
        <w:jc w:val="center"/>
      </w:pPr>
      <w:r>
        <w:rPr>
          <w:sz w:val="20"/>
        </w:rPr>
        <w:t xml:space="preserve">Отчет</w:t>
      </w:r>
    </w:p>
    <w:p>
      <w:pPr>
        <w:pStyle w:val="0"/>
        <w:jc w:val="center"/>
      </w:pPr>
      <w:r>
        <w:rPr>
          <w:sz w:val="20"/>
        </w:rPr>
        <w:t xml:space="preserve">о расходовании субсидии, предоставленной из бюджета</w:t>
      </w:r>
    </w:p>
    <w:p>
      <w:pPr>
        <w:pStyle w:val="0"/>
        <w:jc w:val="center"/>
      </w:pPr>
      <w:r>
        <w:rPr>
          <w:sz w:val="20"/>
        </w:rPr>
        <w:t xml:space="preserve">Московской области АО "КРМО"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51"/>
        <w:gridCol w:w="1871"/>
        <w:gridCol w:w="1644"/>
        <w:gridCol w:w="1814"/>
        <w:gridCol w:w="1871"/>
        <w:gridCol w:w="1587"/>
        <w:gridCol w:w="1757"/>
        <w:gridCol w:w="1814"/>
        <w:gridCol w:w="1757"/>
        <w:gridCol w:w="1871"/>
        <w:gridCol w:w="1814"/>
        <w:gridCol w:w="1531"/>
      </w:tblGrid>
      <w:tr>
        <w:tc>
          <w:tcPr>
            <w:tcW w:w="567" w:type="dxa"/>
            <w:vMerge w:val="restart"/>
          </w:tcPr>
          <w:p>
            <w:pPr>
              <w:pStyle w:val="0"/>
              <w:jc w:val="center"/>
            </w:pPr>
            <w:r>
              <w:rPr>
                <w:sz w:val="20"/>
              </w:rPr>
              <w:t xml:space="preserve">N п/п</w:t>
            </w:r>
          </w:p>
        </w:tc>
        <w:tc>
          <w:tcPr>
            <w:tcW w:w="3151" w:type="dxa"/>
            <w:vMerge w:val="restart"/>
          </w:tcPr>
          <w:p>
            <w:pPr>
              <w:pStyle w:val="0"/>
              <w:jc w:val="center"/>
            </w:pPr>
            <w:r>
              <w:rPr>
                <w:sz w:val="20"/>
              </w:rPr>
              <w:t xml:space="preserve">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871" w:type="dxa"/>
            <w:vMerge w:val="restart"/>
          </w:tcPr>
          <w:p>
            <w:pPr>
              <w:pStyle w:val="0"/>
              <w:jc w:val="center"/>
            </w:pPr>
            <w:r>
              <w:rPr>
                <w:sz w:val="20"/>
              </w:rPr>
              <w:t xml:space="preserve">Источники финансирования*</w:t>
            </w:r>
          </w:p>
        </w:tc>
        <w:tc>
          <w:tcPr>
            <w:tcW w:w="1644" w:type="dxa"/>
            <w:vMerge w:val="restart"/>
          </w:tcPr>
          <w:p>
            <w:pPr>
              <w:pStyle w:val="0"/>
              <w:jc w:val="center"/>
            </w:pPr>
            <w:r>
              <w:rPr>
                <w:sz w:val="20"/>
              </w:rPr>
              <w:t xml:space="preserve">Направление расходов*</w:t>
            </w:r>
          </w:p>
        </w:tc>
        <w:tc>
          <w:tcPr>
            <w:gridSpan w:val="3"/>
            <w:tcW w:w="5272" w:type="dxa"/>
          </w:tcPr>
          <w:p>
            <w:pPr>
              <w:pStyle w:val="0"/>
              <w:jc w:val="center"/>
            </w:pPr>
            <w:r>
              <w:rPr>
                <w:sz w:val="20"/>
              </w:rPr>
              <w:t xml:space="preserve">2023 год</w:t>
            </w:r>
          </w:p>
        </w:tc>
        <w:tc>
          <w:tcPr>
            <w:gridSpan w:val="3"/>
            <w:tcW w:w="5328" w:type="dxa"/>
          </w:tcPr>
          <w:p>
            <w:pPr>
              <w:pStyle w:val="0"/>
              <w:jc w:val="center"/>
            </w:pPr>
            <w:r>
              <w:rPr>
                <w:sz w:val="20"/>
              </w:rPr>
              <w:t xml:space="preserve">2024 год</w:t>
            </w:r>
          </w:p>
        </w:tc>
        <w:tc>
          <w:tcPr>
            <w:gridSpan w:val="3"/>
            <w:tcW w:w="5216" w:type="dxa"/>
          </w:tcPr>
          <w:p>
            <w:pPr>
              <w:pStyle w:val="0"/>
              <w:jc w:val="center"/>
            </w:pPr>
            <w:r>
              <w:rPr>
                <w:sz w:val="20"/>
              </w:rPr>
              <w:t xml:space="preserve">2025 год</w:t>
            </w:r>
          </w:p>
        </w:tc>
      </w:tr>
      <w:tr>
        <w:tc>
          <w:tcPr>
            <w:vMerge w:val="continue"/>
          </w:tcPr>
          <w:p/>
        </w:tc>
        <w:tc>
          <w:tcPr>
            <w:vMerge w:val="continue"/>
          </w:tcPr>
          <w:p/>
        </w:tc>
        <w:tc>
          <w:tcPr>
            <w:vMerge w:val="continue"/>
          </w:tcPr>
          <w:p/>
        </w:tc>
        <w:tc>
          <w:tcPr>
            <w:vMerge w:val="continue"/>
          </w:tcPr>
          <w:p/>
        </w:tc>
        <w:tc>
          <w:tcPr>
            <w:tcW w:w="1814" w:type="dxa"/>
          </w:tcPr>
          <w:p>
            <w:pPr>
              <w:pStyle w:val="0"/>
              <w:jc w:val="center"/>
            </w:pPr>
            <w:r>
              <w:rPr>
                <w:sz w:val="20"/>
              </w:rPr>
              <w:t xml:space="preserve">Плановая сумма использования субсидии, тыс. руб.*</w:t>
            </w:r>
          </w:p>
        </w:tc>
        <w:tc>
          <w:tcPr>
            <w:tcW w:w="1871" w:type="dxa"/>
          </w:tcPr>
          <w:p>
            <w:pPr>
              <w:pStyle w:val="0"/>
              <w:jc w:val="center"/>
            </w:pPr>
            <w:r>
              <w:rPr>
                <w:sz w:val="20"/>
              </w:rPr>
              <w:t xml:space="preserve">Фактически использованная сумма субсидии, тыс. руб.</w:t>
            </w:r>
          </w:p>
        </w:tc>
        <w:tc>
          <w:tcPr>
            <w:tcW w:w="1587" w:type="dxa"/>
          </w:tcPr>
          <w:p>
            <w:pPr>
              <w:pStyle w:val="0"/>
              <w:jc w:val="center"/>
            </w:pPr>
            <w:r>
              <w:rPr>
                <w:sz w:val="20"/>
              </w:rPr>
              <w:t xml:space="preserve">Процент использования субсидии, %</w:t>
            </w:r>
          </w:p>
        </w:tc>
        <w:tc>
          <w:tcPr>
            <w:tcW w:w="1757" w:type="dxa"/>
          </w:tcPr>
          <w:p>
            <w:pPr>
              <w:pStyle w:val="0"/>
              <w:jc w:val="center"/>
            </w:pPr>
            <w:r>
              <w:rPr>
                <w:sz w:val="20"/>
              </w:rPr>
              <w:t xml:space="preserve">Плановая сумма использования субсидии, тыс. руб.*</w:t>
            </w:r>
          </w:p>
        </w:tc>
        <w:tc>
          <w:tcPr>
            <w:tcW w:w="1814" w:type="dxa"/>
          </w:tcPr>
          <w:p>
            <w:pPr>
              <w:pStyle w:val="0"/>
              <w:jc w:val="center"/>
            </w:pPr>
            <w:r>
              <w:rPr>
                <w:sz w:val="20"/>
              </w:rPr>
              <w:t xml:space="preserve">Фактически использованная сумма субсидии, тыс. руб.</w:t>
            </w:r>
          </w:p>
        </w:tc>
        <w:tc>
          <w:tcPr>
            <w:tcW w:w="1757" w:type="dxa"/>
          </w:tcPr>
          <w:p>
            <w:pPr>
              <w:pStyle w:val="0"/>
              <w:jc w:val="center"/>
            </w:pPr>
            <w:r>
              <w:rPr>
                <w:sz w:val="20"/>
              </w:rPr>
              <w:t xml:space="preserve">Процент использования субсидии, %</w:t>
            </w:r>
          </w:p>
        </w:tc>
        <w:tc>
          <w:tcPr>
            <w:tcW w:w="1871" w:type="dxa"/>
          </w:tcPr>
          <w:p>
            <w:pPr>
              <w:pStyle w:val="0"/>
              <w:jc w:val="center"/>
            </w:pPr>
            <w:r>
              <w:rPr>
                <w:sz w:val="20"/>
              </w:rPr>
              <w:t xml:space="preserve">Плановая сумма использования субсидии, тыс. руб.*</w:t>
            </w:r>
          </w:p>
        </w:tc>
        <w:tc>
          <w:tcPr>
            <w:tcW w:w="1814" w:type="dxa"/>
          </w:tcPr>
          <w:p>
            <w:pPr>
              <w:pStyle w:val="0"/>
              <w:jc w:val="center"/>
            </w:pPr>
            <w:r>
              <w:rPr>
                <w:sz w:val="20"/>
              </w:rPr>
              <w:t xml:space="preserve">Фактически использованная сумма субсидии, тыс. руб.</w:t>
            </w:r>
          </w:p>
        </w:tc>
        <w:tc>
          <w:tcPr>
            <w:tcW w:w="1531" w:type="dxa"/>
          </w:tcPr>
          <w:p>
            <w:pPr>
              <w:pStyle w:val="0"/>
              <w:jc w:val="center"/>
            </w:pPr>
            <w:r>
              <w:rPr>
                <w:sz w:val="20"/>
              </w:rPr>
              <w:t xml:space="preserve">Процент использования субсидии, %</w:t>
            </w:r>
          </w:p>
        </w:tc>
      </w:tr>
      <w:tr>
        <w:tc>
          <w:tcPr>
            <w:tcW w:w="567" w:type="dxa"/>
          </w:tcPr>
          <w:p>
            <w:pPr>
              <w:pStyle w:val="0"/>
              <w:jc w:val="center"/>
            </w:pPr>
            <w:r>
              <w:rPr>
                <w:sz w:val="20"/>
              </w:rPr>
              <w:t xml:space="preserve">1</w:t>
            </w:r>
          </w:p>
        </w:tc>
        <w:tc>
          <w:tcPr>
            <w:tcW w:w="3151" w:type="dxa"/>
          </w:tcPr>
          <w:p>
            <w:pPr>
              <w:pStyle w:val="0"/>
              <w:jc w:val="center"/>
            </w:pPr>
            <w:r>
              <w:rPr>
                <w:sz w:val="20"/>
              </w:rPr>
              <w:t xml:space="preserve">2</w:t>
            </w:r>
          </w:p>
        </w:tc>
        <w:tc>
          <w:tcPr>
            <w:tcW w:w="1871" w:type="dxa"/>
          </w:tcPr>
          <w:p>
            <w:pPr>
              <w:pStyle w:val="0"/>
              <w:jc w:val="center"/>
            </w:pPr>
            <w:r>
              <w:rPr>
                <w:sz w:val="20"/>
              </w:rPr>
              <w:t xml:space="preserve">3</w:t>
            </w:r>
          </w:p>
        </w:tc>
        <w:tc>
          <w:tcPr>
            <w:tcW w:w="1644" w:type="dxa"/>
          </w:tcPr>
          <w:p>
            <w:pPr>
              <w:pStyle w:val="0"/>
              <w:jc w:val="center"/>
            </w:pPr>
            <w:r>
              <w:rPr>
                <w:sz w:val="20"/>
              </w:rPr>
              <w:t xml:space="preserve">4</w:t>
            </w:r>
          </w:p>
        </w:tc>
        <w:tc>
          <w:tcPr>
            <w:tcW w:w="1814" w:type="dxa"/>
          </w:tcPr>
          <w:p>
            <w:pPr>
              <w:pStyle w:val="0"/>
              <w:jc w:val="center"/>
            </w:pPr>
            <w:r>
              <w:rPr>
                <w:sz w:val="20"/>
              </w:rPr>
              <w:t xml:space="preserve">5</w:t>
            </w:r>
          </w:p>
        </w:tc>
        <w:tc>
          <w:tcPr>
            <w:tcW w:w="1871" w:type="dxa"/>
          </w:tcPr>
          <w:p>
            <w:pPr>
              <w:pStyle w:val="0"/>
              <w:jc w:val="center"/>
            </w:pPr>
            <w:r>
              <w:rPr>
                <w:sz w:val="20"/>
              </w:rPr>
              <w:t xml:space="preserve">6</w:t>
            </w:r>
          </w:p>
        </w:tc>
        <w:tc>
          <w:tcPr>
            <w:tcW w:w="1587" w:type="dxa"/>
          </w:tcPr>
          <w:p>
            <w:pPr>
              <w:pStyle w:val="0"/>
              <w:jc w:val="center"/>
            </w:pPr>
            <w:r>
              <w:rPr>
                <w:sz w:val="20"/>
              </w:rPr>
              <w:t xml:space="preserve">7</w:t>
            </w:r>
          </w:p>
        </w:tc>
        <w:tc>
          <w:tcPr>
            <w:tcW w:w="1757" w:type="dxa"/>
          </w:tcPr>
          <w:p>
            <w:pPr>
              <w:pStyle w:val="0"/>
              <w:jc w:val="center"/>
            </w:pPr>
            <w:r>
              <w:rPr>
                <w:sz w:val="20"/>
              </w:rPr>
              <w:t xml:space="preserve">8</w:t>
            </w:r>
          </w:p>
        </w:tc>
        <w:tc>
          <w:tcPr>
            <w:tcW w:w="1814" w:type="dxa"/>
          </w:tcPr>
          <w:p>
            <w:pPr>
              <w:pStyle w:val="0"/>
              <w:jc w:val="center"/>
            </w:pPr>
            <w:r>
              <w:rPr>
                <w:sz w:val="20"/>
              </w:rPr>
              <w:t xml:space="preserve">9</w:t>
            </w:r>
          </w:p>
        </w:tc>
        <w:tc>
          <w:tcPr>
            <w:tcW w:w="1757" w:type="dxa"/>
          </w:tcPr>
          <w:p>
            <w:pPr>
              <w:pStyle w:val="0"/>
              <w:jc w:val="center"/>
            </w:pPr>
            <w:r>
              <w:rPr>
                <w:sz w:val="20"/>
              </w:rPr>
              <w:t xml:space="preserve">10</w:t>
            </w:r>
          </w:p>
        </w:tc>
        <w:tc>
          <w:tcPr>
            <w:tcW w:w="1871" w:type="dxa"/>
          </w:tcPr>
          <w:p>
            <w:pPr>
              <w:pStyle w:val="0"/>
              <w:jc w:val="center"/>
            </w:pPr>
            <w:r>
              <w:rPr>
                <w:sz w:val="20"/>
              </w:rPr>
              <w:t xml:space="preserve">11</w:t>
            </w:r>
          </w:p>
        </w:tc>
        <w:tc>
          <w:tcPr>
            <w:tcW w:w="1814" w:type="dxa"/>
          </w:tcPr>
          <w:p>
            <w:pPr>
              <w:pStyle w:val="0"/>
              <w:jc w:val="center"/>
            </w:pPr>
            <w:r>
              <w:rPr>
                <w:sz w:val="20"/>
              </w:rPr>
              <w:t xml:space="preserve">12</w:t>
            </w:r>
          </w:p>
        </w:tc>
        <w:tc>
          <w:tcPr>
            <w:tcW w:w="1531" w:type="dxa"/>
          </w:tcPr>
          <w:p>
            <w:pPr>
              <w:pStyle w:val="0"/>
              <w:jc w:val="center"/>
            </w:pPr>
            <w:r>
              <w:rPr>
                <w:sz w:val="20"/>
              </w:rPr>
              <w:t xml:space="preserve">13</w:t>
            </w:r>
          </w:p>
        </w:tc>
      </w:tr>
      <w:tr>
        <w:tc>
          <w:tcPr>
            <w:tcW w:w="567" w:type="dxa"/>
            <w:vMerge w:val="restart"/>
          </w:tcPr>
          <w:p>
            <w:pPr>
              <w:pStyle w:val="0"/>
            </w:pPr>
            <w:r>
              <w:rPr>
                <w:sz w:val="20"/>
              </w:rPr>
              <w:t xml:space="preserve">1</w:t>
            </w:r>
          </w:p>
        </w:tc>
        <w:tc>
          <w:tcPr>
            <w:tcW w:w="3151" w:type="dxa"/>
            <w:vMerge w:val="restart"/>
          </w:tcPr>
          <w:p>
            <w:pPr>
              <w:pStyle w:val="0"/>
            </w:pPr>
            <w:r>
              <w:rPr>
                <w:sz w:val="20"/>
              </w:rPr>
            </w:r>
          </w:p>
        </w:tc>
        <w:tc>
          <w:tcPr>
            <w:tcW w:w="1871" w:type="dxa"/>
            <w:vMerge w:val="restart"/>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r>
        <w:tc>
          <w:tcPr>
            <w:tcW w:w="567" w:type="dxa"/>
            <w:vMerge w:val="restart"/>
          </w:tcPr>
          <w:p>
            <w:pPr>
              <w:pStyle w:val="0"/>
            </w:pPr>
            <w:r>
              <w:rPr>
                <w:sz w:val="20"/>
              </w:rPr>
            </w:r>
          </w:p>
        </w:tc>
        <w:tc>
          <w:tcPr>
            <w:tcW w:w="3151" w:type="dxa"/>
            <w:vMerge w:val="restart"/>
          </w:tcPr>
          <w:p>
            <w:pPr>
              <w:pStyle w:val="0"/>
            </w:pPr>
            <w:r>
              <w:rPr>
                <w:sz w:val="20"/>
              </w:rPr>
            </w:r>
          </w:p>
        </w:tc>
        <w:tc>
          <w:tcPr>
            <w:tcW w:w="1871" w:type="dxa"/>
            <w:vMerge w:val="restart"/>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r>
        <w:tc>
          <w:tcPr>
            <w:gridSpan w:val="2"/>
            <w:tcW w:w="3718" w:type="dxa"/>
            <w:vMerge w:val="restart"/>
          </w:tcPr>
          <w:p>
            <w:pPr>
              <w:pStyle w:val="0"/>
            </w:pPr>
            <w:r>
              <w:rPr>
                <w:sz w:val="20"/>
              </w:rPr>
              <w:t xml:space="preserve">Всего по объектам:</w:t>
            </w:r>
          </w:p>
        </w:tc>
        <w:tc>
          <w:tcPr>
            <w:tcW w:w="1871" w:type="dxa"/>
            <w:vMerge w:val="restart"/>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r>
        <w:tc>
          <w:tcPr>
            <w:gridSpan w:val="2"/>
            <w:vMerge w:val="continue"/>
          </w:tcPr>
          <w:p/>
        </w:tc>
        <w:tc>
          <w:tcPr>
            <w:vMerge w:val="continue"/>
          </w:tcP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814"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531" w:type="dxa"/>
          </w:tcPr>
          <w:p>
            <w:pPr>
              <w:pStyle w:val="0"/>
            </w:pPr>
            <w:r>
              <w:rPr>
                <w:sz w:val="20"/>
              </w:rPr>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r>
    </w:p>
    <w:p>
      <w:pPr>
        <w:pStyle w:val="1"/>
        <w:jc w:val="both"/>
      </w:pPr>
      <w:r>
        <w:rPr>
          <w:sz w:val="20"/>
        </w:rPr>
        <w:t xml:space="preserve">Приложение:  документы,  подтверждающие  проведение/выполнение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 20__ года</w:t>
      </w:r>
    </w:p>
    <w:p>
      <w:pPr>
        <w:pStyle w:val="0"/>
        <w:jc w:val="both"/>
      </w:pPr>
      <w:r>
        <w:rPr>
          <w:sz w:val="20"/>
        </w:rPr>
      </w:r>
    </w:p>
    <w:p>
      <w:pPr>
        <w:pStyle w:val="0"/>
        <w:outlineLvl w:val="4"/>
        <w:jc w:val="right"/>
      </w:pPr>
      <w:r>
        <w:rPr>
          <w:sz w:val="20"/>
        </w:rPr>
        <w:t xml:space="preserve">Таблица 3</w:t>
      </w:r>
    </w:p>
    <w:p>
      <w:pPr>
        <w:pStyle w:val="0"/>
        <w:jc w:val="center"/>
      </w:pPr>
      <w:r>
        <w:rPr>
          <w:sz w:val="20"/>
        </w:rPr>
      </w:r>
    </w:p>
    <w:p>
      <w:pPr>
        <w:pStyle w:val="0"/>
        <w:jc w:val="center"/>
      </w:pPr>
      <w:r>
        <w:rPr>
          <w:sz w:val="20"/>
        </w:rPr>
        <w:t xml:space="preserve">(в ред. </w:t>
      </w:r>
      <w:hyperlink w:history="0" r:id="rId27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3238" w:name="P3238"/>
    <w:bookmarkEnd w:id="3238"/>
    <w:p>
      <w:pPr>
        <w:pStyle w:val="0"/>
        <w:jc w:val="center"/>
      </w:pPr>
      <w:r>
        <w:rPr>
          <w:sz w:val="20"/>
        </w:rPr>
        <w:t xml:space="preserve">Отчет</w:t>
      </w:r>
    </w:p>
    <w:p>
      <w:pPr>
        <w:pStyle w:val="0"/>
        <w:jc w:val="center"/>
      </w:pPr>
      <w:r>
        <w:rPr>
          <w:sz w:val="20"/>
        </w:rPr>
        <w:t xml:space="preserve">о достижении АО "КРМО" результата предоставления субсидии</w:t>
      </w:r>
    </w:p>
    <w:p>
      <w:pPr>
        <w:pStyle w:val="0"/>
        <w:jc w:val="center"/>
      </w:pPr>
      <w:r>
        <w:rPr>
          <w:sz w:val="20"/>
        </w:rPr>
        <w:t xml:space="preserve">из бюджета Московской области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pStyle w:val="3"/>
        <w:jc w:val="both"/>
      </w:pPr>
      <w:r>
        <w:rPr>
          <w:sz w:val="20"/>
        </w:rPr>
        <w:t xml:space="preserve">┌─────┬──────────────┬────────────────────┬─────────────┬───────────┬────────────┐</w:t>
      </w:r>
    </w:p>
    <w:p>
      <w:pPr>
        <w:pStyle w:val="3"/>
        <w:jc w:val="both"/>
      </w:pPr>
      <w:r>
        <w:rPr>
          <w:sz w:val="20"/>
        </w:rPr>
        <w:t xml:space="preserve">│N п/п│Наименование  │Наименование объекта│Плановое     │Достигнутое│Информация о│</w:t>
      </w:r>
    </w:p>
    <w:p>
      <w:pPr>
        <w:pStyle w:val="3"/>
        <w:jc w:val="both"/>
      </w:pPr>
      <w:r>
        <w:rPr>
          <w:sz w:val="20"/>
        </w:rPr>
        <w:t xml:space="preserve">│     │результата    │капитального        │значение,    │значение   │выполненных │</w:t>
      </w:r>
    </w:p>
    <w:p>
      <w:pPr>
        <w:pStyle w:val="3"/>
        <w:jc w:val="both"/>
      </w:pPr>
      <w:r>
        <w:rPr>
          <w:sz w:val="20"/>
        </w:rPr>
        <w:t xml:space="preserve">│     │предоставления│строительства       │установленное│           │       3    │</w:t>
      </w:r>
    </w:p>
    <w:p>
      <w:pPr>
        <w:pStyle w:val="3"/>
        <w:jc w:val="both"/>
      </w:pPr>
      <w:r>
        <w:rPr>
          <w:sz w:val="20"/>
        </w:rPr>
        <w:t xml:space="preserve">│     │        1     │согласно проектной  │в Соглашении │           │работах     │</w:t>
      </w:r>
    </w:p>
    <w:p>
      <w:pPr>
        <w:pStyle w:val="3"/>
        <w:jc w:val="both"/>
      </w:pPr>
      <w:r>
        <w:rPr>
          <w:sz w:val="20"/>
        </w:rPr>
        <w:t xml:space="preserve">│     │субсидии      │документации и (или)│             │           │            │</w:t>
      </w:r>
    </w:p>
    <w:p>
      <w:pPr>
        <w:pStyle w:val="3"/>
        <w:jc w:val="both"/>
      </w:pPr>
      <w:r>
        <w:rPr>
          <w:sz w:val="20"/>
        </w:rPr>
        <w:t xml:space="preserve">│     │              │наименование объекта│             │           │            │</w:t>
      </w:r>
    </w:p>
    <w:p>
      <w:pPr>
        <w:pStyle w:val="3"/>
        <w:jc w:val="both"/>
      </w:pPr>
      <w:r>
        <w:rPr>
          <w:sz w:val="20"/>
        </w:rPr>
        <w:t xml:space="preserve">│     │              │недвижимого         │             │           │            │</w:t>
      </w:r>
    </w:p>
    <w:p>
      <w:pPr>
        <w:pStyle w:val="3"/>
        <w:jc w:val="both"/>
      </w:pPr>
      <w:r>
        <w:rPr>
          <w:sz w:val="20"/>
        </w:rPr>
        <w:t xml:space="preserve">│     │              │имущества согласно  │             │           │            │</w:t>
      </w:r>
    </w:p>
    <w:p>
      <w:pPr>
        <w:pStyle w:val="3"/>
        <w:jc w:val="both"/>
      </w:pPr>
      <w:r>
        <w:rPr>
          <w:sz w:val="20"/>
        </w:rPr>
        <w:t xml:space="preserve">│     │              │паспорту            │             │           │            │</w:t>
      </w:r>
    </w:p>
    <w:p>
      <w:pPr>
        <w:pStyle w:val="3"/>
        <w:jc w:val="both"/>
      </w:pPr>
      <w:r>
        <w:rPr>
          <w:sz w:val="20"/>
        </w:rPr>
        <w:t xml:space="preserve">│     │              │инвестиционного     │             │           │            │</w:t>
      </w:r>
    </w:p>
    <w:p>
      <w:pPr>
        <w:pStyle w:val="3"/>
        <w:jc w:val="both"/>
      </w:pPr>
      <w:r>
        <w:rPr>
          <w:sz w:val="20"/>
        </w:rPr>
        <w:t xml:space="preserve">│     │              │       2            │             │           │            │</w:t>
      </w:r>
    </w:p>
    <w:p>
      <w:pPr>
        <w:pStyle w:val="3"/>
        <w:jc w:val="both"/>
      </w:pPr>
      <w:r>
        <w:rPr>
          <w:sz w:val="20"/>
        </w:rPr>
        <w:t xml:space="preserve">│     │              │проекта             │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    │              │                    │             │           │            │</w:t>
      </w:r>
    </w:p>
    <w:p>
      <w:pPr>
        <w:pStyle w:val="3"/>
        <w:jc w:val="both"/>
      </w:pPr>
      <w:r>
        <w:rPr>
          <w:sz w:val="20"/>
        </w:rPr>
        <w:t xml:space="preserve">│     │              ├────────────────────┼─────────────┼───────────┼────────────┤</w:t>
      </w:r>
    </w:p>
    <w:p>
      <w:pPr>
        <w:pStyle w:val="3"/>
        <w:jc w:val="both"/>
      </w:pPr>
      <w:r>
        <w:rPr>
          <w:sz w:val="20"/>
        </w:rPr>
        <w:t xml:space="preserve">│     │              │                    │             │           │            │</w:t>
      </w:r>
    </w:p>
    <w:p>
      <w:pPr>
        <w:pStyle w:val="3"/>
        <w:jc w:val="both"/>
      </w:pPr>
      <w:r>
        <w:rPr>
          <w:sz w:val="20"/>
        </w:rPr>
        <w:t xml:space="preserve">└─────┴──────────────┴────────────────────┴─────────────┴───────────┴────────────┘</w:t>
      </w:r>
    </w:p>
    <w:p>
      <w:pPr>
        <w:pStyle w:val="0"/>
        <w:jc w:val="both"/>
      </w:pPr>
      <w:r>
        <w:rPr>
          <w:sz w:val="20"/>
        </w:rPr>
      </w:r>
    </w:p>
    <w:p>
      <w:pPr>
        <w:pStyle w:val="1"/>
        <w:jc w:val="both"/>
      </w:pPr>
      <w:r>
        <w:rPr>
          <w:sz w:val="20"/>
        </w:rPr>
        <w:t xml:space="preserve">--------------------------------</w:t>
      </w:r>
    </w:p>
    <w:p>
      <w:pPr>
        <w:pStyle w:val="1"/>
        <w:jc w:val="both"/>
      </w:pPr>
      <w:r>
        <w:rPr>
          <w:sz w:val="20"/>
        </w:rPr>
        <w:t xml:space="preserve">1</w:t>
      </w:r>
    </w:p>
    <w:p>
      <w:pPr>
        <w:pStyle w:val="1"/>
        <w:jc w:val="both"/>
      </w:pPr>
      <w:r>
        <w:rPr>
          <w:sz w:val="20"/>
        </w:rPr>
        <w:t xml:space="preserve"> Указывается в соответствии с порядком предоставления субсидии.</w:t>
      </w:r>
    </w:p>
    <w:p>
      <w:pPr>
        <w:pStyle w:val="1"/>
        <w:jc w:val="both"/>
      </w:pPr>
      <w:r>
        <w:rPr>
          <w:sz w:val="20"/>
        </w:rPr>
        <w:t xml:space="preserve">2</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t xml:space="preserve">3</w:t>
      </w:r>
    </w:p>
    <w:p>
      <w:pPr>
        <w:pStyle w:val="1"/>
        <w:jc w:val="both"/>
      </w:pPr>
      <w:r>
        <w:rPr>
          <w:sz w:val="20"/>
        </w:rPr>
        <w:t xml:space="preserve"> Указывается процент  строительной  готовности объекта с указанием краткого</w:t>
      </w:r>
    </w:p>
    <w:p>
      <w:pPr>
        <w:pStyle w:val="1"/>
        <w:jc w:val="both"/>
      </w:pPr>
      <w:r>
        <w:rPr>
          <w:sz w:val="20"/>
        </w:rPr>
        <w:t xml:space="preserve">описания работ, услуг, заключенных контрактов.</w:t>
      </w:r>
    </w:p>
    <w:p>
      <w:pPr>
        <w:pStyle w:val="1"/>
        <w:jc w:val="both"/>
      </w:pPr>
      <w:r>
        <w:rPr>
          <w:sz w:val="20"/>
        </w:rPr>
      </w:r>
    </w:p>
    <w:p>
      <w:pPr>
        <w:pStyle w:val="1"/>
        <w:jc w:val="both"/>
      </w:pPr>
      <w:r>
        <w:rPr>
          <w:sz w:val="20"/>
        </w:rPr>
        <w:t xml:space="preserve">Приложение:  документы, подтверждающие проведение (выполнение)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___________ 20__ года</w:t>
      </w:r>
    </w:p>
    <w:p>
      <w:pPr>
        <w:pStyle w:val="0"/>
        <w:jc w:val="both"/>
      </w:pPr>
      <w:r>
        <w:rPr>
          <w:sz w:val="20"/>
        </w:rPr>
      </w:r>
    </w:p>
    <w:p>
      <w:pPr>
        <w:pStyle w:val="2"/>
        <w:outlineLvl w:val="3"/>
        <w:jc w:val="center"/>
      </w:pPr>
      <w:r>
        <w:rPr>
          <w:sz w:val="20"/>
        </w:rPr>
        <w:t xml:space="preserve">5.3.3. Порядок предоставления субсидии из бюджета Московской</w:t>
      </w:r>
    </w:p>
    <w:p>
      <w:pPr>
        <w:pStyle w:val="2"/>
        <w:jc w:val="center"/>
      </w:pPr>
      <w:r>
        <w:rPr>
          <w:sz w:val="20"/>
        </w:rPr>
        <w:t xml:space="preserve">области акционерному обществу "Особая экономическая зона</w:t>
      </w:r>
    </w:p>
    <w:p>
      <w:pPr>
        <w:pStyle w:val="2"/>
        <w:jc w:val="center"/>
      </w:pPr>
      <w:r>
        <w:rPr>
          <w:sz w:val="20"/>
        </w:rPr>
        <w:t xml:space="preserve">технико-внедренческого типа Дубна" в рамках реализации</w:t>
      </w:r>
    </w:p>
    <w:p>
      <w:pPr>
        <w:pStyle w:val="2"/>
        <w:jc w:val="center"/>
      </w:pPr>
      <w:r>
        <w:rPr>
          <w:sz w:val="20"/>
        </w:rPr>
        <w:t xml:space="preserve">мероприятия 02.04 "Финансовое обеспечение затрат юридических</w:t>
      </w:r>
    </w:p>
    <w:p>
      <w:pPr>
        <w:pStyle w:val="2"/>
        <w:jc w:val="center"/>
      </w:pPr>
      <w:r>
        <w:rPr>
          <w:sz w:val="20"/>
        </w:rPr>
        <w:t xml:space="preserve">лиц, 100 процентов акций (долей) которых принадлежат</w:t>
      </w:r>
    </w:p>
    <w:p>
      <w:pPr>
        <w:pStyle w:val="2"/>
        <w:jc w:val="center"/>
      </w:pPr>
      <w:r>
        <w:rPr>
          <w:sz w:val="20"/>
        </w:rPr>
        <w:t xml:space="preserve">Московской области, на осуществление капитальных вложений</w:t>
      </w:r>
    </w:p>
    <w:p>
      <w:pPr>
        <w:pStyle w:val="2"/>
        <w:jc w:val="center"/>
      </w:pPr>
      <w:r>
        <w:rPr>
          <w:sz w:val="20"/>
        </w:rPr>
        <w:t xml:space="preserve">в объекты капитального строительства особых экономических</w:t>
      </w:r>
    </w:p>
    <w:p>
      <w:pPr>
        <w:pStyle w:val="2"/>
        <w:jc w:val="center"/>
      </w:pPr>
      <w:r>
        <w:rPr>
          <w:sz w:val="20"/>
        </w:rPr>
        <w:t xml:space="preserve">зон, находящиеся в собственности указанных юридических лиц,</w:t>
      </w:r>
    </w:p>
    <w:p>
      <w:pPr>
        <w:pStyle w:val="2"/>
        <w:jc w:val="center"/>
      </w:pPr>
      <w:r>
        <w:rPr>
          <w:sz w:val="20"/>
        </w:rPr>
        <w:t xml:space="preserve">и (или) приобретение ими объектов недвижимого имущества</w:t>
      </w:r>
    </w:p>
    <w:p>
      <w:pPr>
        <w:pStyle w:val="2"/>
        <w:jc w:val="center"/>
      </w:pPr>
      <w:r>
        <w:rPr>
          <w:sz w:val="20"/>
        </w:rPr>
        <w:t xml:space="preserve">с последующим увеличением уставных капиталов таких</w:t>
      </w:r>
    </w:p>
    <w:p>
      <w:pPr>
        <w:pStyle w:val="2"/>
        <w:jc w:val="center"/>
      </w:pPr>
      <w:r>
        <w:rPr>
          <w:sz w:val="20"/>
        </w:rPr>
        <w:t xml:space="preserve">юридических лиц" Подпрограммы 1 государственной программы</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субсидии из бюджета Московской области акционерному обществу "Особая экономическая зона технико-внедренческого типа "Дубна" (далее - АО "ОЭЗ ТВТ "Дубна"), предусмотренной </w:t>
      </w:r>
      <w:hyperlink w:history="0" r:id="rId2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8 статьи 78</w:t>
        </w:r>
      </w:hyperlink>
      <w:r>
        <w:rPr>
          <w:sz w:val="20"/>
        </w:rPr>
        <w:t xml:space="preserve"> Бюджетного кодекса Российской Федерации, в соответствии с </w:t>
      </w:r>
      <w:hyperlink w:history="0" w:anchor="P1314" w:tooltip="Мероприятие 02.04.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lt;1&gt;">
        <w:r>
          <w:rPr>
            <w:sz w:val="20"/>
            <w:color w:val="0000ff"/>
          </w:rPr>
          <w:t xml:space="preserve">мероприятием 02.04</w:t>
        </w:r>
      </w:hyperlink>
      <w:r>
        <w:rPr>
          <w:sz w:val="20"/>
        </w:rPr>
        <w:t xml:space="preserve">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Подпрограммы 1 государственной программы (далее - Порядок, Субсидия, мероприятие 02.04), а также требования к соглашению о предоставлении Субсидии, срокам и условиям ее предоставления.</w:t>
      </w:r>
    </w:p>
    <w:p>
      <w:pPr>
        <w:pStyle w:val="0"/>
        <w:spacing w:before="200" w:line-rule="auto"/>
        <w:ind w:firstLine="540"/>
        <w:jc w:val="both"/>
      </w:pPr>
      <w:r>
        <w:rPr>
          <w:sz w:val="20"/>
        </w:rPr>
        <w:t xml:space="preserve">2. Целью предоставления Субсидии является строительство, реконструкция, в том числе с элементами реставрации, техническое перевооружение объектов капитального строительства, проектные и изыскательские работы, работы по разработке проектно-сметной документации для объектов инфраструктуры, а также технологическое присоединение объектов инфраструктуры, находящихся в собственности АО "ОЭЗ ТВТ "Дубна", и (или) приобретение АО "ОЭЗ ТВТ "Дубна" объектов недвижимого имущества с последующим увеличением уставного капитала АО "ОЭЗ ТВТ "Дубна" в соответствии с </w:t>
      </w:r>
      <w:hyperlink w:history="0" w:anchor="P8612" w:tooltip="5.7.2. Адресный перечень объектов строительства">
        <w:r>
          <w:rPr>
            <w:sz w:val="20"/>
            <w:color w:val="0000ff"/>
          </w:rPr>
          <w:t xml:space="preserve">подразделом 5.7.2</w:t>
        </w:r>
      </w:hyperlink>
      <w:r>
        <w:rPr>
          <w:sz w:val="20"/>
        </w:rPr>
        <w:t xml:space="preserve"> Подпрограммы 1 государственной программы.</w:t>
      </w:r>
    </w:p>
    <w:p>
      <w:pPr>
        <w:pStyle w:val="0"/>
        <w:jc w:val="both"/>
      </w:pPr>
      <w:r>
        <w:rPr>
          <w:sz w:val="20"/>
        </w:rPr>
        <w:t xml:space="preserve">(в ред. постановлений Правительства МО от 22.05.2023 </w:t>
      </w:r>
      <w:hyperlink w:history="0" r:id="rId274"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315-ПП</w:t>
        </w:r>
      </w:hyperlink>
      <w:r>
        <w:rPr>
          <w:sz w:val="20"/>
        </w:rPr>
        <w:t xml:space="preserve">, от 07.09.2023 </w:t>
      </w:r>
      <w:hyperlink w:history="0" r:id="rId275" w:tooltip="Постановление Правительства МО от 07.09.2023 N 7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714-ПП</w:t>
        </w:r>
      </w:hyperlink>
      <w:r>
        <w:rPr>
          <w:sz w:val="20"/>
        </w:rPr>
        <w:t xml:space="preserve">)</w:t>
      </w:r>
    </w:p>
    <w:p>
      <w:pPr>
        <w:pStyle w:val="0"/>
        <w:spacing w:before="200" w:line-rule="auto"/>
        <w:ind w:firstLine="540"/>
        <w:jc w:val="both"/>
      </w:pPr>
      <w:r>
        <w:rPr>
          <w:sz w:val="20"/>
        </w:rPr>
        <w:t xml:space="preserve">3. Субсидия предоставляется АО "ОЭЗ ТВТ "Дубна" в пределах бюджетных ассигнований, предусмотренных на реализацию </w:t>
      </w:r>
      <w:hyperlink w:history="0" w:anchor="P1314" w:tooltip="Мероприятие 02.04. Финансовое обеспечение затрат юридических лиц, 100 процентов акций (долей) которых принадлежат Московской области, на осуществление капитальных вложений в объекты капитального строительства особых экономических зон,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lt;1&gt;">
        <w:r>
          <w:rPr>
            <w:sz w:val="20"/>
            <w:color w:val="0000ff"/>
          </w:rPr>
          <w:t xml:space="preserve">мероприятия 02.04</w:t>
        </w:r>
      </w:hyperlink>
      <w:r>
        <w:rPr>
          <w:sz w:val="20"/>
        </w:rPr>
        <w:t xml:space="preserve">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pPr>
        <w:pStyle w:val="0"/>
        <w:jc w:val="both"/>
      </w:pPr>
      <w:r>
        <w:rPr>
          <w:sz w:val="20"/>
        </w:rPr>
        <w:t xml:space="preserve">(п. 3 в ред. </w:t>
      </w:r>
      <w:hyperlink w:history="0" r:id="rId276" w:tooltip="Постановление Правительства МО от 03.11.2023 N 1017-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03.11.2023 N 1017-ПП)</w:t>
      </w:r>
    </w:p>
    <w:p>
      <w:pPr>
        <w:pStyle w:val="0"/>
        <w:spacing w:before="200" w:line-rule="auto"/>
        <w:ind w:firstLine="540"/>
        <w:jc w:val="both"/>
      </w:pPr>
      <w:r>
        <w:rPr>
          <w:sz w:val="20"/>
        </w:rPr>
        <w:t xml:space="preserve">4. Главным распорядителем бюджетных средств по предоставлению Субсидии является Мининвест Московской области.</w:t>
      </w:r>
    </w:p>
    <w:p>
      <w:pPr>
        <w:pStyle w:val="0"/>
        <w:spacing w:before="200" w:line-rule="auto"/>
        <w:ind w:firstLine="540"/>
        <w:jc w:val="both"/>
      </w:pPr>
      <w:r>
        <w:rPr>
          <w:sz w:val="20"/>
        </w:rPr>
        <w:t xml:space="preserve">5. Настоящий Порядок разработан в соответствии со следующими нормативными правовыми актами:</w:t>
      </w:r>
    </w:p>
    <w:p>
      <w:pPr>
        <w:pStyle w:val="0"/>
        <w:spacing w:before="200" w:line-rule="auto"/>
        <w:ind w:firstLine="540"/>
        <w:jc w:val="both"/>
      </w:pPr>
      <w:r>
        <w:rPr>
          <w:sz w:val="20"/>
        </w:rPr>
        <w:t xml:space="preserve">Бюджетный </w:t>
      </w:r>
      <w:hyperlink w:history="0" r:id="rId2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hyperlink w:history="0" r:id="rId278"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постановление</w:t>
        </w:r>
      </w:hyperlink>
      <w:r>
        <w:rPr>
          <w:sz w:val="20"/>
        </w:rPr>
        <w:t xml:space="preserve"> Правительства Московской области от 19.08.2022 N 881/27 "Об утверждении Порядка разработки и реализации государственных программ Московской области";</w:t>
      </w:r>
    </w:p>
    <w:p>
      <w:pPr>
        <w:pStyle w:val="0"/>
        <w:spacing w:before="200" w:line-rule="auto"/>
        <w:ind w:firstLine="540"/>
        <w:jc w:val="both"/>
      </w:pPr>
      <w:hyperlink w:history="0" r:id="rId279" w:tooltip="Постановление Правительства МО от 10.07.2018 N 438/24 (ред. от 19.08.2022) &quot;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 {КонсультантПлюс}">
        <w:r>
          <w:rPr>
            <w:sz w:val="20"/>
            <w:color w:val="0000ff"/>
          </w:rPr>
          <w:t xml:space="preserve">постановление</w:t>
        </w:r>
      </w:hyperlink>
      <w:r>
        <w:rPr>
          <w:sz w:val="20"/>
        </w:rPr>
        <w:t xml:space="preserve"> Правительства Московской области от 10.07.2018 N 438/24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государственных программ Московской области";</w:t>
      </w:r>
    </w:p>
    <w:p>
      <w:pPr>
        <w:pStyle w:val="0"/>
        <w:spacing w:before="200" w:line-rule="auto"/>
        <w:ind w:firstLine="540"/>
        <w:jc w:val="both"/>
      </w:pPr>
      <w:r>
        <w:rPr>
          <w:sz w:val="20"/>
        </w:rPr>
        <w:t xml:space="preserve">абзацы пятый - седьмой утратили силу. - </w:t>
      </w:r>
      <w:hyperlink w:history="0" r:id="rId280" w:tooltip="Постановление Правительства МО от 03.11.2023 N 1017-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03.11.2023 N 1017-ПП.</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6. Условия, которым должно соответствовать АО "ОЭЗ ТВТ "Дубна" на 1-е число месяца, предшествующего месяцу, в котором планируется заключение соглашения о предоставлении Субсидии:</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3320" w:name="P3320"/>
    <w:bookmarkEnd w:id="3320"/>
    <w:p>
      <w:pPr>
        <w:pStyle w:val="0"/>
        <w:spacing w:before="200" w:line-rule="auto"/>
        <w:ind w:firstLine="540"/>
        <w:jc w:val="both"/>
      </w:pPr>
      <w:r>
        <w:rPr>
          <w:sz w:val="20"/>
        </w:rPr>
        <w:t xml:space="preserve">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Московской областью;</w:t>
      </w:r>
    </w:p>
    <w:p>
      <w:pPr>
        <w:pStyle w:val="0"/>
        <w:spacing w:before="200" w:line-rule="auto"/>
        <w:ind w:firstLine="540"/>
        <w:jc w:val="both"/>
      </w:pPr>
      <w:r>
        <w:rPr>
          <w:sz w:val="20"/>
        </w:rPr>
        <w:t xml:space="preserve">3) отсутствие процесса реорганизации (за исключением реорганизации в форме присоединения к АО "ОЭЗ ТВТ "Дубна" другого юридического лица), ликвидации, введения в отношении АО "ОЭЗ ТВТ "Дубна" процедуры банкротства, приостановления его деятельности в порядке, предусмотренном законодательством Российской Федерации.</w:t>
      </w:r>
    </w:p>
    <w:bookmarkStart w:id="3322" w:name="P3322"/>
    <w:bookmarkEnd w:id="3322"/>
    <w:p>
      <w:pPr>
        <w:pStyle w:val="0"/>
        <w:spacing w:before="200" w:line-rule="auto"/>
        <w:ind w:firstLine="540"/>
        <w:jc w:val="both"/>
      </w:pPr>
      <w:r>
        <w:rPr>
          <w:sz w:val="20"/>
        </w:rPr>
        <w:t xml:space="preserve">7. Для заключения соглашения о предоставлении Субсидии АО "ОЭЗ ТВТ "Дубна" представляет в Мининвест Московской области следующие документы:</w:t>
      </w:r>
    </w:p>
    <w:p>
      <w:pPr>
        <w:pStyle w:val="0"/>
        <w:spacing w:before="200" w:line-rule="auto"/>
        <w:ind w:firstLine="540"/>
        <w:jc w:val="both"/>
      </w:pPr>
      <w:r>
        <w:rPr>
          <w:sz w:val="20"/>
        </w:rPr>
        <w:t xml:space="preserve">1) справка об уплате налогов АО "ОЭЗ ТВТ "Дубна";</w:t>
      </w:r>
    </w:p>
    <w:p>
      <w:pPr>
        <w:pStyle w:val="0"/>
        <w:jc w:val="both"/>
      </w:pPr>
      <w:r>
        <w:rPr>
          <w:sz w:val="20"/>
        </w:rPr>
        <w:t xml:space="preserve">(пп. 1 в ред. </w:t>
      </w:r>
      <w:hyperlink w:history="0" r:id="rId281"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2) выписка из ЕГРЮЛ, содержащая сведения о юридическом лице (в случае непредставления АО "ОЭЗ ТВТ "Дубна" такого документа Мининвест Московской области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3) справка, подписанная руководителем АО "ОЭЗ ТВТ "Дубна" (иным уполномоченным лицом), подтверждающая соответствие АО "ОЭЗ ТВТ "Дубна" условию, предусмотренному </w:t>
      </w:r>
      <w:hyperlink w:history="0" w:anchor="P3320" w:tooltip="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Московской областью;">
        <w:r>
          <w:rPr>
            <w:sz w:val="20"/>
            <w:color w:val="0000ff"/>
          </w:rPr>
          <w:t xml:space="preserve">подпунктом 2 пункта 6</w:t>
        </w:r>
      </w:hyperlink>
      <w:r>
        <w:rPr>
          <w:sz w:val="20"/>
        </w:rPr>
        <w:t xml:space="preserve"> настоящего Порядка;</w:t>
      </w:r>
    </w:p>
    <w:p>
      <w:pPr>
        <w:pStyle w:val="0"/>
        <w:spacing w:before="200" w:line-rule="auto"/>
        <w:ind w:firstLine="540"/>
        <w:jc w:val="both"/>
      </w:pPr>
      <w:r>
        <w:rPr>
          <w:sz w:val="20"/>
        </w:rPr>
        <w:t xml:space="preserve">4) гарантийное письмо, подписанное руководителем АО "ОЭЗ ТВТ "Дубна", содержащее обязательство АО "ОЭЗ ТВТ "Дубна"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bookmarkStart w:id="3328" w:name="P3328"/>
    <w:bookmarkEnd w:id="3328"/>
    <w:p>
      <w:pPr>
        <w:pStyle w:val="0"/>
        <w:spacing w:before="200" w:line-rule="auto"/>
        <w:ind w:firstLine="540"/>
        <w:jc w:val="both"/>
      </w:pPr>
      <w:r>
        <w:rPr>
          <w:sz w:val="20"/>
        </w:rPr>
        <w:t xml:space="preserve">8. Мининвест Московской области в течение 10 рабочих дней со дня получения от АО "ОЭЗ ТВТ "Дубна" документов, указанных в </w:t>
      </w:r>
      <w:hyperlink w:history="0" w:anchor="P3322" w:tooltip="7. Для заключения соглашения о предоставлении Субсидии АО &quot;ОЭЗ ТВТ &quot;Дубна&quot; представляет в Мининвест Московской области следующие документы:">
        <w:r>
          <w:rPr>
            <w:sz w:val="20"/>
            <w:color w:val="0000ff"/>
          </w:rPr>
          <w:t xml:space="preserve">пункте 7</w:t>
        </w:r>
      </w:hyperlink>
      <w:r>
        <w:rPr>
          <w:sz w:val="20"/>
        </w:rPr>
        <w:t xml:space="preserve"> настоящего Порядка, рассматривает их и принимает решение о заключении с АО "ОЭЗ ТВТ "Дубна" соглашения о предоставлении Субсидии (далее - Соглашение) либо направляет АО "ОЭЗ ТВТ "Дубна" информацию об отказе в заключении Соглашения с указанием причин отказа.</w:t>
      </w:r>
    </w:p>
    <w:p>
      <w:pPr>
        <w:pStyle w:val="0"/>
        <w:spacing w:before="200" w:line-rule="auto"/>
        <w:ind w:firstLine="540"/>
        <w:jc w:val="both"/>
      </w:pPr>
      <w:r>
        <w:rPr>
          <w:sz w:val="20"/>
        </w:rPr>
        <w:t xml:space="preserve">9. Основаниями для отказа АО "ОЭЗ ТВТ "Дубна"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АО "ОЭЗ ТВТ "Дубна" документов, определенных </w:t>
      </w:r>
      <w:hyperlink w:history="0" w:anchor="P3322" w:tooltip="7. Для заключения соглашения о предоставлении Субсидии АО &quot;ОЭЗ ТВТ &quot;Дубна&quot; представляет в Мининвест Московской области следующие документы:">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содержащейся в представленных АО "ОЭЗ ТВТ "Дубна" документах;</w:t>
      </w:r>
    </w:p>
    <w:p>
      <w:pPr>
        <w:pStyle w:val="0"/>
        <w:spacing w:before="200" w:line-rule="auto"/>
        <w:ind w:firstLine="540"/>
        <w:jc w:val="both"/>
      </w:pPr>
      <w:r>
        <w:rPr>
          <w:sz w:val="20"/>
        </w:rPr>
        <w:t xml:space="preserve">3) отсутствие в соответствии с бюджетным законодательством Российской Федерации оснований для заключения с АО "ОЭЗ ТВТ "Дубна" соглашения о предоставлении Субсидии.</w:t>
      </w:r>
    </w:p>
    <w:p>
      <w:pPr>
        <w:pStyle w:val="0"/>
        <w:spacing w:before="200" w:line-rule="auto"/>
        <w:ind w:firstLine="540"/>
        <w:jc w:val="both"/>
      </w:pPr>
      <w:r>
        <w:rPr>
          <w:sz w:val="20"/>
        </w:rPr>
        <w:t xml:space="preserve">10. Соглашение заключается в течение 30 календарных дней с даты принятия Мининвестом Московской области решения о заключении Соглашения в соответствии с </w:t>
      </w:r>
      <w:hyperlink w:history="0" w:anchor="P3328" w:tooltip="8. Мининвест Московской области в течение 10 рабочих дней со дня получения от АО &quot;ОЭЗ ТВТ &quot;Дубна&quot; документов, указанных в пункте 7 настоящего Порядка, рассматривает их и принимает решение о заключении с АО &quot;ОЭЗ ТВТ &quot;Дубна&quot; соглашения о предоставлении Субсидии (далее - Соглашение) либо направляет АО &quot;ОЭЗ ТВТ &quot;Дубна&quot; информацию об отказе в заключении Соглашения с указанием причин отказа.">
        <w:r>
          <w:rPr>
            <w:sz w:val="20"/>
            <w:color w:val="0000ff"/>
          </w:rPr>
          <w:t xml:space="preserve">пунктом 8</w:t>
        </w:r>
      </w:hyperlink>
      <w:r>
        <w:rPr>
          <w:sz w:val="20"/>
        </w:rPr>
        <w:t xml:space="preserve"> настоящего Порядка и должно содержать:</w:t>
      </w:r>
    </w:p>
    <w:p>
      <w:pPr>
        <w:pStyle w:val="0"/>
        <w:spacing w:before="200" w:line-rule="auto"/>
        <w:ind w:firstLine="540"/>
        <w:jc w:val="both"/>
      </w:pPr>
      <w:r>
        <w:rPr>
          <w:sz w:val="20"/>
        </w:rPr>
        <w:t xml:space="preserve">1) целевое назначение и значения результатов предоставления Субсидии, включая в отношении каждого объекта капитального строительства и (или) объектов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который в соответствующем финансовом году и плановом периоде соответствует объему бюджетных ассигнований на предоставление Субсидии согласно </w:t>
      </w:r>
      <w:hyperlink w:history="0" w:anchor="P8612" w:tooltip="5.7.2. Адресный перечень объектов строительства">
        <w:r>
          <w:rPr>
            <w:sz w:val="20"/>
            <w:color w:val="0000ff"/>
          </w:rPr>
          <w:t xml:space="preserve">подразделу 5.7.2</w:t>
        </w:r>
      </w:hyperlink>
      <w:r>
        <w:rPr>
          <w:sz w:val="20"/>
        </w:rPr>
        <w:t xml:space="preserve"> Подпрограммы 1 государственной программы;</w:t>
      </w:r>
    </w:p>
    <w:p>
      <w:pPr>
        <w:pStyle w:val="0"/>
        <w:jc w:val="both"/>
      </w:pPr>
      <w:r>
        <w:rPr>
          <w:sz w:val="20"/>
        </w:rPr>
        <w:t xml:space="preserve">(в ред. </w:t>
      </w:r>
      <w:hyperlink w:history="0" r:id="rId282"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22.05.2023 N 315-ПП)</w:t>
      </w:r>
    </w:p>
    <w:p>
      <w:pPr>
        <w:pStyle w:val="0"/>
        <w:spacing w:before="200" w:line-rule="auto"/>
        <w:ind w:firstLine="540"/>
        <w:jc w:val="both"/>
      </w:pPr>
      <w:r>
        <w:rPr>
          <w:sz w:val="20"/>
        </w:rPr>
        <w:t xml:space="preserve">2) утратил силу. - </w:t>
      </w:r>
      <w:hyperlink w:history="0" r:id="rId283"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23.09.2024 N 1033-ПП;</w:t>
      </w:r>
    </w:p>
    <w:p>
      <w:pPr>
        <w:pStyle w:val="0"/>
        <w:spacing w:before="200" w:line-rule="auto"/>
        <w:ind w:firstLine="540"/>
        <w:jc w:val="both"/>
      </w:pPr>
      <w:r>
        <w:rPr>
          <w:sz w:val="20"/>
        </w:rPr>
        <w:t xml:space="preserve">3) положения, устанавливающие права и обязанности сторон Соглашения и порядок взаимодействия сторон при его реализации;</w:t>
      </w:r>
    </w:p>
    <w:p>
      <w:pPr>
        <w:pStyle w:val="0"/>
        <w:spacing w:before="200" w:line-rule="auto"/>
        <w:ind w:firstLine="540"/>
        <w:jc w:val="both"/>
      </w:pPr>
      <w:r>
        <w:rPr>
          <w:sz w:val="20"/>
        </w:rPr>
        <w:t xml:space="preserve">4) обязанность АО "ОЭЗ ТВТ "Дубна" осуществлять закупки за счет средств Субсидии в порядке, установленном Федеральным </w:t>
      </w:r>
      <w:hyperlink w:history="0" r:id="rId2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обязанность АО "ОЭЗ ТВТ "Дубна" обеспечить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проектных и изыскательских работ, работ по разработке проектно-сметной документации для объектов инфраструктуры, а также технологического присоединения объектов инфраструктуры, находящихся в его собственности, и (или) приобретение им объектов недвижимого имущества в размере, предусмотренном решением о предоставлении Субсидии и Соглашением;</w:t>
      </w:r>
    </w:p>
    <w:p>
      <w:pPr>
        <w:pStyle w:val="0"/>
        <w:jc w:val="both"/>
      </w:pPr>
      <w:r>
        <w:rPr>
          <w:sz w:val="20"/>
        </w:rPr>
        <w:t xml:space="preserve">(в ред. </w:t>
      </w:r>
      <w:hyperlink w:history="0" r:id="rId285" w:tooltip="Постановление Правительства МО от 07.09.2023 N 71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07.09.2023 N 714-ПП)</w:t>
      </w:r>
    </w:p>
    <w:p>
      <w:pPr>
        <w:pStyle w:val="0"/>
        <w:spacing w:before="200" w:line-rule="auto"/>
        <w:ind w:firstLine="540"/>
        <w:jc w:val="both"/>
      </w:pPr>
      <w:r>
        <w:rPr>
          <w:sz w:val="20"/>
        </w:rPr>
        <w:t xml:space="preserve">6) положения о запрете:</w:t>
      </w:r>
    </w:p>
    <w:p>
      <w:pPr>
        <w:pStyle w:val="0"/>
        <w:spacing w:before="200" w:line-rule="auto"/>
        <w:ind w:firstLine="540"/>
        <w:jc w:val="both"/>
      </w:pPr>
      <w:r>
        <w:rPr>
          <w:sz w:val="20"/>
        </w:rPr>
        <w:t xml:space="preserve">на приобретение АО "ОЭЗ ТВТ "Дубна"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Субсидии;</w:t>
      </w:r>
    </w:p>
    <w:p>
      <w:pPr>
        <w:pStyle w:val="0"/>
        <w:spacing w:before="200" w:line-rule="auto"/>
        <w:ind w:firstLine="540"/>
        <w:jc w:val="both"/>
      </w:pPr>
      <w:r>
        <w:rPr>
          <w:sz w:val="20"/>
        </w:rPr>
        <w:t xml:space="preserve">на перечисление АО "ОЭЗ ТВТ "Дубна"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pPr>
        <w:pStyle w:val="0"/>
        <w:spacing w:before="200" w:line-rule="auto"/>
        <w:ind w:firstLine="540"/>
        <w:jc w:val="both"/>
      </w:pPr>
      <w:r>
        <w:rPr>
          <w:sz w:val="20"/>
        </w:rPr>
        <w:t xml:space="preserve">на размещение АО "ОЭЗ ТВТ "Дубна"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jc w:val="both"/>
      </w:pPr>
      <w:r>
        <w:rPr>
          <w:sz w:val="20"/>
        </w:rPr>
        <w:t xml:space="preserve">(абзац введен </w:t>
      </w:r>
      <w:hyperlink w:history="0" r:id="rId28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 от 08.10.2024 N 1223-ПП)</w:t>
      </w:r>
    </w:p>
    <w:p>
      <w:pPr>
        <w:pStyle w:val="0"/>
        <w:spacing w:before="200" w:line-rule="auto"/>
        <w:ind w:firstLine="540"/>
        <w:jc w:val="both"/>
      </w:pPr>
      <w:r>
        <w:rPr>
          <w:sz w:val="20"/>
        </w:rPr>
        <w:t xml:space="preserve">7) положение о возврате АО "ОЭЗ ТВТ "Дубна" в бюджет Московской области остатка Субсидии, не использованного в отчетном финансовом году, если Мининвестом Московской области не принято в соответствии с </w:t>
      </w:r>
      <w:hyperlink w:history="0" w:anchor="P3359" w:tooltip="13. При наличии у АО &quot;ОЭЗ ТВТ &quot;Дубна&quot; неиспользованного остатка в конце соответствующего финансового года АО &quot;ОЭЗ ТВТ &quot;Дубна&quot;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quot;ОЭЗ ТВТ &quot;Дубна&quot; в очередном финансовом году при наличии потребности направления их на те же цели в соответствии с р...">
        <w:r>
          <w:rPr>
            <w:sz w:val="20"/>
            <w:color w:val="0000ff"/>
          </w:rPr>
          <w:t xml:space="preserve">пунктом 13</w:t>
        </w:r>
      </w:hyperlink>
      <w:r>
        <w:rPr>
          <w:sz w:val="20"/>
        </w:rPr>
        <w:t xml:space="preserve"> настоящего Порядка решение об использовании этих средств на цели предоставления Субсидии в соответствующем финансовом году (далее - решение об использовании остатка Субсидии);</w:t>
      </w:r>
    </w:p>
    <w:p>
      <w:pPr>
        <w:pStyle w:val="0"/>
        <w:spacing w:before="200" w:line-rule="auto"/>
        <w:ind w:firstLine="540"/>
        <w:jc w:val="both"/>
      </w:pPr>
      <w:r>
        <w:rPr>
          <w:sz w:val="20"/>
        </w:rPr>
        <w:t xml:space="preserve">8) порядок и сроки представления АО "ОЭЗ ТВТ "Дубна" отчетности о расходах, источником финансового обеспечения которых является Субсидия, и о достижении результатов предоставления Субсидии;</w:t>
      </w:r>
    </w:p>
    <w:p>
      <w:pPr>
        <w:pStyle w:val="0"/>
        <w:jc w:val="both"/>
      </w:pPr>
      <w:r>
        <w:rPr>
          <w:sz w:val="20"/>
        </w:rPr>
        <w:t xml:space="preserve">(в ред. </w:t>
      </w:r>
      <w:hyperlink w:history="0" r:id="rId287"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9) согласие АО "ОЭЗ ТВТ "Дубна"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28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10) обязанность АО "ОЭЗ ТВТ "Дубна" по возврату соответствующих средств в бюджет Московской области в случае установления по итогам проверок, проведенных Мининвестом Московской области 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w:t>
      </w:r>
    </w:p>
    <w:p>
      <w:pPr>
        <w:pStyle w:val="0"/>
        <w:spacing w:before="200" w:line-rule="auto"/>
        <w:ind w:firstLine="540"/>
        <w:jc w:val="both"/>
      </w:pPr>
      <w:r>
        <w:rPr>
          <w:sz w:val="20"/>
        </w:rPr>
        <w:t xml:space="preserve">11) обязанность АО "ОЭЗ ТВТ "Дубна" уведомить Минмособлимущество о вводе в эксплуатацию объекта капитального строительства или приобретения объекта недвижимого имущества, источником финансового обеспечения которых является Субсидия, для осуществления Минмособлимуществом действий, направленных на увеличение уставного капитала АО "ОЭЗ ТВТ "Дубна" в порядке, установленном законодательством Российской Федерации;</w:t>
      </w:r>
    </w:p>
    <w:p>
      <w:pPr>
        <w:pStyle w:val="0"/>
        <w:spacing w:before="200" w:line-rule="auto"/>
        <w:ind w:firstLine="540"/>
        <w:jc w:val="both"/>
      </w:pPr>
      <w:r>
        <w:rPr>
          <w:sz w:val="20"/>
        </w:rPr>
        <w:t xml:space="preserve">12) сроки перечисления Субсидии;</w:t>
      </w:r>
    </w:p>
    <w:p>
      <w:pPr>
        <w:pStyle w:val="0"/>
        <w:spacing w:before="200" w:line-rule="auto"/>
        <w:ind w:firstLine="540"/>
        <w:jc w:val="both"/>
      </w:pPr>
      <w:r>
        <w:rPr>
          <w:sz w:val="20"/>
        </w:rPr>
        <w:t xml:space="preserve">13) обязанность АО "ОЭЗ ТВТ "Дубна" обеспечить финансовое обеспечение работ и услуг в соответствии с нормативными правовыми актами Правительства Российской Федерации и Московской области, регулирующими порядок принятия решений о предоставлении субсидий, без использования на эти цели средств, предоставляемых из бюджета Московской области;</w:t>
      </w:r>
    </w:p>
    <w:p>
      <w:pPr>
        <w:pStyle w:val="0"/>
        <w:spacing w:before="200" w:line-rule="auto"/>
        <w:ind w:firstLine="540"/>
        <w:jc w:val="both"/>
      </w:pPr>
      <w:r>
        <w:rPr>
          <w:sz w:val="20"/>
        </w:rPr>
        <w:t xml:space="preserve">14) обязательство АО "ОЭЗ ТВТ "Дубна" осуществлять эксплуатационные расходы, необходимые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бюджета Московской области в соответствии с законом Московской области о бюджете Московской области и иными нормативными правовыми актами, регулирующими правила предоставления указанных средств;</w:t>
      </w:r>
    </w:p>
    <w:p>
      <w:pPr>
        <w:pStyle w:val="0"/>
        <w:spacing w:before="200" w:line-rule="auto"/>
        <w:ind w:firstLine="540"/>
        <w:jc w:val="both"/>
      </w:pPr>
      <w:r>
        <w:rPr>
          <w:sz w:val="20"/>
        </w:rPr>
        <w:t xml:space="preserve">15) обязательство АО "ОЭЗ ТВТ "Дубна"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p>
      <w:pPr>
        <w:pStyle w:val="0"/>
        <w:spacing w:before="200" w:line-rule="auto"/>
        <w:ind w:firstLine="540"/>
        <w:jc w:val="both"/>
      </w:pPr>
      <w:r>
        <w:rPr>
          <w:sz w:val="20"/>
        </w:rPr>
        <w:t xml:space="preserve">11. Субсидия перечисляется на расчетный счет, открытый АО "ОЭЗ ТВТ "Дубна" в кредитной организации, в установленные Соглашением сроки.</w:t>
      </w:r>
    </w:p>
    <w:p>
      <w:pPr>
        <w:pStyle w:val="0"/>
        <w:spacing w:before="200" w:line-rule="auto"/>
        <w:ind w:firstLine="540"/>
        <w:jc w:val="both"/>
      </w:pPr>
      <w:r>
        <w:rPr>
          <w:sz w:val="20"/>
        </w:rPr>
        <w:t xml:space="preserve">12. Результатом предоставления Субсидии является количество введенных в эксплуатацию объектов инфраструктуры особой экономической зоны технико-внедренческого типа "Дубна".</w:t>
      </w:r>
    </w:p>
    <w:p>
      <w:pPr>
        <w:pStyle w:val="0"/>
        <w:jc w:val="both"/>
      </w:pPr>
      <w:r>
        <w:rPr>
          <w:sz w:val="20"/>
        </w:rPr>
        <w:t xml:space="preserve">(п. 12 в ред. </w:t>
      </w:r>
      <w:hyperlink w:history="0" r:id="rId290"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bookmarkStart w:id="3359" w:name="P3359"/>
    <w:bookmarkEnd w:id="3359"/>
    <w:p>
      <w:pPr>
        <w:pStyle w:val="0"/>
        <w:spacing w:before="200" w:line-rule="auto"/>
        <w:ind w:firstLine="540"/>
        <w:jc w:val="both"/>
      </w:pPr>
      <w:r>
        <w:rPr>
          <w:sz w:val="20"/>
        </w:rPr>
        <w:t xml:space="preserve">13. При наличии у АО "ОЭЗ ТВТ "Дубна" неиспользованного остатка в конце соответствующего финансового года АО "ОЭЗ ТВТ "Дубна" вправе направить Мининвесту Московской области в течение 20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"ОЭЗ ТВТ "Дубна" в очередном финансовом году при наличии потребности направления их на те же цели в соответствии с решением Мининвеста Московской области об использовании остатка Субсидии.</w:t>
      </w:r>
    </w:p>
    <w:p>
      <w:pPr>
        <w:pStyle w:val="0"/>
        <w:spacing w:before="200" w:line-rule="auto"/>
        <w:ind w:firstLine="540"/>
        <w:jc w:val="both"/>
      </w:pPr>
      <w:r>
        <w:rPr>
          <w:sz w:val="20"/>
        </w:rPr>
        <w:t xml:space="preserve">В решение Мининвеста Московской области об использовании остатка Субсидии включается один или несколько объектов капитального строительства и (или) объектов недвижимого имущества.</w:t>
      </w:r>
    </w:p>
    <w:p>
      <w:pPr>
        <w:pStyle w:val="0"/>
        <w:spacing w:before="200" w:line-rule="auto"/>
        <w:ind w:firstLine="540"/>
        <w:jc w:val="both"/>
      </w:pPr>
      <w:r>
        <w:rPr>
          <w:sz w:val="20"/>
        </w:rPr>
        <w:t xml:space="preserve">Решение Мининвеста Московской области об использовании остатка Субсидии подлежит согласованию с МЭФ Московской области.</w:t>
      </w:r>
    </w:p>
    <w:p>
      <w:pPr>
        <w:pStyle w:val="0"/>
        <w:spacing w:before="200" w:line-rule="auto"/>
        <w:ind w:firstLine="540"/>
        <w:jc w:val="both"/>
      </w:pPr>
      <w:r>
        <w:rPr>
          <w:sz w:val="20"/>
        </w:rPr>
        <w:t xml:space="preserve">В случае возникновения обстоятельств, свидетельствующих об отсутствии у АО "ОЭЗ ТВТ "Дубна" в соответствующем финансовом году потребности в неиспользованном остатке, АО "ОЭЗ ТВТ "Дубна" обязано письменно уведомить Мининвест Московской области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бюджет Московской области.</w:t>
      </w:r>
    </w:p>
    <w:p>
      <w:pPr>
        <w:pStyle w:val="0"/>
        <w:spacing w:before="200" w:line-rule="auto"/>
        <w:ind w:firstLine="540"/>
        <w:jc w:val="both"/>
      </w:pPr>
      <w:r>
        <w:rPr>
          <w:sz w:val="20"/>
        </w:rPr>
        <w:t xml:space="preserve">14. АО "ОЭЗ ТВТ "Дубна" несет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p>
      <w:pPr>
        <w:pStyle w:val="0"/>
        <w:ind w:firstLine="540"/>
        <w:jc w:val="both"/>
      </w:pPr>
      <w:r>
        <w:rPr>
          <w:sz w:val="20"/>
        </w:rPr>
        <w:t xml:space="preserve">15. АО "ОЭЗ ТВТ "Дубна" представляет Мининвесту Московской области отчетность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проектные и изыскательские работы, работы по разработке проектно-сметной документации для объектов инфраструктуры, а также технологическое присоединение объектов инфраструктуры, находящихся в его собственности, и (или) на приобретение им объектов недвижимого имущества, и о достижении АО "ОЭЗ ТВТ "Дубна" результата предоставления Субсидии по форме и в сроки, определенные Соглашением, за период с даты заключения Соглашения по 31 декабря 2025 года с приложением подтверждающих документов. Отчетность представляется по итогам каждого завершенного календарного года (далее - отчетный год) не позднее 20 рабочих дней после его окончания.</w:t>
      </w:r>
    </w:p>
    <w:p>
      <w:pPr>
        <w:pStyle w:val="0"/>
        <w:spacing w:before="200" w:line-rule="auto"/>
        <w:ind w:firstLine="540"/>
        <w:jc w:val="both"/>
      </w:pPr>
      <w:r>
        <w:rPr>
          <w:sz w:val="20"/>
        </w:rPr>
        <w:t xml:space="preserve">Мининвест Московской области в течение 10 рабочих дней со дня представления отчетности в соответствии с требованиями настоящего Порядка осуществляет ее проверку и принятие.</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АО "ОЭЗ ТВТ "Дубна" отчетность в случае ее соответствия требованиям настоящего Порядка.</w:t>
      </w:r>
    </w:p>
    <w:p>
      <w:pPr>
        <w:pStyle w:val="0"/>
        <w:spacing w:before="200" w:line-rule="auto"/>
        <w:ind w:firstLine="540"/>
        <w:jc w:val="both"/>
      </w:pPr>
      <w:r>
        <w:rPr>
          <w:sz w:val="20"/>
        </w:rPr>
        <w:t xml:space="preserve">В случае несоответствия отчетности требованиям настоящего Порядка Мининвест Московской области в течение 5 рабочих дней направляет АО "ОЭЗ ТВТ "Дубна" уведомление об исправлении представленной отчетности и повторном направлении в Мининвест Московской области в срок, указанный в уведомлении.</w:t>
      </w:r>
    </w:p>
    <w:p>
      <w:pPr>
        <w:pStyle w:val="0"/>
        <w:jc w:val="both"/>
      </w:pPr>
      <w:r>
        <w:rPr>
          <w:sz w:val="20"/>
        </w:rPr>
        <w:t xml:space="preserve">(п. 15 в ред. </w:t>
      </w:r>
      <w:hyperlink w:history="0" r:id="rId291"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16. Мининвест Московской области представляет МЭФ Московской области отчет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проектные и изыскательские работы, работы по разработке проектно-сметной документации для объектов инфраструктуры, а также технологическое присоединение объектов инфраструктуры, находящихся в его собственности, и (или) на приобретение им объектов недвижимого имущества, и отчет о достижении АО "ОЭЗ ТВТ "Дубна" результата предоставления Субсидии не позднее 1 марта года, следующего за отчетным годом, по формам согласно </w:t>
      </w:r>
      <w:hyperlink w:history="0" w:anchor="P3407" w:tooltip="Отчет">
        <w:r>
          <w:rPr>
            <w:sz w:val="20"/>
            <w:color w:val="0000ff"/>
          </w:rPr>
          <w:t xml:space="preserve">таблицам 2</w:t>
        </w:r>
      </w:hyperlink>
      <w:r>
        <w:rPr>
          <w:sz w:val="20"/>
        </w:rPr>
        <w:t xml:space="preserve"> и </w:t>
      </w:r>
      <w:hyperlink w:history="0" w:anchor="P3559" w:tooltip="Отчет">
        <w:r>
          <w:rPr>
            <w:sz w:val="20"/>
            <w:color w:val="0000ff"/>
          </w:rPr>
          <w:t xml:space="preserve">3</w:t>
        </w:r>
      </w:hyperlink>
      <w:r>
        <w:rPr>
          <w:sz w:val="20"/>
        </w:rPr>
        <w:t xml:space="preserve"> к настоящему Порядку с приложением подтверждающих документов.</w:t>
      </w:r>
    </w:p>
    <w:p>
      <w:pPr>
        <w:pStyle w:val="0"/>
        <w:jc w:val="both"/>
      </w:pPr>
      <w:r>
        <w:rPr>
          <w:sz w:val="20"/>
        </w:rPr>
        <w:t xml:space="preserve">(п. 16 в ред. </w:t>
      </w:r>
      <w:hyperlink w:history="0" r:id="rId292"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jc w:val="both"/>
      </w:pPr>
      <w:r>
        <w:rPr>
          <w:sz w:val="20"/>
        </w:rPr>
      </w:r>
    </w:p>
    <w:p>
      <w:pPr>
        <w:pStyle w:val="2"/>
        <w:outlineLvl w:val="4"/>
        <w:jc w:val="center"/>
      </w:pPr>
      <w:r>
        <w:rPr>
          <w:sz w:val="20"/>
        </w:rPr>
        <w:t xml:space="preserve">IV.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Субсидии и ответственность за их нарушение</w:t>
      </w:r>
    </w:p>
    <w:p>
      <w:pPr>
        <w:pStyle w:val="0"/>
        <w:jc w:val="both"/>
      </w:pPr>
      <w:r>
        <w:rPr>
          <w:sz w:val="20"/>
        </w:rPr>
      </w:r>
    </w:p>
    <w:p>
      <w:pPr>
        <w:pStyle w:val="0"/>
        <w:ind w:firstLine="540"/>
        <w:jc w:val="both"/>
      </w:pPr>
      <w:r>
        <w:rPr>
          <w:sz w:val="20"/>
        </w:rPr>
        <w:t xml:space="preserve">17. Минмособлимущество осуществляет корпоративные мероприятия, направленные на увеличение уставного капитала АО "ОЭЗ ТВТ "Дубна", в порядке, установленном законодательством Российской Федерации.</w:t>
      </w:r>
    </w:p>
    <w:p>
      <w:pPr>
        <w:pStyle w:val="0"/>
        <w:spacing w:before="200" w:line-rule="auto"/>
        <w:ind w:firstLine="540"/>
        <w:jc w:val="both"/>
      </w:pPr>
      <w:r>
        <w:rPr>
          <w:sz w:val="20"/>
        </w:rPr>
        <w:t xml:space="preserve">18. Соблюдение АО "ОЭЗ ТВТ "Дубна"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w:history="0" r:id="rId2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19. Субсидия подлежит возврату в бюджет Московской области в сроки и порядке, установленные в Соглашении, в случаях:</w:t>
      </w:r>
    </w:p>
    <w:p>
      <w:pPr>
        <w:pStyle w:val="0"/>
        <w:spacing w:before="200" w:line-rule="auto"/>
        <w:ind w:firstLine="540"/>
        <w:jc w:val="both"/>
      </w:pPr>
      <w:r>
        <w:rPr>
          <w:sz w:val="20"/>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pPr>
        <w:pStyle w:val="0"/>
        <w:spacing w:before="200" w:line-rule="auto"/>
        <w:ind w:firstLine="540"/>
        <w:jc w:val="both"/>
      </w:pPr>
      <w:r>
        <w:rPr>
          <w:sz w:val="20"/>
        </w:rPr>
        <w:t xml:space="preserve">недостижения получателем Субсидии результатов предоставления Субсидии.</w:t>
      </w:r>
    </w:p>
    <w:p>
      <w:pPr>
        <w:pStyle w:val="0"/>
        <w:spacing w:before="200" w:line-rule="auto"/>
        <w:ind w:firstLine="540"/>
        <w:jc w:val="both"/>
      </w:pPr>
      <w:r>
        <w:rPr>
          <w:sz w:val="20"/>
        </w:rPr>
        <w:t xml:space="preserve">20. При недостижении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результату предоставления Субсидии.</w:t>
      </w:r>
    </w:p>
    <w:p>
      <w:pPr>
        <w:pStyle w:val="0"/>
        <w:jc w:val="both"/>
      </w:pPr>
      <w:r>
        <w:rPr>
          <w:sz w:val="20"/>
        </w:rPr>
        <w:t xml:space="preserve">(в ред. </w:t>
      </w:r>
      <w:hyperlink w:history="0" r:id="rId295"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Порядок расчета размера Субсидии, подлежащей возврату в бюджет Московской области, устанавливается в Соглашении.</w:t>
      </w:r>
    </w:p>
    <w:p>
      <w:pPr>
        <w:pStyle w:val="0"/>
        <w:spacing w:before="200" w:line-rule="auto"/>
        <w:ind w:firstLine="540"/>
        <w:jc w:val="both"/>
      </w:pPr>
      <w:r>
        <w:rPr>
          <w:sz w:val="20"/>
        </w:rPr>
        <w:t xml:space="preserve">21.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АО "ОЭЗ ТВТ "Дубна",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pPr>
        <w:pStyle w:val="0"/>
        <w:spacing w:before="200" w:line-rule="auto"/>
        <w:ind w:firstLine="540"/>
        <w:jc w:val="both"/>
      </w:pPr>
      <w:r>
        <w:rPr>
          <w:sz w:val="20"/>
        </w:rPr>
        <w:t xml:space="preserve">22.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рабочих дней с даты подписания требование о возврате направляется в АО "ОЭЗ ТВТ "Дубна".</w:t>
      </w:r>
    </w:p>
    <w:p>
      <w:pPr>
        <w:pStyle w:val="0"/>
        <w:spacing w:before="200" w:line-rule="auto"/>
        <w:ind w:firstLine="540"/>
        <w:jc w:val="both"/>
      </w:pPr>
      <w:r>
        <w:rPr>
          <w:sz w:val="20"/>
        </w:rPr>
        <w:t xml:space="preserve">23. В случае неисполнения АО "ОЭЗ ТВТ "Дубна"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p>
      <w:pPr>
        <w:pStyle w:val="2"/>
        <w:jc w:val="center"/>
      </w:pPr>
      <w:r>
        <w:rPr>
          <w:sz w:val="20"/>
        </w:rPr>
        <w:t xml:space="preserve">ПОКАЗАТЕЛИ</w:t>
      </w:r>
    </w:p>
    <w:p>
      <w:pPr>
        <w:pStyle w:val="2"/>
        <w:jc w:val="center"/>
      </w:pPr>
      <w:r>
        <w:rPr>
          <w:sz w:val="20"/>
        </w:rPr>
        <w:t xml:space="preserve">РЕЗУЛЬТАТИВНОСТИ ПРЕДОСТАВЛЕНИЯ СУБСИДИИ</w:t>
      </w:r>
    </w:p>
    <w:p>
      <w:pPr>
        <w:pStyle w:val="2"/>
        <w:jc w:val="center"/>
      </w:pPr>
      <w:r>
        <w:rPr>
          <w:sz w:val="20"/>
        </w:rPr>
        <w:t xml:space="preserve">(ОБЪЕКТЫ НЕДВИЖИМОГО ИМУЩЕСТВА, НА СТРОИТЕЛЬСТВО И (ИЛИ)</w:t>
      </w:r>
    </w:p>
    <w:p>
      <w:pPr>
        <w:pStyle w:val="2"/>
        <w:jc w:val="center"/>
      </w:pPr>
      <w:r>
        <w:rPr>
          <w:sz w:val="20"/>
        </w:rPr>
        <w:t xml:space="preserve">ПРИОБРЕТЕНИЕ КОТОРЫХ ПРЕДОСТАВЛЯЕТСЯ СУБСИДИЯ)</w:t>
      </w:r>
    </w:p>
    <w:p>
      <w:pPr>
        <w:pStyle w:val="0"/>
        <w:jc w:val="both"/>
      </w:pPr>
      <w:r>
        <w:rPr>
          <w:sz w:val="20"/>
        </w:rPr>
      </w:r>
    </w:p>
    <w:p>
      <w:pPr>
        <w:pStyle w:val="0"/>
        <w:jc w:val="center"/>
      </w:pPr>
      <w:r>
        <w:rPr>
          <w:sz w:val="20"/>
        </w:rPr>
        <w:t xml:space="preserve">Утратили силу. - </w:t>
      </w:r>
      <w:hyperlink w:history="0" r:id="rId296"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22.05.2023 N 315-ПП.</w:t>
      </w:r>
    </w:p>
    <w:p>
      <w:pPr>
        <w:pStyle w:val="0"/>
        <w:jc w:val="both"/>
      </w:pPr>
      <w:r>
        <w:rPr>
          <w:sz w:val="20"/>
        </w:rPr>
      </w:r>
    </w:p>
    <w:p>
      <w:pPr>
        <w:pStyle w:val="0"/>
        <w:outlineLvl w:val="4"/>
        <w:jc w:val="right"/>
      </w:pPr>
      <w:r>
        <w:rPr>
          <w:sz w:val="20"/>
        </w:rPr>
        <w:t xml:space="preserve">Таблица 2</w:t>
      </w:r>
    </w:p>
    <w:p>
      <w:pPr>
        <w:pStyle w:val="0"/>
        <w:jc w:val="center"/>
      </w:pPr>
      <w:r>
        <w:rPr>
          <w:sz w:val="20"/>
        </w:rPr>
      </w:r>
    </w:p>
    <w:p>
      <w:pPr>
        <w:pStyle w:val="0"/>
        <w:jc w:val="center"/>
      </w:pPr>
      <w:r>
        <w:rPr>
          <w:sz w:val="20"/>
        </w:rPr>
        <w:t xml:space="preserve">(в ред. </w:t>
      </w:r>
      <w:hyperlink w:history="0" r:id="rId29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3407" w:name="P3407"/>
    <w:bookmarkEnd w:id="3407"/>
    <w:p>
      <w:pPr>
        <w:pStyle w:val="0"/>
        <w:jc w:val="center"/>
      </w:pPr>
      <w:r>
        <w:rPr>
          <w:sz w:val="20"/>
        </w:rPr>
        <w:t xml:space="preserve">Отчет</w:t>
      </w:r>
    </w:p>
    <w:p>
      <w:pPr>
        <w:pStyle w:val="0"/>
        <w:jc w:val="center"/>
      </w:pPr>
      <w:r>
        <w:rPr>
          <w:sz w:val="20"/>
        </w:rPr>
        <w:t xml:space="preserve">о расходовании Субсидии, предоставленной из бюджета</w:t>
      </w:r>
    </w:p>
    <w:p>
      <w:pPr>
        <w:pStyle w:val="0"/>
        <w:jc w:val="center"/>
      </w:pPr>
      <w:r>
        <w:rPr>
          <w:sz w:val="20"/>
        </w:rPr>
        <w:t xml:space="preserve">Московской области АО "ОЭЗ ТВТ "Дубна"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551"/>
        <w:gridCol w:w="1984"/>
        <w:gridCol w:w="1531"/>
        <w:gridCol w:w="1644"/>
        <w:gridCol w:w="1474"/>
        <w:gridCol w:w="1474"/>
        <w:gridCol w:w="1587"/>
        <w:gridCol w:w="1531"/>
        <w:gridCol w:w="1417"/>
        <w:gridCol w:w="1587"/>
        <w:gridCol w:w="1587"/>
        <w:gridCol w:w="1531"/>
        <w:gridCol w:w="1531"/>
        <w:gridCol w:w="1474"/>
        <w:gridCol w:w="1474"/>
      </w:tblGrid>
      <w:tr>
        <w:tc>
          <w:tcPr>
            <w:tcW w:w="68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984" w:type="dxa"/>
            <w:vMerge w:val="restart"/>
          </w:tcPr>
          <w:p>
            <w:pPr>
              <w:pStyle w:val="0"/>
              <w:jc w:val="center"/>
            </w:pPr>
            <w:r>
              <w:rPr>
                <w:sz w:val="20"/>
              </w:rPr>
              <w:t xml:space="preserve">Источники финансирования*</w:t>
            </w:r>
          </w:p>
        </w:tc>
        <w:tc>
          <w:tcPr>
            <w:tcW w:w="1531" w:type="dxa"/>
            <w:vMerge w:val="restart"/>
          </w:tcPr>
          <w:p>
            <w:pPr>
              <w:pStyle w:val="0"/>
              <w:jc w:val="center"/>
            </w:pPr>
            <w:r>
              <w:rPr>
                <w:sz w:val="20"/>
              </w:rPr>
              <w:t xml:space="preserve">Направление расходов*</w:t>
            </w:r>
          </w:p>
        </w:tc>
        <w:tc>
          <w:tcPr>
            <w:gridSpan w:val="3"/>
            <w:tcW w:w="4592" w:type="dxa"/>
          </w:tcPr>
          <w:p>
            <w:pPr>
              <w:pStyle w:val="0"/>
              <w:jc w:val="center"/>
            </w:pPr>
            <w:r>
              <w:rPr>
                <w:sz w:val="20"/>
              </w:rPr>
              <w:t xml:space="preserve">2023 год</w:t>
            </w:r>
          </w:p>
        </w:tc>
        <w:tc>
          <w:tcPr>
            <w:gridSpan w:val="3"/>
            <w:tcW w:w="4535" w:type="dxa"/>
          </w:tcPr>
          <w:p>
            <w:pPr>
              <w:pStyle w:val="0"/>
              <w:jc w:val="center"/>
            </w:pPr>
            <w:r>
              <w:rPr>
                <w:sz w:val="20"/>
              </w:rPr>
              <w:t xml:space="preserve">2024 год</w:t>
            </w:r>
          </w:p>
        </w:tc>
        <w:tc>
          <w:tcPr>
            <w:gridSpan w:val="3"/>
            <w:tcW w:w="4705" w:type="dxa"/>
          </w:tcPr>
          <w:p>
            <w:pPr>
              <w:pStyle w:val="0"/>
              <w:jc w:val="center"/>
            </w:pPr>
            <w:r>
              <w:rPr>
                <w:sz w:val="20"/>
              </w:rPr>
              <w:t xml:space="preserve">2025 год</w:t>
            </w:r>
          </w:p>
        </w:tc>
        <w:tc>
          <w:tcPr>
            <w:gridSpan w:val="3"/>
            <w:tcW w:w="4479" w:type="dxa"/>
          </w:tcPr>
          <w:p>
            <w:pPr>
              <w:pStyle w:val="0"/>
              <w:jc w:val="center"/>
            </w:pPr>
            <w:r>
              <w:rPr>
                <w:sz w:val="20"/>
              </w:rPr>
              <w:t xml:space="preserve">2026 год</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Плановая сумма использования субсидии, тыс. руб.*</w:t>
            </w:r>
          </w:p>
        </w:tc>
        <w:tc>
          <w:tcPr>
            <w:tcW w:w="1474" w:type="dxa"/>
          </w:tcPr>
          <w:p>
            <w:pPr>
              <w:pStyle w:val="0"/>
              <w:jc w:val="center"/>
            </w:pPr>
            <w:r>
              <w:rPr>
                <w:sz w:val="20"/>
              </w:rPr>
              <w:t xml:space="preserve">Фактически использованная сумма субсидии, тыс. руб.</w:t>
            </w:r>
          </w:p>
        </w:tc>
        <w:tc>
          <w:tcPr>
            <w:tcW w:w="1474" w:type="dxa"/>
          </w:tcPr>
          <w:p>
            <w:pPr>
              <w:pStyle w:val="0"/>
              <w:jc w:val="center"/>
            </w:pPr>
            <w:r>
              <w:rPr>
                <w:sz w:val="20"/>
              </w:rPr>
              <w:t xml:space="preserve">Процент использования субсидии, %</w:t>
            </w:r>
          </w:p>
        </w:tc>
        <w:tc>
          <w:tcPr>
            <w:tcW w:w="1587" w:type="dxa"/>
          </w:tcPr>
          <w:p>
            <w:pPr>
              <w:pStyle w:val="0"/>
              <w:jc w:val="center"/>
            </w:pPr>
            <w:r>
              <w:rPr>
                <w:sz w:val="20"/>
              </w:rPr>
              <w:t xml:space="preserve">Плановая сумма использования субсидии, тыс. руб.*</w:t>
            </w:r>
          </w:p>
        </w:tc>
        <w:tc>
          <w:tcPr>
            <w:tcW w:w="1531" w:type="dxa"/>
          </w:tcPr>
          <w:p>
            <w:pPr>
              <w:pStyle w:val="0"/>
              <w:jc w:val="center"/>
            </w:pPr>
            <w:r>
              <w:rPr>
                <w:sz w:val="20"/>
              </w:rPr>
              <w:t xml:space="preserve">Фактически использованная сумма субсидии, тыс. руб.</w:t>
            </w:r>
          </w:p>
        </w:tc>
        <w:tc>
          <w:tcPr>
            <w:tcW w:w="1417" w:type="dxa"/>
          </w:tcPr>
          <w:p>
            <w:pPr>
              <w:pStyle w:val="0"/>
              <w:jc w:val="center"/>
            </w:pPr>
            <w:r>
              <w:rPr>
                <w:sz w:val="20"/>
              </w:rPr>
              <w:t xml:space="preserve">Процент использования субсидии, %</w:t>
            </w:r>
          </w:p>
        </w:tc>
        <w:tc>
          <w:tcPr>
            <w:tcW w:w="1587" w:type="dxa"/>
          </w:tcPr>
          <w:p>
            <w:pPr>
              <w:pStyle w:val="0"/>
              <w:jc w:val="center"/>
            </w:pPr>
            <w:r>
              <w:rPr>
                <w:sz w:val="20"/>
              </w:rPr>
              <w:t xml:space="preserve">Плановая сумма использования субсидии, тыс. руб.*</w:t>
            </w:r>
          </w:p>
        </w:tc>
        <w:tc>
          <w:tcPr>
            <w:tcW w:w="1587" w:type="dxa"/>
          </w:tcPr>
          <w:p>
            <w:pPr>
              <w:pStyle w:val="0"/>
              <w:jc w:val="center"/>
            </w:pPr>
            <w:r>
              <w:rPr>
                <w:sz w:val="20"/>
              </w:rPr>
              <w:t xml:space="preserve">Фактически использованная сумма субсидии, тыс. руб.</w:t>
            </w:r>
          </w:p>
        </w:tc>
        <w:tc>
          <w:tcPr>
            <w:tcW w:w="1531" w:type="dxa"/>
          </w:tcPr>
          <w:p>
            <w:pPr>
              <w:pStyle w:val="0"/>
              <w:jc w:val="center"/>
            </w:pPr>
            <w:r>
              <w:rPr>
                <w:sz w:val="20"/>
              </w:rPr>
              <w:t xml:space="preserve">Процент использования субсидии, %</w:t>
            </w:r>
          </w:p>
        </w:tc>
        <w:tc>
          <w:tcPr>
            <w:tcW w:w="1531" w:type="dxa"/>
          </w:tcPr>
          <w:p>
            <w:pPr>
              <w:pStyle w:val="0"/>
              <w:jc w:val="center"/>
            </w:pPr>
            <w:r>
              <w:rPr>
                <w:sz w:val="20"/>
              </w:rPr>
              <w:t xml:space="preserve">Плановая сумма использования субсидии, тыс. руб.*</w:t>
            </w:r>
          </w:p>
        </w:tc>
        <w:tc>
          <w:tcPr>
            <w:tcW w:w="1474" w:type="dxa"/>
          </w:tcPr>
          <w:p>
            <w:pPr>
              <w:pStyle w:val="0"/>
              <w:jc w:val="center"/>
            </w:pPr>
            <w:r>
              <w:rPr>
                <w:sz w:val="20"/>
              </w:rPr>
              <w:t xml:space="preserve">Фактически использованная сумма субсидии, тыс. руб.</w:t>
            </w:r>
          </w:p>
        </w:tc>
        <w:tc>
          <w:tcPr>
            <w:tcW w:w="1474" w:type="dxa"/>
          </w:tcPr>
          <w:p>
            <w:pPr>
              <w:pStyle w:val="0"/>
              <w:jc w:val="center"/>
            </w:pPr>
            <w:r>
              <w:rPr>
                <w:sz w:val="20"/>
              </w:rPr>
              <w:t xml:space="preserve">Процент использования субсидии, %</w:t>
            </w:r>
          </w:p>
        </w:tc>
      </w:tr>
      <w:tr>
        <w:tc>
          <w:tcPr>
            <w:tcW w:w="680" w:type="dxa"/>
          </w:tcPr>
          <w:p>
            <w:pPr>
              <w:pStyle w:val="0"/>
              <w:jc w:val="center"/>
            </w:pPr>
            <w:r>
              <w:rPr>
                <w:sz w:val="20"/>
              </w:rPr>
              <w:t xml:space="preserve">1</w:t>
            </w:r>
          </w:p>
        </w:tc>
        <w:tc>
          <w:tcPr>
            <w:tcW w:w="2551" w:type="dxa"/>
          </w:tcPr>
          <w:p>
            <w:pPr>
              <w:pStyle w:val="0"/>
              <w:jc w:val="center"/>
            </w:pPr>
            <w:r>
              <w:rPr>
                <w:sz w:val="20"/>
              </w:rPr>
              <w:t xml:space="preserve">2</w:t>
            </w:r>
          </w:p>
        </w:tc>
        <w:tc>
          <w:tcPr>
            <w:tcW w:w="1984" w:type="dxa"/>
          </w:tcPr>
          <w:p>
            <w:pPr>
              <w:pStyle w:val="0"/>
              <w:jc w:val="center"/>
            </w:pPr>
            <w:r>
              <w:rPr>
                <w:sz w:val="20"/>
              </w:rPr>
              <w:t xml:space="preserve">3</w:t>
            </w:r>
          </w:p>
        </w:tc>
        <w:tc>
          <w:tcPr>
            <w:tcW w:w="1531" w:type="dxa"/>
          </w:tcPr>
          <w:p>
            <w:pPr>
              <w:pStyle w:val="0"/>
              <w:jc w:val="center"/>
            </w:pPr>
            <w:r>
              <w:rPr>
                <w:sz w:val="20"/>
              </w:rPr>
              <w:t xml:space="preserve">4</w:t>
            </w:r>
          </w:p>
        </w:tc>
        <w:tc>
          <w:tcPr>
            <w:tcW w:w="1644" w:type="dxa"/>
          </w:tcPr>
          <w:p>
            <w:pPr>
              <w:pStyle w:val="0"/>
              <w:jc w:val="center"/>
            </w:pPr>
            <w:r>
              <w:rPr>
                <w:sz w:val="20"/>
              </w:rPr>
              <w:t xml:space="preserve">5</w:t>
            </w:r>
          </w:p>
        </w:tc>
        <w:tc>
          <w:tcPr>
            <w:tcW w:w="1474" w:type="dxa"/>
          </w:tcPr>
          <w:p>
            <w:pPr>
              <w:pStyle w:val="0"/>
              <w:jc w:val="center"/>
            </w:pPr>
            <w:r>
              <w:rPr>
                <w:sz w:val="20"/>
              </w:rPr>
              <w:t xml:space="preserve">6</w:t>
            </w:r>
          </w:p>
        </w:tc>
        <w:tc>
          <w:tcPr>
            <w:tcW w:w="1474" w:type="dxa"/>
          </w:tcPr>
          <w:p>
            <w:pPr>
              <w:pStyle w:val="0"/>
              <w:jc w:val="center"/>
            </w:pPr>
            <w:r>
              <w:rPr>
                <w:sz w:val="20"/>
              </w:rPr>
              <w:t xml:space="preserve">7</w:t>
            </w:r>
          </w:p>
        </w:tc>
        <w:tc>
          <w:tcPr>
            <w:tcW w:w="1587" w:type="dxa"/>
          </w:tcPr>
          <w:p>
            <w:pPr>
              <w:pStyle w:val="0"/>
              <w:jc w:val="center"/>
            </w:pPr>
            <w:r>
              <w:rPr>
                <w:sz w:val="20"/>
              </w:rPr>
              <w:t xml:space="preserve">8</w:t>
            </w:r>
          </w:p>
        </w:tc>
        <w:tc>
          <w:tcPr>
            <w:tcW w:w="1531" w:type="dxa"/>
          </w:tcPr>
          <w:p>
            <w:pPr>
              <w:pStyle w:val="0"/>
              <w:jc w:val="center"/>
            </w:pPr>
            <w:r>
              <w:rPr>
                <w:sz w:val="20"/>
              </w:rPr>
              <w:t xml:space="preserve">9</w:t>
            </w:r>
          </w:p>
        </w:tc>
        <w:tc>
          <w:tcPr>
            <w:tcW w:w="1417" w:type="dxa"/>
          </w:tcPr>
          <w:p>
            <w:pPr>
              <w:pStyle w:val="0"/>
              <w:jc w:val="center"/>
            </w:pPr>
            <w:r>
              <w:rPr>
                <w:sz w:val="20"/>
              </w:rPr>
              <w:t xml:space="preserve">10</w:t>
            </w:r>
          </w:p>
        </w:tc>
        <w:tc>
          <w:tcPr>
            <w:tcW w:w="1587" w:type="dxa"/>
          </w:tcPr>
          <w:p>
            <w:pPr>
              <w:pStyle w:val="0"/>
              <w:jc w:val="center"/>
            </w:pPr>
            <w:r>
              <w:rPr>
                <w:sz w:val="20"/>
              </w:rPr>
              <w:t xml:space="preserve">11</w:t>
            </w:r>
          </w:p>
        </w:tc>
        <w:tc>
          <w:tcPr>
            <w:tcW w:w="1587" w:type="dxa"/>
          </w:tcPr>
          <w:p>
            <w:pPr>
              <w:pStyle w:val="0"/>
              <w:jc w:val="center"/>
            </w:pPr>
            <w:r>
              <w:rPr>
                <w:sz w:val="20"/>
              </w:rPr>
              <w:t xml:space="preserve">12</w:t>
            </w:r>
          </w:p>
        </w:tc>
        <w:tc>
          <w:tcPr>
            <w:tcW w:w="1531" w:type="dxa"/>
          </w:tcPr>
          <w:p>
            <w:pPr>
              <w:pStyle w:val="0"/>
              <w:jc w:val="center"/>
            </w:pPr>
            <w:r>
              <w:rPr>
                <w:sz w:val="20"/>
              </w:rPr>
              <w:t xml:space="preserve">13</w:t>
            </w:r>
          </w:p>
        </w:tc>
        <w:tc>
          <w:tcPr>
            <w:tcW w:w="1531" w:type="dxa"/>
          </w:tcPr>
          <w:p>
            <w:pPr>
              <w:pStyle w:val="0"/>
              <w:jc w:val="center"/>
            </w:pPr>
            <w:r>
              <w:rPr>
                <w:sz w:val="20"/>
              </w:rPr>
              <w:t xml:space="preserve">14</w:t>
            </w:r>
          </w:p>
        </w:tc>
        <w:tc>
          <w:tcPr>
            <w:tcW w:w="1474" w:type="dxa"/>
          </w:tcPr>
          <w:p>
            <w:pPr>
              <w:pStyle w:val="0"/>
              <w:jc w:val="center"/>
            </w:pPr>
            <w:r>
              <w:rPr>
                <w:sz w:val="20"/>
              </w:rPr>
              <w:t xml:space="preserve">15</w:t>
            </w:r>
          </w:p>
        </w:tc>
        <w:tc>
          <w:tcPr>
            <w:tcW w:w="1474" w:type="dxa"/>
          </w:tcPr>
          <w:p>
            <w:pPr>
              <w:pStyle w:val="0"/>
              <w:jc w:val="center"/>
            </w:pPr>
            <w:r>
              <w:rPr>
                <w:sz w:val="20"/>
              </w:rPr>
              <w:t xml:space="preserve">16</w:t>
            </w:r>
          </w:p>
        </w:tc>
      </w:tr>
      <w:tr>
        <w:tc>
          <w:tcPr>
            <w:tcW w:w="680" w:type="dxa"/>
            <w:vMerge w:val="restart"/>
          </w:tcPr>
          <w:p>
            <w:pPr>
              <w:pStyle w:val="0"/>
            </w:pPr>
            <w:r>
              <w:rPr>
                <w:sz w:val="20"/>
              </w:rPr>
              <w:t xml:space="preserve">1</w:t>
            </w:r>
          </w:p>
        </w:tc>
        <w:tc>
          <w:tcPr>
            <w:tcW w:w="2551" w:type="dxa"/>
            <w:vMerge w:val="restart"/>
          </w:tcPr>
          <w:p>
            <w:pPr>
              <w:pStyle w:val="0"/>
            </w:pPr>
            <w:r>
              <w:rPr>
                <w:sz w:val="20"/>
              </w:rPr>
            </w:r>
          </w:p>
        </w:tc>
        <w:tc>
          <w:tcPr>
            <w:tcW w:w="1984" w:type="dxa"/>
            <w:vMerge w:val="restart"/>
          </w:tcPr>
          <w:p>
            <w:pPr>
              <w:pStyle w:val="0"/>
            </w:pPr>
            <w:r>
              <w:rPr>
                <w:sz w:val="20"/>
              </w:rPr>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vMerge w:val="continue"/>
          </w:tcPr>
          <w:p/>
        </w:tc>
        <w:tc>
          <w:tcPr>
            <w:vMerge w:val="continue"/>
          </w:tcPr>
          <w:p/>
        </w:tc>
        <w:tc>
          <w:tcPr>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680" w:type="dxa"/>
            <w:vMerge w:val="restart"/>
          </w:tcPr>
          <w:p>
            <w:pPr>
              <w:pStyle w:val="0"/>
            </w:pPr>
            <w:r>
              <w:rPr>
                <w:sz w:val="20"/>
              </w:rPr>
            </w:r>
          </w:p>
        </w:tc>
        <w:tc>
          <w:tcPr>
            <w:tcW w:w="2551" w:type="dxa"/>
            <w:vMerge w:val="restart"/>
          </w:tcPr>
          <w:p>
            <w:pPr>
              <w:pStyle w:val="0"/>
            </w:pPr>
            <w:r>
              <w:rPr>
                <w:sz w:val="20"/>
              </w:rPr>
            </w:r>
          </w:p>
        </w:tc>
        <w:tc>
          <w:tcPr>
            <w:tcW w:w="1984" w:type="dxa"/>
            <w:vMerge w:val="restart"/>
          </w:tcPr>
          <w:p>
            <w:pPr>
              <w:pStyle w:val="0"/>
            </w:pPr>
            <w:r>
              <w:rPr>
                <w:sz w:val="20"/>
              </w:rPr>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vMerge w:val="continue"/>
          </w:tcPr>
          <w:p/>
        </w:tc>
        <w:tc>
          <w:tcPr>
            <w:vMerge w:val="continue"/>
          </w:tcPr>
          <w:p/>
        </w:tc>
        <w:tc>
          <w:tcPr>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3"/>
            <w:tcW w:w="5215" w:type="dxa"/>
            <w:vMerge w:val="restart"/>
          </w:tcPr>
          <w:p>
            <w:pPr>
              <w:pStyle w:val="0"/>
            </w:pPr>
            <w:r>
              <w:rPr>
                <w:sz w:val="20"/>
              </w:rPr>
              <w:t xml:space="preserve">Всего по объектам:</w:t>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3"/>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r>
    </w:p>
    <w:p>
      <w:pPr>
        <w:pStyle w:val="1"/>
        <w:jc w:val="both"/>
      </w:pPr>
      <w:r>
        <w:rPr>
          <w:sz w:val="20"/>
        </w:rPr>
        <w:t xml:space="preserve">Приложение:  документы, подтверждающие проведение (выполнение)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 20__ года</w:t>
      </w:r>
    </w:p>
    <w:p>
      <w:pPr>
        <w:pStyle w:val="0"/>
        <w:jc w:val="both"/>
      </w:pPr>
      <w:r>
        <w:rPr>
          <w:sz w:val="20"/>
        </w:rPr>
      </w:r>
    </w:p>
    <w:p>
      <w:pPr>
        <w:pStyle w:val="0"/>
        <w:outlineLvl w:val="4"/>
        <w:jc w:val="right"/>
      </w:pPr>
      <w:r>
        <w:rPr>
          <w:sz w:val="20"/>
        </w:rPr>
        <w:t xml:space="preserve">Таблица 3</w:t>
      </w:r>
    </w:p>
    <w:p>
      <w:pPr>
        <w:pStyle w:val="0"/>
        <w:jc w:val="center"/>
      </w:pPr>
      <w:r>
        <w:rPr>
          <w:sz w:val="20"/>
        </w:rPr>
      </w:r>
    </w:p>
    <w:p>
      <w:pPr>
        <w:pStyle w:val="0"/>
        <w:jc w:val="center"/>
      </w:pPr>
      <w:r>
        <w:rPr>
          <w:sz w:val="20"/>
        </w:rPr>
        <w:t xml:space="preserve">(в ред. </w:t>
      </w:r>
      <w:hyperlink w:history="0" r:id="rId29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3559" w:name="P3559"/>
    <w:bookmarkEnd w:id="3559"/>
    <w:p>
      <w:pPr>
        <w:pStyle w:val="0"/>
        <w:jc w:val="center"/>
      </w:pPr>
      <w:r>
        <w:rPr>
          <w:sz w:val="20"/>
        </w:rPr>
        <w:t xml:space="preserve">Отчет</w:t>
      </w:r>
    </w:p>
    <w:p>
      <w:pPr>
        <w:pStyle w:val="0"/>
        <w:jc w:val="center"/>
      </w:pPr>
      <w:r>
        <w:rPr>
          <w:sz w:val="20"/>
        </w:rPr>
        <w:t xml:space="preserve">о достижении АО "ОЭЗ ТВТ "Дубна" результата предоставления</w:t>
      </w:r>
    </w:p>
    <w:p>
      <w:pPr>
        <w:pStyle w:val="0"/>
        <w:jc w:val="center"/>
      </w:pPr>
      <w:r>
        <w:rPr>
          <w:sz w:val="20"/>
        </w:rPr>
        <w:t xml:space="preserve">Субсидии из бюджета Московской области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pStyle w:val="3"/>
        <w:jc w:val="both"/>
      </w:pPr>
      <w:r>
        <w:rPr>
          <w:sz w:val="20"/>
        </w:rPr>
        <w:t xml:space="preserve">┌─────┬──────────────┬────────────────────┬─────────────┬───────────┬────────────┐</w:t>
      </w:r>
    </w:p>
    <w:p>
      <w:pPr>
        <w:pStyle w:val="3"/>
        <w:jc w:val="both"/>
      </w:pPr>
      <w:r>
        <w:rPr>
          <w:sz w:val="20"/>
        </w:rPr>
        <w:t xml:space="preserve">│N п/п│Наименование  │Наименование объекта│Плановое     │Достигнутое│Информация о│</w:t>
      </w:r>
    </w:p>
    <w:p>
      <w:pPr>
        <w:pStyle w:val="3"/>
        <w:jc w:val="both"/>
      </w:pPr>
      <w:r>
        <w:rPr>
          <w:sz w:val="20"/>
        </w:rPr>
        <w:t xml:space="preserve">│     │результата    │капитального        │значение,    │значение   │выполненных │</w:t>
      </w:r>
    </w:p>
    <w:p>
      <w:pPr>
        <w:pStyle w:val="3"/>
        <w:jc w:val="both"/>
      </w:pPr>
      <w:r>
        <w:rPr>
          <w:sz w:val="20"/>
        </w:rPr>
        <w:t xml:space="preserve">│     │предоставления│строительства       │установленное│           │       3    │</w:t>
      </w:r>
    </w:p>
    <w:p>
      <w:pPr>
        <w:pStyle w:val="3"/>
        <w:jc w:val="both"/>
      </w:pPr>
      <w:r>
        <w:rPr>
          <w:sz w:val="20"/>
        </w:rPr>
        <w:t xml:space="preserve">│     │        1     │согласно проектной  │в Соглашении │           │работах     │</w:t>
      </w:r>
    </w:p>
    <w:p>
      <w:pPr>
        <w:pStyle w:val="3"/>
        <w:jc w:val="both"/>
      </w:pPr>
      <w:r>
        <w:rPr>
          <w:sz w:val="20"/>
        </w:rPr>
        <w:t xml:space="preserve">│     │субсидии      │документации и (или)│             │           │            │</w:t>
      </w:r>
    </w:p>
    <w:p>
      <w:pPr>
        <w:pStyle w:val="3"/>
        <w:jc w:val="both"/>
      </w:pPr>
      <w:r>
        <w:rPr>
          <w:sz w:val="20"/>
        </w:rPr>
        <w:t xml:space="preserve">│     │              │наименование объекта│             │           │            │</w:t>
      </w:r>
    </w:p>
    <w:p>
      <w:pPr>
        <w:pStyle w:val="3"/>
        <w:jc w:val="both"/>
      </w:pPr>
      <w:r>
        <w:rPr>
          <w:sz w:val="20"/>
        </w:rPr>
        <w:t xml:space="preserve">│     │              │недвижимого         │             │           │            │</w:t>
      </w:r>
    </w:p>
    <w:p>
      <w:pPr>
        <w:pStyle w:val="3"/>
        <w:jc w:val="both"/>
      </w:pPr>
      <w:r>
        <w:rPr>
          <w:sz w:val="20"/>
        </w:rPr>
        <w:t xml:space="preserve">│     │              │имущества согласно  │             │           │            │</w:t>
      </w:r>
    </w:p>
    <w:p>
      <w:pPr>
        <w:pStyle w:val="3"/>
        <w:jc w:val="both"/>
      </w:pPr>
      <w:r>
        <w:rPr>
          <w:sz w:val="20"/>
        </w:rPr>
        <w:t xml:space="preserve">│     │              │паспорту            │             │           │            │</w:t>
      </w:r>
    </w:p>
    <w:p>
      <w:pPr>
        <w:pStyle w:val="3"/>
        <w:jc w:val="both"/>
      </w:pPr>
      <w:r>
        <w:rPr>
          <w:sz w:val="20"/>
        </w:rPr>
        <w:t xml:space="preserve">│     │              │инвестиционного     │             │           │            │</w:t>
      </w:r>
    </w:p>
    <w:p>
      <w:pPr>
        <w:pStyle w:val="3"/>
        <w:jc w:val="both"/>
      </w:pPr>
      <w:r>
        <w:rPr>
          <w:sz w:val="20"/>
        </w:rPr>
        <w:t xml:space="preserve">│     │              │       2            │             │           │            │</w:t>
      </w:r>
    </w:p>
    <w:p>
      <w:pPr>
        <w:pStyle w:val="3"/>
        <w:jc w:val="both"/>
      </w:pPr>
      <w:r>
        <w:rPr>
          <w:sz w:val="20"/>
        </w:rPr>
        <w:t xml:space="preserve">│     │              │проекта             │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    │              │                    │             │           │            │</w:t>
      </w:r>
    </w:p>
    <w:p>
      <w:pPr>
        <w:pStyle w:val="3"/>
        <w:jc w:val="both"/>
      </w:pPr>
      <w:r>
        <w:rPr>
          <w:sz w:val="20"/>
        </w:rPr>
        <w:t xml:space="preserve">│     │              ├────────────────────┼─────────────┼───────────┼────────────┤</w:t>
      </w:r>
    </w:p>
    <w:p>
      <w:pPr>
        <w:pStyle w:val="3"/>
        <w:jc w:val="both"/>
      </w:pPr>
      <w:r>
        <w:rPr>
          <w:sz w:val="20"/>
        </w:rPr>
        <w:t xml:space="preserve">│     │              │                    │             │           │            │</w:t>
      </w:r>
    </w:p>
    <w:p>
      <w:pPr>
        <w:pStyle w:val="3"/>
        <w:jc w:val="both"/>
      </w:pPr>
      <w:r>
        <w:rPr>
          <w:sz w:val="20"/>
        </w:rPr>
        <w:t xml:space="preserve">│     │              ├────────────────────┼─────────────┼───────────┼────────────┤</w:t>
      </w:r>
    </w:p>
    <w:p>
      <w:pPr>
        <w:pStyle w:val="3"/>
        <w:jc w:val="both"/>
      </w:pPr>
      <w:r>
        <w:rPr>
          <w:sz w:val="20"/>
        </w:rPr>
        <w:t xml:space="preserve">│     │              │                    │             │           │            │</w:t>
      </w:r>
    </w:p>
    <w:p>
      <w:pPr>
        <w:pStyle w:val="3"/>
        <w:jc w:val="both"/>
      </w:pPr>
      <w:r>
        <w:rPr>
          <w:sz w:val="20"/>
        </w:rPr>
        <w:t xml:space="preserve">└─────┴──────────────┴────────────────────┴─────────────┴───────────┴────────────┘</w:t>
      </w:r>
    </w:p>
    <w:p>
      <w:pPr>
        <w:pStyle w:val="0"/>
        <w:jc w:val="both"/>
      </w:pPr>
      <w:r>
        <w:rPr>
          <w:sz w:val="20"/>
        </w:rPr>
      </w:r>
    </w:p>
    <w:p>
      <w:pPr>
        <w:pStyle w:val="1"/>
        <w:jc w:val="both"/>
      </w:pPr>
      <w:r>
        <w:rPr>
          <w:sz w:val="20"/>
        </w:rPr>
        <w:t xml:space="preserve">--------------------------------</w:t>
      </w:r>
    </w:p>
    <w:p>
      <w:pPr>
        <w:pStyle w:val="1"/>
        <w:jc w:val="both"/>
      </w:pPr>
      <w:r>
        <w:rPr>
          <w:sz w:val="20"/>
        </w:rPr>
        <w:t xml:space="preserve">1</w:t>
      </w:r>
    </w:p>
    <w:p>
      <w:pPr>
        <w:pStyle w:val="1"/>
        <w:jc w:val="both"/>
      </w:pPr>
      <w:r>
        <w:rPr>
          <w:sz w:val="20"/>
        </w:rPr>
        <w:t xml:space="preserve"> Указывается в соответствии с порядком предоставления субсидии.</w:t>
      </w:r>
    </w:p>
    <w:p>
      <w:pPr>
        <w:pStyle w:val="1"/>
        <w:jc w:val="both"/>
      </w:pPr>
      <w:r>
        <w:rPr>
          <w:sz w:val="20"/>
        </w:rPr>
        <w:t xml:space="preserve">2</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t xml:space="preserve">3</w:t>
      </w:r>
    </w:p>
    <w:p>
      <w:pPr>
        <w:pStyle w:val="1"/>
        <w:jc w:val="both"/>
      </w:pPr>
      <w:r>
        <w:rPr>
          <w:sz w:val="20"/>
        </w:rPr>
        <w:t xml:space="preserve"> Указывается  процент строительной  готовности объекта с указанием краткого</w:t>
      </w:r>
    </w:p>
    <w:p>
      <w:pPr>
        <w:pStyle w:val="1"/>
        <w:jc w:val="both"/>
      </w:pPr>
      <w:r>
        <w:rPr>
          <w:sz w:val="20"/>
        </w:rPr>
        <w:t xml:space="preserve">описания работ, услуг, заключенных контрактов.</w:t>
      </w:r>
    </w:p>
    <w:p>
      <w:pPr>
        <w:pStyle w:val="1"/>
        <w:jc w:val="both"/>
      </w:pPr>
      <w:r>
        <w:rPr>
          <w:sz w:val="20"/>
        </w:rPr>
      </w:r>
    </w:p>
    <w:p>
      <w:pPr>
        <w:pStyle w:val="1"/>
        <w:jc w:val="both"/>
      </w:pPr>
      <w:r>
        <w:rPr>
          <w:sz w:val="20"/>
        </w:rPr>
        <w:t xml:space="preserve">Приложение:  документы, подтверждающие проведение (выполнение)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 20__ года</w:t>
      </w:r>
    </w:p>
    <w:p>
      <w:pPr>
        <w:pStyle w:val="0"/>
        <w:jc w:val="both"/>
      </w:pPr>
      <w:r>
        <w:rPr>
          <w:sz w:val="20"/>
        </w:rPr>
      </w:r>
    </w:p>
    <w:p>
      <w:pPr>
        <w:pStyle w:val="2"/>
        <w:outlineLvl w:val="3"/>
        <w:jc w:val="center"/>
      </w:pPr>
      <w:r>
        <w:rPr>
          <w:sz w:val="20"/>
        </w:rPr>
        <w:t xml:space="preserve">5.3.4. Порядок предоставления из бюджета Московской области</w:t>
      </w:r>
    </w:p>
    <w:p>
      <w:pPr>
        <w:pStyle w:val="2"/>
        <w:jc w:val="center"/>
      </w:pPr>
      <w:r>
        <w:rPr>
          <w:sz w:val="20"/>
        </w:rPr>
        <w:t xml:space="preserve">субсидий юридическим лицам (за исключением субсидий</w:t>
      </w:r>
    </w:p>
    <w:p>
      <w:pPr>
        <w:pStyle w:val="2"/>
        <w:jc w:val="center"/>
      </w:pPr>
      <w:r>
        <w:rPr>
          <w:sz w:val="20"/>
        </w:rPr>
        <w:t xml:space="preserve">государственным (муниципальным) учреждениям) в рамках</w:t>
      </w:r>
    </w:p>
    <w:p>
      <w:pPr>
        <w:pStyle w:val="2"/>
        <w:jc w:val="center"/>
      </w:pPr>
      <w:r>
        <w:rPr>
          <w:sz w:val="20"/>
        </w:rPr>
        <w:t xml:space="preserve">реализации мероприятия 05.03 "Возмещение части затрат</w:t>
      </w:r>
    </w:p>
    <w:p>
      <w:pPr>
        <w:pStyle w:val="2"/>
        <w:jc w:val="center"/>
      </w:pPr>
      <w:r>
        <w:rPr>
          <w:sz w:val="20"/>
        </w:rPr>
        <w:t xml:space="preserve">юридических лиц на создание объектов инженерной</w:t>
      </w:r>
    </w:p>
    <w:p>
      <w:pPr>
        <w:pStyle w:val="2"/>
        <w:jc w:val="center"/>
      </w:pPr>
      <w:r>
        <w:rPr>
          <w:sz w:val="20"/>
        </w:rPr>
        <w:t xml:space="preserve">и транспортной инфраструктуры для новых промышленных</w:t>
      </w:r>
    </w:p>
    <w:p>
      <w:pPr>
        <w:pStyle w:val="2"/>
        <w:jc w:val="center"/>
      </w:pPr>
      <w:r>
        <w:rPr>
          <w:sz w:val="20"/>
        </w:rPr>
        <w:t xml:space="preserve">предприятий и (или) для увеличивших производственные</w:t>
      </w:r>
    </w:p>
    <w:p>
      <w:pPr>
        <w:pStyle w:val="2"/>
        <w:jc w:val="center"/>
      </w:pPr>
      <w:r>
        <w:rPr>
          <w:sz w:val="20"/>
        </w:rPr>
        <w:t xml:space="preserve">мощности существующих промышленных предприятий" Подпрограммы</w:t>
      </w:r>
    </w:p>
    <w:p>
      <w:pPr>
        <w:pStyle w:val="2"/>
        <w:jc w:val="center"/>
      </w:pPr>
      <w:r>
        <w:rPr>
          <w:sz w:val="20"/>
        </w:rPr>
        <w:t xml:space="preserve">1 государственной программы"</w:t>
      </w:r>
    </w:p>
    <w:p>
      <w:pPr>
        <w:pStyle w:val="0"/>
        <w:jc w:val="center"/>
      </w:pPr>
      <w:r>
        <w:rPr>
          <w:sz w:val="20"/>
        </w:rPr>
      </w:r>
    </w:p>
    <w:p>
      <w:pPr>
        <w:pStyle w:val="0"/>
        <w:jc w:val="center"/>
      </w:pPr>
      <w:r>
        <w:rPr>
          <w:sz w:val="20"/>
        </w:rPr>
        <w:t xml:space="preserve">(в ред. </w:t>
      </w:r>
      <w:hyperlink w:history="0" r:id="rId299"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в рамках реализации </w:t>
      </w:r>
      <w:hyperlink w:history="0" w:anchor="P1836" w:tooltip="Мероприятие 05.03. Возмещение части затрат юридических лиц на создание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
        <w:r>
          <w:rPr>
            <w:sz w:val="20"/>
            <w:color w:val="0000ff"/>
          </w:rPr>
          <w:t xml:space="preserve">мероприятия 05.03</w:t>
        </w:r>
      </w:hyperlink>
      <w:r>
        <w:rPr>
          <w:sz w:val="20"/>
        </w:rPr>
        <w:t xml:space="preserve"> "Возмещение части затрат юридических лиц на создание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 Подпрограммы 1 государственной программы" (далее соответственно - Порядок, субсидия) разработан в соответствии со </w:t>
      </w:r>
      <w:hyperlink w:history="0" r:id="rId3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30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субсидий;</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новое промышленное предприятие (промышленное предприятие) - созданные (построенные) и (или) реконструированные объекты капитального строительства, имеющие разрешение на строительство и (или) на реконструкцию и разрешение на ввод в эксплуатацию объекта производственного назначения, введенные в эксплуатацию не ранее 2022 года;</w:t>
      </w:r>
    </w:p>
    <w:p>
      <w:pPr>
        <w:pStyle w:val="0"/>
        <w:spacing w:before="200" w:line-rule="auto"/>
        <w:ind w:firstLine="540"/>
        <w:jc w:val="both"/>
      </w:pPr>
      <w:r>
        <w:rPr>
          <w:sz w:val="20"/>
        </w:rPr>
        <w:t xml:space="preserve">увеличение производственных мощностей - расширение производства промышленных предприятий путем:</w:t>
      </w:r>
    </w:p>
    <w:p>
      <w:pPr>
        <w:pStyle w:val="0"/>
        <w:spacing w:before="200" w:line-rule="auto"/>
        <w:ind w:firstLine="540"/>
        <w:jc w:val="both"/>
      </w:pPr>
      <w:r>
        <w:rPr>
          <w:sz w:val="20"/>
        </w:rPr>
        <w:t xml:space="preserve">создания (строительства) и (или) реконструкции и ввода в эксплуатацию промышленного предприятия не ранее 2022 года в соответствии с критериями, установленными </w:t>
      </w:r>
      <w:hyperlink w:history="0" w:anchor="P3671" w:tooltip="в объеме не менее 100 млн рублей для юридических лиц, указанных в абзаце втором пункта 9 Порядка;">
        <w:r>
          <w:rPr>
            <w:sz w:val="20"/>
            <w:color w:val="0000ff"/>
          </w:rPr>
          <w:t xml:space="preserve">абзацами третьим</w:t>
        </w:r>
      </w:hyperlink>
      <w:r>
        <w:rPr>
          <w:sz w:val="20"/>
        </w:rPr>
        <w:t xml:space="preserve"> и </w:t>
      </w:r>
      <w:hyperlink w:history="0" w:anchor="P3672" w:tooltip="в объеме не менее 50 млн рублей для юридических лиц, указанных в абзаце третьем пункта 9 Порядка;">
        <w:r>
          <w:rPr>
            <w:sz w:val="20"/>
            <w:color w:val="0000ff"/>
          </w:rPr>
          <w:t xml:space="preserve">четвертым подпункта 2 пункта 9</w:t>
        </w:r>
      </w:hyperlink>
      <w:r>
        <w:rPr>
          <w:sz w:val="20"/>
        </w:rPr>
        <w:t xml:space="preserve"> настоящего Порядка;</w:t>
      </w:r>
    </w:p>
    <w:p>
      <w:pPr>
        <w:pStyle w:val="0"/>
        <w:spacing w:before="200" w:line-rule="auto"/>
        <w:ind w:firstLine="540"/>
        <w:jc w:val="both"/>
      </w:pPr>
      <w:r>
        <w:rPr>
          <w:sz w:val="20"/>
        </w:rPr>
        <w:t xml:space="preserve">увеличения максимально возможного выпуска продукции посредством закупки не ранее 2022 года производственного оборудования для объекта производственного назначения, в соответствии с критериями, установленными </w:t>
      </w:r>
      <w:hyperlink w:history="0" w:anchor="P3674" w:tooltip="в объеме не менее 1 млрд рублей для юридических лиц, указанных в абзаце втором пункта 9 Порядка;">
        <w:r>
          <w:rPr>
            <w:sz w:val="20"/>
            <w:color w:val="0000ff"/>
          </w:rPr>
          <w:t xml:space="preserve">абзацами шестым</w:t>
        </w:r>
      </w:hyperlink>
      <w:r>
        <w:rPr>
          <w:sz w:val="20"/>
        </w:rPr>
        <w:t xml:space="preserve"> и </w:t>
      </w:r>
      <w:hyperlink w:history="0" w:anchor="P3675" w:tooltip="в объеме не менее 700 млн рублей для юридических лиц, указанных в абзаце третьем пункта 9 Порядка;">
        <w:r>
          <w:rPr>
            <w:sz w:val="20"/>
            <w:color w:val="0000ff"/>
          </w:rPr>
          <w:t xml:space="preserve">седьмым подпункта 2 пункта 9</w:t>
        </w:r>
      </w:hyperlink>
      <w:r>
        <w:rPr>
          <w:sz w:val="20"/>
        </w:rPr>
        <w:t xml:space="preserve"> настоящего Порядка;</w:t>
      </w:r>
    </w:p>
    <w:p>
      <w:pPr>
        <w:pStyle w:val="0"/>
        <w:spacing w:before="200" w:line-rule="auto"/>
        <w:ind w:firstLine="540"/>
        <w:jc w:val="both"/>
      </w:pPr>
      <w:r>
        <w:rPr>
          <w:sz w:val="20"/>
        </w:rPr>
        <w:t xml:space="preserve">объект производственного назначения - предназначенное для промышленного производства здание и (или) сооружение объекта капитального строительства, на создание (строительство) и (или) реконструкцию которого составлен проект и который введен в эксплуатацию не ранее 2022 года;</w:t>
      </w:r>
    </w:p>
    <w:p>
      <w:pPr>
        <w:pStyle w:val="0"/>
        <w:spacing w:before="200" w:line-rule="auto"/>
        <w:ind w:firstLine="540"/>
        <w:jc w:val="both"/>
      </w:pPr>
      <w:r>
        <w:rPr>
          <w:sz w:val="20"/>
        </w:rPr>
        <w:t xml:space="preserve">объекты инженерной инфраструктуры - объекты газо-, электро-, тепло-, водоснабжения, газораспределения, водоотведения, канализации, ВЗС, а также ЛОС, созданные (построенные) и (или) реконструированные для нужд новых промышленных предприятий и увеличенных производственных мощностей существующих промышленных предприятий, расположенных на территории Московской области, в том числе правомерно находящиеся как в пределах земельного участка, на котором расположен объект капитального строительства, на возмещение затрат по созданию (реконструкции) объектов инженерной инфраструктуры которых предоставляется субсидия, так и за его пределами;</w:t>
      </w:r>
    </w:p>
    <w:p>
      <w:pPr>
        <w:pStyle w:val="0"/>
        <w:spacing w:before="200" w:line-rule="auto"/>
        <w:ind w:firstLine="540"/>
        <w:jc w:val="both"/>
      </w:pPr>
      <w:r>
        <w:rPr>
          <w:sz w:val="20"/>
        </w:rPr>
        <w:t xml:space="preserve">транспортная инфраструктура - совокупность объектов недвижимого имущества, в том числе автомобильных дорог, искусственных дорожных сооружений и железнодорожных путей, предназначенных для обеспечения движения транспортных средств на территории новых промышленных предприятий и увеличивших производственные мощности существующих промышленных предприятий, расположенных на территории Московской области;</w:t>
      </w:r>
    </w:p>
    <w:p>
      <w:pPr>
        <w:pStyle w:val="0"/>
        <w:spacing w:before="200" w:line-rule="auto"/>
        <w:ind w:firstLine="540"/>
        <w:jc w:val="both"/>
      </w:pPr>
      <w:r>
        <w:rPr>
          <w:sz w:val="20"/>
        </w:rPr>
        <w:t xml:space="preserve">рабочие места - рабочие места новых промышленных предприятий и (или) увеличивших производственные мощности существующих промышленных предприятий (утвержденные штатным расписанием), которые замещаются работниками, включенными в списочную численность, внешними совместителями и работниками, выполнявшими работы по договорам гражданско-правового характера.</w:t>
      </w:r>
    </w:p>
    <w:p>
      <w:pPr>
        <w:pStyle w:val="0"/>
        <w:spacing w:before="200" w:line-rule="auto"/>
        <w:ind w:firstLine="540"/>
        <w:jc w:val="both"/>
      </w:pPr>
      <w:r>
        <w:rPr>
          <w:sz w:val="20"/>
        </w:rPr>
        <w:t xml:space="preserve">Иные термины и понятия, используемые для целей настоящего Порядка, применяются в значениях, установленных законодательством Российской Федерации и законодательством Московской области.</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3646" w:tooltip="5. Целью предоставления субсидии является возмещение затрат получателя субсидии, понесенных на создание (строительство) и (или) реконструкцию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 (или) увеличивших производственные мощности существующих промышленных предприятий на территории Московской области.">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3646" w:name="P3646"/>
    <w:bookmarkEnd w:id="3646"/>
    <w:p>
      <w:pPr>
        <w:pStyle w:val="0"/>
        <w:spacing w:before="200" w:line-rule="auto"/>
        <w:ind w:firstLine="540"/>
        <w:jc w:val="both"/>
      </w:pPr>
      <w:r>
        <w:rPr>
          <w:sz w:val="20"/>
        </w:rPr>
        <w:t xml:space="preserve">5. Целью предоставления субсидии является возмещение затрат получателя субсидии, понесенных на создание (строительство) и (или) реконструкцию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 (или) увеличивших производственные мощности существующих промышленных предприятий на территории Московской области.</w:t>
      </w:r>
    </w:p>
    <w:p>
      <w:pPr>
        <w:pStyle w:val="0"/>
        <w:spacing w:before="200" w:line-rule="auto"/>
        <w:ind w:firstLine="540"/>
        <w:jc w:val="both"/>
      </w:pPr>
      <w:r>
        <w:rPr>
          <w:sz w:val="20"/>
        </w:rPr>
        <w:t xml:space="preserve">Возмещению подлежат затраты, понесенные юридическим лицом за период, включающий:</w:t>
      </w:r>
    </w:p>
    <w:p>
      <w:pPr>
        <w:pStyle w:val="0"/>
        <w:spacing w:before="200" w:line-rule="auto"/>
        <w:ind w:firstLine="540"/>
        <w:jc w:val="both"/>
      </w:pPr>
      <w:r>
        <w:rPr>
          <w:sz w:val="20"/>
        </w:rPr>
        <w:t xml:space="preserve">три года, предшествующих году увеличения производственных мощностей объекта производственного назначения и (или) ввода в эксплуатацию объекта капитального строительства производственного назначения;</w:t>
      </w:r>
    </w:p>
    <w:p>
      <w:pPr>
        <w:pStyle w:val="0"/>
        <w:spacing w:before="200" w:line-rule="auto"/>
        <w:ind w:firstLine="540"/>
        <w:jc w:val="both"/>
      </w:pPr>
      <w:r>
        <w:rPr>
          <w:sz w:val="20"/>
        </w:rPr>
        <w:t xml:space="preserve">год увеличения производственных мощностей объекта производственного назначения и (или) ввода в эксплуатацию объекта капитального строительства производственного назначения;</w:t>
      </w:r>
    </w:p>
    <w:p>
      <w:pPr>
        <w:pStyle w:val="0"/>
        <w:spacing w:before="200" w:line-rule="auto"/>
        <w:ind w:firstLine="540"/>
        <w:jc w:val="both"/>
      </w:pPr>
      <w:r>
        <w:rPr>
          <w:sz w:val="20"/>
        </w:rPr>
        <w:t xml:space="preserve">три года, следующих за годом увеличения производственных мощностей объекта производственного назначения и (или) ввода в эксплуатацию объекта капитального строительства производственного назначения (но не позднее даты подачи заявки на предоставление субсидии).</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bookmarkStart w:id="3658" w:name="P3658"/>
    <w:bookmarkEnd w:id="3658"/>
    <w:p>
      <w:pPr>
        <w:pStyle w:val="0"/>
        <w:spacing w:before="200" w:line-rule="auto"/>
        <w:ind w:firstLine="540"/>
        <w:jc w:val="both"/>
      </w:pPr>
      <w:r>
        <w:rPr>
          <w:sz w:val="20"/>
        </w:rPr>
        <w:t xml:space="preserve">9. Категория отбора:</w:t>
      </w:r>
    </w:p>
    <w:bookmarkStart w:id="3659" w:name="P3659"/>
    <w:bookmarkEnd w:id="3659"/>
    <w:p>
      <w:pPr>
        <w:pStyle w:val="0"/>
        <w:spacing w:before="200" w:line-rule="auto"/>
        <w:ind w:firstLine="540"/>
        <w:jc w:val="both"/>
      </w:pPr>
      <w:r>
        <w:rPr>
          <w:sz w:val="20"/>
        </w:rPr>
        <w:t xml:space="preserve">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Московской области (за исключением территорий муниципальных образований Московской области, </w:t>
      </w:r>
      <w:hyperlink w:history="0" r:id="rId302"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перечень</w:t>
        </w:r>
      </w:hyperlink>
      <w:r>
        <w:rPr>
          <w:sz w:val="20"/>
        </w:rPr>
        <w:t xml:space="preserve"> которых указан в приложении 8 к Закону N 151/2004-ОЗ);</w:t>
      </w:r>
    </w:p>
    <w:bookmarkStart w:id="3660" w:name="P3660"/>
    <w:bookmarkEnd w:id="3660"/>
    <w:p>
      <w:pPr>
        <w:pStyle w:val="0"/>
        <w:spacing w:before="200" w:line-rule="auto"/>
        <w:ind w:firstLine="540"/>
        <w:jc w:val="both"/>
      </w:pPr>
      <w:r>
        <w:rPr>
          <w:sz w:val="20"/>
        </w:rPr>
        <w:t xml:space="preserve">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одного из муниципальных образований Московской области, </w:t>
      </w:r>
      <w:hyperlink w:history="0" r:id="rId303"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перечень</w:t>
        </w:r>
      </w:hyperlink>
      <w:r>
        <w:rPr>
          <w:sz w:val="20"/>
        </w:rPr>
        <w:t xml:space="preserve"> которых указан в приложении 8 к Закону N 151/2004-ОЗ.</w:t>
      </w:r>
    </w:p>
    <w:p>
      <w:pPr>
        <w:pStyle w:val="0"/>
        <w:spacing w:before="200" w:line-rule="auto"/>
        <w:ind w:firstLine="540"/>
        <w:jc w:val="both"/>
      </w:pPr>
      <w:r>
        <w:rPr>
          <w:sz w:val="20"/>
        </w:rPr>
        <w:t xml:space="preserve">Субсидия не предоставляется:</w:t>
      </w:r>
    </w:p>
    <w:p>
      <w:pPr>
        <w:pStyle w:val="0"/>
        <w:spacing w:before="200" w:line-rule="auto"/>
        <w:ind w:firstLine="540"/>
        <w:jc w:val="both"/>
      </w:pPr>
      <w:r>
        <w:rPr>
          <w:sz w:val="20"/>
        </w:rPr>
        <w:t xml:space="preserve">субъектам деятельности в сфере промышленности ядерного оружейного комплекса;</w:t>
      </w:r>
    </w:p>
    <w:p>
      <w:pPr>
        <w:pStyle w:val="0"/>
        <w:spacing w:before="200" w:line-rule="auto"/>
        <w:ind w:firstLine="540"/>
        <w:jc w:val="both"/>
      </w:pPr>
      <w:r>
        <w:rPr>
          <w:sz w:val="20"/>
        </w:rPr>
        <w:t xml:space="preserve">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pPr>
        <w:pStyle w:val="0"/>
        <w:spacing w:before="200" w:line-rule="auto"/>
        <w:ind w:firstLine="540"/>
        <w:jc w:val="both"/>
      </w:pPr>
      <w:r>
        <w:rPr>
          <w:sz w:val="20"/>
        </w:rPr>
        <w:t xml:space="preserve">государственным корпорациям и государственным компаниям и их дочерним хозяйствующим субъектам.</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1) соблюдение одного из следующих условий:</w:t>
      </w:r>
    </w:p>
    <w:p>
      <w:pPr>
        <w:pStyle w:val="0"/>
        <w:spacing w:before="200" w:line-rule="auto"/>
        <w:ind w:firstLine="540"/>
        <w:jc w:val="both"/>
      </w:pPr>
      <w:r>
        <w:rPr>
          <w:sz w:val="20"/>
        </w:rPr>
        <w:t xml:space="preserve">регистрация на территории Московской области в качестве юридического лица, а также осуществление деятельности в сфере обрабатывающего производства на территории Московской области;</w:t>
      </w:r>
    </w:p>
    <w:p>
      <w:pPr>
        <w:pStyle w:val="0"/>
        <w:spacing w:before="200" w:line-rule="auto"/>
        <w:ind w:firstLine="540"/>
        <w:jc w:val="both"/>
      </w:pPr>
      <w:r>
        <w:rPr>
          <w:sz w:val="20"/>
        </w:rPr>
        <w:t xml:space="preserve">постановка на учет в налоговых органах на территории Московской области в качестве обособленного подразделения организации, осуществляющей деятельность в сфере обрабатывающего производства на территории Московской области посредством указанного обособленного подразделения;</w:t>
      </w:r>
    </w:p>
    <w:p>
      <w:pPr>
        <w:pStyle w:val="0"/>
        <w:spacing w:before="200" w:line-rule="auto"/>
        <w:ind w:firstLine="540"/>
        <w:jc w:val="both"/>
      </w:pPr>
      <w:r>
        <w:rPr>
          <w:sz w:val="20"/>
        </w:rPr>
        <w:t xml:space="preserve">2) соблюдение одного из следующих условий:</w:t>
      </w:r>
    </w:p>
    <w:p>
      <w:pPr>
        <w:pStyle w:val="0"/>
        <w:spacing w:before="200" w:line-rule="auto"/>
        <w:ind w:firstLine="540"/>
        <w:jc w:val="both"/>
      </w:pPr>
      <w:r>
        <w:rPr>
          <w:sz w:val="20"/>
        </w:rPr>
        <w:t xml:space="preserve">вложение инвестиций на строительство и (или) реконструкцию нового промышленного предприятия или увеличение производственных мощностей существующего промышленного предприятия:</w:t>
      </w:r>
    </w:p>
    <w:bookmarkStart w:id="3671" w:name="P3671"/>
    <w:bookmarkEnd w:id="3671"/>
    <w:p>
      <w:pPr>
        <w:pStyle w:val="0"/>
        <w:spacing w:before="200" w:line-rule="auto"/>
        <w:ind w:firstLine="540"/>
        <w:jc w:val="both"/>
      </w:pPr>
      <w:r>
        <w:rPr>
          <w:sz w:val="20"/>
        </w:rPr>
        <w:t xml:space="preserve">в объеме не менее 100 млн рублей для юридических лиц, указанных в </w:t>
      </w:r>
      <w:hyperlink w:history="0" w:anchor="P3659"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Московской области (за искл...">
        <w:r>
          <w:rPr>
            <w:sz w:val="20"/>
            <w:color w:val="0000ff"/>
          </w:rPr>
          <w:t xml:space="preserve">абзаце втором пункта 9</w:t>
        </w:r>
      </w:hyperlink>
      <w:r>
        <w:rPr>
          <w:sz w:val="20"/>
        </w:rPr>
        <w:t xml:space="preserve"> Порядка;</w:t>
      </w:r>
    </w:p>
    <w:bookmarkStart w:id="3672" w:name="P3672"/>
    <w:bookmarkEnd w:id="3672"/>
    <w:p>
      <w:pPr>
        <w:pStyle w:val="0"/>
        <w:spacing w:before="200" w:line-rule="auto"/>
        <w:ind w:firstLine="540"/>
        <w:jc w:val="both"/>
      </w:pPr>
      <w:r>
        <w:rPr>
          <w:sz w:val="20"/>
        </w:rPr>
        <w:t xml:space="preserve">в объеме не менее 50 млн рублей для юридических лиц, указанных в </w:t>
      </w:r>
      <w:hyperlink w:history="0" w:anchor="P3660"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одного из муниципальных обр...">
        <w:r>
          <w:rPr>
            <w:sz w:val="20"/>
            <w:color w:val="0000ff"/>
          </w:rPr>
          <w:t xml:space="preserve">абзаце третьем пункта 9</w:t>
        </w:r>
      </w:hyperlink>
      <w:r>
        <w:rPr>
          <w:sz w:val="20"/>
        </w:rPr>
        <w:t xml:space="preserve"> Порядка;</w:t>
      </w:r>
    </w:p>
    <w:p>
      <w:pPr>
        <w:pStyle w:val="0"/>
        <w:spacing w:before="200" w:line-rule="auto"/>
        <w:ind w:firstLine="540"/>
        <w:jc w:val="both"/>
      </w:pPr>
      <w:r>
        <w:rPr>
          <w:sz w:val="20"/>
        </w:rPr>
        <w:t xml:space="preserve">вложение инвестиций при увеличении производственных мощностей объекта производственного назначения существующего промышленного предприятия без ввода в эксплуатацию посредством закупки производственного оборудования в целях увеличения максимально возможного выпуска продукции:</w:t>
      </w:r>
    </w:p>
    <w:bookmarkStart w:id="3674" w:name="P3674"/>
    <w:bookmarkEnd w:id="3674"/>
    <w:p>
      <w:pPr>
        <w:pStyle w:val="0"/>
        <w:spacing w:before="200" w:line-rule="auto"/>
        <w:ind w:firstLine="540"/>
        <w:jc w:val="both"/>
      </w:pPr>
      <w:r>
        <w:rPr>
          <w:sz w:val="20"/>
        </w:rPr>
        <w:t xml:space="preserve">в объеме не менее 1 млрд рублей для юридических лиц, указанных в </w:t>
      </w:r>
      <w:hyperlink w:history="0" w:anchor="P3659"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Московской области (за искл...">
        <w:r>
          <w:rPr>
            <w:sz w:val="20"/>
            <w:color w:val="0000ff"/>
          </w:rPr>
          <w:t xml:space="preserve">абзаце втором пункта 9</w:t>
        </w:r>
      </w:hyperlink>
      <w:r>
        <w:rPr>
          <w:sz w:val="20"/>
        </w:rPr>
        <w:t xml:space="preserve"> Порядка;</w:t>
      </w:r>
    </w:p>
    <w:bookmarkStart w:id="3675" w:name="P3675"/>
    <w:bookmarkEnd w:id="3675"/>
    <w:p>
      <w:pPr>
        <w:pStyle w:val="0"/>
        <w:spacing w:before="200" w:line-rule="auto"/>
        <w:ind w:firstLine="540"/>
        <w:jc w:val="both"/>
      </w:pPr>
      <w:r>
        <w:rPr>
          <w:sz w:val="20"/>
        </w:rPr>
        <w:t xml:space="preserve">в объеме не менее 700 млн рублей для юридических лиц, указанных в </w:t>
      </w:r>
      <w:hyperlink w:history="0" w:anchor="P3660"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одного из муниципальных обр...">
        <w:r>
          <w:rPr>
            <w:sz w:val="20"/>
            <w:color w:val="0000ff"/>
          </w:rPr>
          <w:t xml:space="preserve">абзаце третьем пункта 9</w:t>
        </w:r>
      </w:hyperlink>
      <w:r>
        <w:rPr>
          <w:sz w:val="20"/>
        </w:rPr>
        <w:t xml:space="preserve"> Порядка;</w:t>
      </w:r>
    </w:p>
    <w:p>
      <w:pPr>
        <w:pStyle w:val="0"/>
        <w:spacing w:before="200" w:line-rule="auto"/>
        <w:ind w:firstLine="540"/>
        <w:jc w:val="both"/>
      </w:pPr>
      <w:r>
        <w:rPr>
          <w:sz w:val="20"/>
        </w:rPr>
        <w:t xml:space="preserve">3) ввод в эксплуатацию расположенного на территории Московской области объекта производственного назначения и (или) увеличившего производственные мощности существующего промышленного предприятия не ранее 2022 года;</w:t>
      </w:r>
    </w:p>
    <w:p>
      <w:pPr>
        <w:pStyle w:val="0"/>
        <w:spacing w:before="200" w:line-rule="auto"/>
        <w:ind w:firstLine="540"/>
        <w:jc w:val="both"/>
      </w:pPr>
      <w:r>
        <w:rPr>
          <w:sz w:val="20"/>
        </w:rPr>
        <w:t xml:space="preserve">4) подключение (технологическое присоединение) к сетям инженерно-технического обеспечения и (или) увеличение их технологических мощностей по договорам, заключенным с ресурсоснабжающими организациями, и (или) транспортным сетям, строительство и подключение (технологическое присоединение) ЛОС, ВЗС и котельных;</w:t>
      </w:r>
    </w:p>
    <w:p>
      <w:pPr>
        <w:pStyle w:val="0"/>
        <w:spacing w:before="200" w:line-rule="auto"/>
        <w:ind w:firstLine="540"/>
        <w:jc w:val="both"/>
      </w:pPr>
      <w:r>
        <w:rPr>
          <w:sz w:val="20"/>
        </w:rPr>
        <w:t xml:space="preserve">5) ведение основного вида деятельности в соответствии с </w:t>
      </w:r>
      <w:hyperlink w:history="0" r:id="rId30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разделом "C"</w:t>
        </w:r>
      </w:hyperlink>
      <w:r>
        <w:rPr>
          <w:sz w:val="20"/>
        </w:rPr>
        <w:t xml:space="preserve"> ОКВЭД (за исключением классов 12, 18, 19, 33 и группы 11.01);</w:t>
      </w:r>
    </w:p>
    <w:p>
      <w:pPr>
        <w:pStyle w:val="0"/>
        <w:spacing w:before="200" w:line-rule="auto"/>
        <w:ind w:firstLine="540"/>
        <w:jc w:val="both"/>
      </w:pPr>
      <w:r>
        <w:rPr>
          <w:sz w:val="20"/>
        </w:rPr>
        <w:t xml:space="preserve">6) созданы рабочие места:</w:t>
      </w:r>
    </w:p>
    <w:p>
      <w:pPr>
        <w:pStyle w:val="0"/>
        <w:spacing w:before="200" w:line-rule="auto"/>
        <w:ind w:firstLine="540"/>
        <w:jc w:val="both"/>
      </w:pPr>
      <w:r>
        <w:rPr>
          <w:sz w:val="20"/>
        </w:rPr>
        <w:t xml:space="preserve">для категорий лиц, указанных в </w:t>
      </w:r>
      <w:hyperlink w:history="0" w:anchor="P3659"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Московской области (за искл...">
        <w:r>
          <w:rPr>
            <w:sz w:val="20"/>
            <w:color w:val="0000ff"/>
          </w:rPr>
          <w:t xml:space="preserve">абзаце втором пункта 9</w:t>
        </w:r>
      </w:hyperlink>
      <w:r>
        <w:rPr>
          <w:sz w:val="20"/>
        </w:rPr>
        <w:t xml:space="preserve"> Порядка:</w:t>
      </w:r>
    </w:p>
    <w:p>
      <w:pPr>
        <w:pStyle w:val="0"/>
        <w:spacing w:before="200" w:line-rule="auto"/>
        <w:ind w:firstLine="540"/>
        <w:jc w:val="both"/>
      </w:pPr>
      <w:r>
        <w:rPr>
          <w:sz w:val="20"/>
        </w:rPr>
        <w:t xml:space="preserve">при инвестировании от 100 млн рублей - создано не менее 50 рабочих мест;</w:t>
      </w:r>
    </w:p>
    <w:p>
      <w:pPr>
        <w:pStyle w:val="0"/>
        <w:spacing w:before="200" w:line-rule="auto"/>
        <w:ind w:firstLine="540"/>
        <w:jc w:val="both"/>
      </w:pPr>
      <w:r>
        <w:rPr>
          <w:sz w:val="20"/>
        </w:rPr>
        <w:t xml:space="preserve">при инвестировании от 1 млрд рублей - создано не менее 70 рабочих мест;</w:t>
      </w:r>
    </w:p>
    <w:p>
      <w:pPr>
        <w:pStyle w:val="0"/>
        <w:spacing w:before="200" w:line-rule="auto"/>
        <w:ind w:firstLine="540"/>
        <w:jc w:val="both"/>
      </w:pPr>
      <w:r>
        <w:rPr>
          <w:sz w:val="20"/>
        </w:rPr>
        <w:t xml:space="preserve">при инвестировании от 5 млрд рублей - создано не менее 130 рабочих мест;</w:t>
      </w:r>
    </w:p>
    <w:p>
      <w:pPr>
        <w:pStyle w:val="0"/>
        <w:spacing w:before="200" w:line-rule="auto"/>
        <w:ind w:firstLine="540"/>
        <w:jc w:val="both"/>
      </w:pPr>
      <w:r>
        <w:rPr>
          <w:sz w:val="20"/>
        </w:rPr>
        <w:t xml:space="preserve">для категорий лиц, указанных в </w:t>
      </w:r>
      <w:hyperlink w:history="0" w:anchor="P3660"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одного из муниципальных обр...">
        <w:r>
          <w:rPr>
            <w:sz w:val="20"/>
            <w:color w:val="0000ff"/>
          </w:rPr>
          <w:t xml:space="preserve">абзаце третьем пункта 9</w:t>
        </w:r>
      </w:hyperlink>
      <w:r>
        <w:rPr>
          <w:sz w:val="20"/>
        </w:rPr>
        <w:t xml:space="preserve"> Порядка:</w:t>
      </w:r>
    </w:p>
    <w:p>
      <w:pPr>
        <w:pStyle w:val="0"/>
        <w:spacing w:before="200" w:line-rule="auto"/>
        <w:ind w:firstLine="540"/>
        <w:jc w:val="both"/>
      </w:pPr>
      <w:r>
        <w:rPr>
          <w:sz w:val="20"/>
        </w:rPr>
        <w:t xml:space="preserve">при инвестировании от 50 млн рублей - создано не менее 30 рабочих мест;</w:t>
      </w:r>
    </w:p>
    <w:p>
      <w:pPr>
        <w:pStyle w:val="0"/>
        <w:spacing w:before="200" w:line-rule="auto"/>
        <w:ind w:firstLine="540"/>
        <w:jc w:val="both"/>
      </w:pPr>
      <w:r>
        <w:rPr>
          <w:sz w:val="20"/>
        </w:rPr>
        <w:t xml:space="preserve">при инвестировании от 700 млн рублей - создано не менее 50 рабочих мест;</w:t>
      </w:r>
    </w:p>
    <w:p>
      <w:pPr>
        <w:pStyle w:val="0"/>
        <w:spacing w:before="200" w:line-rule="auto"/>
        <w:ind w:firstLine="540"/>
        <w:jc w:val="both"/>
      </w:pPr>
      <w:r>
        <w:rPr>
          <w:sz w:val="20"/>
        </w:rPr>
        <w:t xml:space="preserve">при инвестировании от 5 млрд рублей - создано не менее 100 рабочих мест.</w:t>
      </w:r>
    </w:p>
    <w:p>
      <w:pPr>
        <w:pStyle w:val="0"/>
        <w:spacing w:before="200" w:line-rule="auto"/>
        <w:ind w:firstLine="540"/>
        <w:jc w:val="both"/>
      </w:pPr>
      <w:r>
        <w:rPr>
          <w:sz w:val="20"/>
        </w:rPr>
        <w:t xml:space="preserve">В целях проведения отбора Мининвестом Московской области издается приказ Мининвеста Московской области о проведении отбора (далее - приказ о проведении отбора), в котором устанавливается:</w:t>
      </w:r>
    </w:p>
    <w:p>
      <w:pPr>
        <w:pStyle w:val="0"/>
        <w:spacing w:before="200" w:line-rule="auto"/>
        <w:ind w:firstLine="540"/>
        <w:jc w:val="both"/>
      </w:pPr>
      <w:r>
        <w:rPr>
          <w:sz w:val="20"/>
        </w:rPr>
        <w:t xml:space="preserve">дата и время начала (окончания) подачи (приема) заявок участниками отбора (далее - заявки);</w:t>
      </w:r>
    </w:p>
    <w:p>
      <w:pPr>
        <w:pStyle w:val="0"/>
        <w:spacing w:before="200" w:line-rule="auto"/>
        <w:ind w:firstLine="540"/>
        <w:jc w:val="both"/>
      </w:pPr>
      <w:r>
        <w:rPr>
          <w:sz w:val="20"/>
        </w:rPr>
        <w:t xml:space="preserve">размер бюджетных ассигнований, распределяемых в рамках отбора.</w:t>
      </w:r>
    </w:p>
    <w:p>
      <w:pPr>
        <w:pStyle w:val="0"/>
        <w:spacing w:before="200" w:line-rule="auto"/>
        <w:ind w:firstLine="540"/>
        <w:jc w:val="both"/>
      </w:pPr>
      <w:r>
        <w:rPr>
          <w:sz w:val="20"/>
        </w:rPr>
        <w:t xml:space="preserve">Приказ о проведении отбора размещается на официальном сайте Мининвеста Московской области в информационно-телекоммуникационной сети "Интернет" (</w:t>
      </w:r>
      <w:hyperlink w:history="0" r:id="rId305">
        <w:r>
          <w:rPr>
            <w:sz w:val="20"/>
            <w:color w:val="0000ff"/>
          </w:rPr>
          <w:t xml:space="preserve">https://mii.mosreg.ru</w:t>
        </w:r>
      </w:hyperlink>
      <w:r>
        <w:rPr>
          <w:sz w:val="20"/>
        </w:rPr>
        <w:t xml:space="preserve">), но не позднее чем за 1 рабочий день до дня начала приема заявок.</w:t>
      </w:r>
    </w:p>
    <w:p>
      <w:pPr>
        <w:pStyle w:val="0"/>
        <w:spacing w:before="200" w:line-rule="auto"/>
        <w:ind w:firstLine="540"/>
        <w:jc w:val="both"/>
      </w:pPr>
      <w:r>
        <w:rPr>
          <w:sz w:val="20"/>
        </w:rPr>
        <w:t xml:space="preserve">10. В целях проведения отбора Мининвестом Московской области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(или уполномоченного им лица), размещается на едином портале не позднее 5-го календарного дня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bookmarkStart w:id="3706" w:name="P3706"/>
    <w:bookmarkEnd w:id="3706"/>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w:t>
      </w:r>
    </w:p>
    <w:bookmarkStart w:id="3711" w:name="P3711"/>
    <w:bookmarkEnd w:id="3711"/>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30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307"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308"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участниками отбора;</w:t>
      </w:r>
    </w:p>
    <w:p>
      <w:pPr>
        <w:pStyle w:val="0"/>
        <w:spacing w:before="200" w:line-rule="auto"/>
        <w:ind w:firstLine="540"/>
        <w:jc w:val="both"/>
      </w:pPr>
      <w:r>
        <w:rPr>
          <w:sz w:val="20"/>
        </w:rPr>
        <w:t xml:space="preserve">участник отбора не является иностранным юридическим лицом, включенным в </w:t>
      </w:r>
      <w:hyperlink w:history="0" r:id="rId309"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Минфина России от 05.06.2023 N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0"/>
        <w:spacing w:before="200" w:line-rule="auto"/>
        <w:ind w:firstLine="540"/>
        <w:jc w:val="both"/>
      </w:pPr>
      <w:r>
        <w:rPr>
          <w:sz w:val="20"/>
        </w:rPr>
        <w:t xml:space="preserve">участник отбора представил полный пакет документов согласно </w:t>
      </w:r>
      <w:hyperlink w:history="0" w:anchor="P3895" w:tooltip="ПЕРЕЧЕНЬ">
        <w:r>
          <w:rPr>
            <w:sz w:val="20"/>
            <w:color w:val="0000ff"/>
          </w:rPr>
          <w:t xml:space="preserve">таблице 1</w:t>
        </w:r>
      </w:hyperlink>
      <w:r>
        <w:rPr>
          <w:sz w:val="20"/>
        </w:rPr>
        <w:t xml:space="preserve"> Порядка;</w:t>
      </w:r>
    </w:p>
    <w:p>
      <w:pPr>
        <w:pStyle w:val="0"/>
        <w:spacing w:before="200" w:line-rule="auto"/>
        <w:ind w:firstLine="540"/>
        <w:jc w:val="both"/>
      </w:pPr>
      <w:r>
        <w:rPr>
          <w:sz w:val="20"/>
        </w:rPr>
        <w:t xml:space="preserve">участник отбора соответствует категории и критериям отбора, установленным </w:t>
      </w:r>
      <w:hyperlink w:history="0" w:anchor="P3658" w:tooltip="9. Категория отбора:">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участником отбора представлена заявка на возмещение затрат, которые не были возмещены за счет средств субсидии, предоставленной из бюджета Московской области.</w:t>
      </w:r>
    </w:p>
    <w:p>
      <w:pPr>
        <w:pStyle w:val="0"/>
        <w:spacing w:before="200" w:line-rule="auto"/>
        <w:ind w:firstLine="540"/>
        <w:jc w:val="both"/>
      </w:pPr>
      <w:r>
        <w:rPr>
          <w:sz w:val="20"/>
        </w:rPr>
        <w:t xml:space="preserve">12. Представление в Мининвест Московской области документов, подтверждающих соответствие участников отбора требованиям, указанным в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а также документов, подтверждающих фактически произведенные затраты, на возмещение которых предоставляется субсидия,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Мининвест Московской области следующие документы, подтверждающие соответствие участника отбора требованиям, установленным Порядком, а также документы, подтверждающие фактически произведенные затраты, на возмещение которых предоставляется субсидия:</w:t>
      </w:r>
    </w:p>
    <w:p>
      <w:pPr>
        <w:pStyle w:val="0"/>
        <w:spacing w:before="200" w:line-rule="auto"/>
        <w:ind w:firstLine="540"/>
        <w:jc w:val="both"/>
      </w:pPr>
      <w:r>
        <w:rPr>
          <w:sz w:val="20"/>
        </w:rPr>
        <w:t xml:space="preserve">1) справку, подписанную руководителем либо иным уполномоченным лицом, а также главным бухгалтером (при наличии) участника отбора, подтверждающую соответствие требованиям, предусмотренным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(в случае, если участник отбора готов представить указанный документ по собственной инициативе);</w:t>
      </w:r>
    </w:p>
    <w:p>
      <w:pPr>
        <w:pStyle w:val="0"/>
        <w:spacing w:before="200" w:line-rule="auto"/>
        <w:ind w:firstLine="540"/>
        <w:jc w:val="both"/>
      </w:pPr>
      <w:r>
        <w:rPr>
          <w:sz w:val="20"/>
        </w:rPr>
        <w:t xml:space="preserve">2) документы, подтверждающие соответствие участника отбора категориям и критериям отбора, а также подтверждающие фактически произведенные затраты, в соответствии с </w:t>
      </w:r>
      <w:hyperlink w:history="0" w:anchor="P3895" w:tooltip="ПЕРЕЧЕНЬ">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Исправления в документах должны быть заверены подписью руководителя претендента (представителя претендента) и печатью (при наличии печати).</w:t>
      </w:r>
    </w:p>
    <w:p>
      <w:pPr>
        <w:pStyle w:val="0"/>
        <w:spacing w:before="200" w:line-rule="auto"/>
        <w:ind w:firstLine="540"/>
        <w:jc w:val="both"/>
      </w:pPr>
      <w:r>
        <w:rPr>
          <w:sz w:val="20"/>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bookmarkStart w:id="3731" w:name="P3731"/>
    <w:bookmarkEnd w:id="3731"/>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согласие участника отбора на осуществление в случае заключения Соглашения в отношении него проверок Мининвестом Московской области соблюдения порядка и условий предоставления субсидии, а также проверок органами государственного финансового контроля в соответствии со </w:t>
      </w:r>
      <w:hyperlink w:history="0" r:id="rId31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подписанное руководителем организации или иным уполномоченным лицом;</w:t>
      </w:r>
    </w:p>
    <w:p>
      <w:pPr>
        <w:pStyle w:val="0"/>
        <w:spacing w:before="200" w:line-rule="auto"/>
        <w:ind w:firstLine="540"/>
        <w:jc w:val="both"/>
      </w:pPr>
      <w:r>
        <w:rPr>
          <w:sz w:val="20"/>
        </w:rPr>
        <w:t xml:space="preserve">согласие на осуществление Мининвестом Московской области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 юридического лица или уполномоченного им лица;</w:t>
      </w:r>
    </w:p>
    <w:p>
      <w:pPr>
        <w:pStyle w:val="0"/>
        <w:spacing w:before="200" w:line-rule="auto"/>
        <w:ind w:firstLine="540"/>
        <w:jc w:val="both"/>
      </w:pPr>
      <w:r>
        <w:rPr>
          <w:sz w:val="20"/>
        </w:rPr>
        <w:t xml:space="preserve">4)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3731"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15. Доступ Мининвесту Московской области к поданным участниками отбора заявкам в системе "Электронный бюджет" для их рассмотрения открывается не позднее 1-го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16. Взаимодействие Мининвеста Московской области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17. Протокол вскрытия заявок автоматически формируется на едином портале и подписывается не позднее 1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w:t>
      </w:r>
    </w:p>
    <w:p>
      <w:pPr>
        <w:pStyle w:val="0"/>
        <w:spacing w:before="200" w:line-rule="auto"/>
        <w:ind w:firstLine="540"/>
        <w:jc w:val="both"/>
      </w:pPr>
      <w:r>
        <w:rPr>
          <w:sz w:val="20"/>
        </w:rPr>
        <w:t xml:space="preserve">4) адрес юридического лица;</w:t>
      </w:r>
    </w:p>
    <w:p>
      <w:pPr>
        <w:pStyle w:val="0"/>
        <w:spacing w:before="200" w:line-rule="auto"/>
        <w:ind w:firstLine="540"/>
        <w:jc w:val="both"/>
      </w:pPr>
      <w:r>
        <w:rPr>
          <w:sz w:val="20"/>
        </w:rPr>
        <w:t xml:space="preserve">5) запрашиваемый участником отбора размер субсидии.</w:t>
      </w:r>
    </w:p>
    <w:bookmarkStart w:id="3753" w:name="P3753"/>
    <w:bookmarkEnd w:id="3753"/>
    <w:p>
      <w:pPr>
        <w:pStyle w:val="0"/>
        <w:spacing w:before="200" w:line-rule="auto"/>
        <w:ind w:firstLine="540"/>
        <w:jc w:val="both"/>
      </w:pPr>
      <w:r>
        <w:rPr>
          <w:sz w:val="20"/>
        </w:rPr>
        <w:t xml:space="preserve">18. Мининвест Московской области в течение срока, не превышающего 35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Мининвестом Московской области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не подтвержден факт выполнения работ по созданию объектов инженерной и (или) транспортной инфраструктуры и (или) подключения (технологическое присоединение) к инженерным и (или) транспортным сетям по результатам проверки комиссией по проверке (далее - Проверочная комиссия) с учетом квалифицированного мнения центральных исполнительных органов власти Московской области в соответствии с </w:t>
      </w:r>
      <w:hyperlink w:history="0" w:anchor="P3775" w:tooltip="С целью подтверждения сведений, содержащихся в Заявке,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
        <w:r>
          <w:rPr>
            <w:sz w:val="20"/>
            <w:color w:val="0000ff"/>
          </w:rPr>
          <w:t xml:space="preserve">абзацами седьмым</w:t>
        </w:r>
      </w:hyperlink>
      <w:r>
        <w:rPr>
          <w:sz w:val="20"/>
        </w:rPr>
        <w:t xml:space="preserve"> - </w:t>
      </w:r>
      <w:hyperlink w:history="0" w:anchor="P3777" w:tooltip="Мининвест Московской области посредством межведомственного электронного взаимодействия направляет представленные участниками отбора документы в Минэнерго Московской области, Министерство ЖКХ Московской области, Минэкологии Московской области, МТДи Московской области (далее - ЦИО Московской области) для получения квалифицированного мнения в части соблюдения процедур, установленных законодательством Российской Федерации и законодательством Московской области, по выполнению работ по созданию объектов инжене...">
        <w:r>
          <w:rPr>
            <w:sz w:val="20"/>
            <w:color w:val="0000ff"/>
          </w:rPr>
          <w:t xml:space="preserve">девятым пункта 22</w:t>
        </w:r>
      </w:hyperlink>
      <w:r>
        <w:rPr>
          <w:sz w:val="20"/>
        </w:rPr>
        <w:t xml:space="preserve"> Порядка;</w:t>
      </w:r>
    </w:p>
    <w:p>
      <w:pPr>
        <w:pStyle w:val="0"/>
        <w:spacing w:before="200" w:line-rule="auto"/>
        <w:ind w:firstLine="540"/>
        <w:jc w:val="both"/>
      </w:pPr>
      <w:r>
        <w:rPr>
          <w:sz w:val="20"/>
        </w:rPr>
        <w:t xml:space="preserve">несоответствие участника отбора категории и критериям отбора, установленным в </w:t>
      </w:r>
      <w:hyperlink w:history="0" w:anchor="P3658" w:tooltip="9. Категория отбора:">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21. При проведении отбора предусмотрен возврат заявок участникам отбора на доработку по решению Мининвеста Московской области. 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"Электронный бюджет"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участниками отбора. 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3-х рабочих дней, но не позднее даты окончания срока рассмотрения заявок.</w:t>
      </w:r>
    </w:p>
    <w:p>
      <w:pPr>
        <w:pStyle w:val="0"/>
        <w:spacing w:before="200" w:line-rule="auto"/>
        <w:ind w:firstLine="540"/>
        <w:jc w:val="both"/>
      </w:pPr>
      <w:r>
        <w:rPr>
          <w:sz w:val="20"/>
        </w:rPr>
        <w:t xml:space="preserve">22. Проверка участника отбора на соответствие требованиям, определенным в соответствии с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Мининвест Московской области в пределах срока рассмотрения заявок, установленного </w:t>
      </w:r>
      <w:hyperlink w:history="0" w:anchor="P3753" w:tooltip="18. Мининвест Московской области в течение срока, не превышающего 35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
        <w:r>
          <w:rPr>
            <w:sz w:val="20"/>
            <w:color w:val="0000ff"/>
          </w:rPr>
          <w:t xml:space="preserve">пунктом 18</w:t>
        </w:r>
      </w:hyperlink>
      <w:r>
        <w:rPr>
          <w:sz w:val="20"/>
        </w:rPr>
        <w:t xml:space="preserve"> Порядка, запрашивает сведения в государственных информационных системах,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bookmarkStart w:id="3772" w:name="P3772"/>
    <w:bookmarkEnd w:id="3772"/>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3773" w:name="P3773"/>
    <w:bookmarkEnd w:id="3773"/>
    <w:p>
      <w:pPr>
        <w:pStyle w:val="0"/>
        <w:spacing w:before="200" w:line-rule="auto"/>
        <w:ind w:firstLine="540"/>
        <w:jc w:val="both"/>
      </w:pPr>
      <w:r>
        <w:rPr>
          <w:sz w:val="20"/>
        </w:rPr>
        <w:t xml:space="preserve">В запросе, указанном в </w:t>
      </w:r>
      <w:hyperlink w:history="0" w:anchor="P3772"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w:t>
      </w:r>
      <w:hyperlink w:history="0" w:anchor="P3772"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абзацем четвертым</w:t>
        </w:r>
      </w:hyperlink>
      <w:r>
        <w:rPr>
          <w:sz w:val="20"/>
        </w:rPr>
        <w:t xml:space="preserve"> настоящего пункта, в сроки, установленные соответствующим запросом с учетом положений </w:t>
      </w:r>
      <w:hyperlink w:history="0" w:anchor="P3773"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bookmarkStart w:id="3775" w:name="P3775"/>
    <w:bookmarkEnd w:id="3775"/>
    <w:p>
      <w:pPr>
        <w:pStyle w:val="0"/>
        <w:spacing w:before="200" w:line-rule="auto"/>
        <w:ind w:firstLine="540"/>
        <w:jc w:val="both"/>
      </w:pPr>
      <w:r>
        <w:rPr>
          <w:sz w:val="20"/>
        </w:rPr>
        <w:t xml:space="preserve">С целью подтверждения сведений, содержащихся в Заявке, Мининвест Московской области образует комиссию по проверке (далее - Проверочная комиссия), положение и состав которой утверждаются Мининвестом Московской области.</w:t>
      </w:r>
    </w:p>
    <w:p>
      <w:pPr>
        <w:pStyle w:val="0"/>
        <w:spacing w:before="200" w:line-rule="auto"/>
        <w:ind w:firstLine="540"/>
        <w:jc w:val="both"/>
      </w:pPr>
      <w:r>
        <w:rPr>
          <w:sz w:val="20"/>
        </w:rPr>
        <w:t xml:space="preserve">Проверочная комиссия выезжает на место ведения хозяйственной деятельности на объект производственного назначения, в отношении которого понесены затраты участника отбора, с целью подтверждения факта выполнения работ по созданию (строительству) и (или) реконструкции объектов инженерной и (или) транспортной инфраструктуры и (или) осуществлению подключения (технологического присоединения) к инженерным и (или) транспортным сетям новых промышленных предприятий и (или) увеличивших производственные мощности существующих промышленных предприятий на территории Московской области.</w:t>
      </w:r>
    </w:p>
    <w:bookmarkStart w:id="3777" w:name="P3777"/>
    <w:bookmarkEnd w:id="3777"/>
    <w:p>
      <w:pPr>
        <w:pStyle w:val="0"/>
        <w:spacing w:before="200" w:line-rule="auto"/>
        <w:ind w:firstLine="540"/>
        <w:jc w:val="both"/>
      </w:pPr>
      <w:r>
        <w:rPr>
          <w:sz w:val="20"/>
        </w:rPr>
        <w:t xml:space="preserve">Мининвест Московской области посредством межведомственного электронного взаимодействия направляет представленные участниками отбора документы в Минэнерго Московской области, Министерство ЖКХ Московской области, Минэкологии Московской области, МТДи Московской области (далее - ЦИО Московской области) для получения квалифицированного мнения в части соблюдения процедур, установленных законодательством Российской Федерации и законодательством Московской области, по выполнению работ по созданию объектов инженерной и (или) транспортной инфраструктуры и (или) подключения (технологическое присоединение) к инженерным и (или) транспортным сетям. ЦИО Московской области представляют квалифицированное мнение в Мининвест Московской области в срок не позднее 5 рабочих дней с даты получения соответствующего запроса.</w:t>
      </w:r>
    </w:p>
    <w:p>
      <w:pPr>
        <w:pStyle w:val="0"/>
        <w:spacing w:before="200" w:line-rule="auto"/>
        <w:ind w:firstLine="540"/>
        <w:jc w:val="both"/>
      </w:pPr>
      <w:r>
        <w:rPr>
          <w:sz w:val="20"/>
        </w:rPr>
        <w:t xml:space="preserve">23. Мининвест Московской области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Мининвесту Московской области по собственной инициативе.</w:t>
      </w:r>
    </w:p>
    <w:p>
      <w:pPr>
        <w:pStyle w:val="0"/>
        <w:spacing w:before="200" w:line-rule="auto"/>
        <w:ind w:firstLine="540"/>
        <w:jc w:val="both"/>
      </w:pPr>
      <w:r>
        <w:rPr>
          <w:sz w:val="20"/>
        </w:rPr>
        <w:t xml:space="preserve">24.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25.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Днем принятия решения о предоставлении субсидии является дата подписания протокола подведения итогов отбора руководителем Мининвеста Московской области (уполномоченным им лицом).</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Мининвестом Московской области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3706" w:tooltip="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w:r>
          <w:rPr>
            <w:sz w:val="20"/>
            <w:color w:val="0000ff"/>
          </w:rPr>
          <w:t xml:space="preserve">подпунктом 13 пункта 10</w:t>
        </w:r>
      </w:hyperlink>
      <w:r>
        <w:rPr>
          <w:sz w:val="20"/>
        </w:rPr>
        <w:t xml:space="preserve"> Порядка.</w:t>
      </w:r>
    </w:p>
    <w:p>
      <w:pPr>
        <w:pStyle w:val="0"/>
        <w:spacing w:before="200" w:line-rule="auto"/>
        <w:ind w:firstLine="540"/>
        <w:jc w:val="both"/>
      </w:pPr>
      <w:r>
        <w:rPr>
          <w:sz w:val="20"/>
        </w:rPr>
        <w:t xml:space="preserve">26. Отбор признается несостоявшимся в следующих случаях:</w:t>
      </w:r>
    </w:p>
    <w:bookmarkStart w:id="3788" w:name="P3788"/>
    <w:bookmarkEnd w:id="3788"/>
    <w:p>
      <w:pPr>
        <w:pStyle w:val="0"/>
        <w:spacing w:before="200" w:line-rule="auto"/>
        <w:ind w:firstLine="540"/>
        <w:jc w:val="both"/>
      </w:pPr>
      <w:r>
        <w:rPr>
          <w:sz w:val="20"/>
        </w:rPr>
        <w:t xml:space="preserve">1) если по окончании срока подачи заявок не подано ни одной заявки;</w:t>
      </w:r>
    </w:p>
    <w:bookmarkStart w:id="3789" w:name="P3789"/>
    <w:bookmarkEnd w:id="3789"/>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3) если по результатам рассмотрения и оценки заявок принято решение об отказе всем претендентам.</w:t>
      </w:r>
    </w:p>
    <w:p>
      <w:pPr>
        <w:pStyle w:val="0"/>
        <w:spacing w:before="200" w:line-rule="auto"/>
        <w:ind w:firstLine="540"/>
        <w:jc w:val="both"/>
      </w:pPr>
      <w:r>
        <w:rPr>
          <w:sz w:val="20"/>
        </w:rPr>
        <w:t xml:space="preserve">Решение Мининвестом Московской области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w:t>
      </w:r>
      <w:hyperlink w:history="0" w:anchor="P3788" w:tooltip="1) если по окончании срока подачи заявок не подано ни одной заявки;">
        <w:r>
          <w:rPr>
            <w:sz w:val="20"/>
            <w:color w:val="0000ff"/>
          </w:rPr>
          <w:t xml:space="preserve">подпунктах 1</w:t>
        </w:r>
      </w:hyperlink>
      <w:r>
        <w:rPr>
          <w:sz w:val="20"/>
        </w:rPr>
        <w:t xml:space="preserve">, </w:t>
      </w:r>
      <w:hyperlink w:history="0" w:anchor="P3789" w:tooltip="2) если по результатам рассмотрения заявок отклонены все заявки;">
        <w:r>
          <w:rPr>
            <w:sz w:val="20"/>
            <w:color w:val="0000ff"/>
          </w:rPr>
          <w:t xml:space="preserve">2</w:t>
        </w:r>
      </w:hyperlink>
      <w:r>
        <w:rPr>
          <w:sz w:val="20"/>
        </w:rPr>
        <w:t xml:space="preserve"> настоящего пункта, Мининвест Московской области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27.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3799" w:name="P3799"/>
    <w:bookmarkEnd w:id="3799"/>
    <w:p>
      <w:pPr>
        <w:pStyle w:val="0"/>
        <w:spacing w:before="200" w:line-rule="auto"/>
        <w:ind w:firstLine="540"/>
        <w:jc w:val="both"/>
      </w:pPr>
      <w:r>
        <w:rPr>
          <w:sz w:val="20"/>
        </w:rPr>
        <w:t xml:space="preserve">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Мининвест Московской области в ответ на запрос, указанный в </w:t>
      </w:r>
      <w:hyperlink w:history="0" w:anchor="P3799" w:tooltip="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29. Направления затрат, на возмещение которых предоставляется субсидия:</w:t>
      </w:r>
    </w:p>
    <w:p>
      <w:pPr>
        <w:pStyle w:val="0"/>
        <w:spacing w:before="200" w:line-rule="auto"/>
        <w:ind w:firstLine="540"/>
        <w:jc w:val="both"/>
      </w:pPr>
      <w:r>
        <w:rPr>
          <w:sz w:val="20"/>
        </w:rPr>
        <w:t xml:space="preserve">затраты, понесенные на создание (строительство) и (или) реконструкцию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 (или) увеличивших производственные мощности существующих промышленных предприятий на территории Московской области, в том числе затраты:</w:t>
      </w:r>
    </w:p>
    <w:p>
      <w:pPr>
        <w:pStyle w:val="0"/>
        <w:spacing w:before="200" w:line-rule="auto"/>
        <w:ind w:firstLine="540"/>
        <w:jc w:val="both"/>
      </w:pPr>
      <w:r>
        <w:rPr>
          <w:sz w:val="20"/>
        </w:rPr>
        <w:t xml:space="preserve">на создание (строительство) и (или) реконструкцию объектов газоснабжения и газораспределения и (или) подключение (технологическое присоединение) объекта капитального строительства к инженерным сетям газоснабжения и газораспределения;</w:t>
      </w:r>
    </w:p>
    <w:p>
      <w:pPr>
        <w:pStyle w:val="0"/>
        <w:spacing w:before="200" w:line-rule="auto"/>
        <w:ind w:firstLine="540"/>
        <w:jc w:val="both"/>
      </w:pPr>
      <w:r>
        <w:rPr>
          <w:sz w:val="20"/>
        </w:rPr>
        <w:t xml:space="preserve">на создание (строительство) и (или) реконструкцию объектов электроснабжения и (или) подключение (технологическое присоединение) объекта капитального строительства к инженерным сетям электроснабжения;</w:t>
      </w:r>
    </w:p>
    <w:p>
      <w:pPr>
        <w:pStyle w:val="0"/>
        <w:spacing w:before="200" w:line-rule="auto"/>
        <w:ind w:firstLine="540"/>
        <w:jc w:val="both"/>
      </w:pPr>
      <w:r>
        <w:rPr>
          <w:sz w:val="20"/>
        </w:rPr>
        <w:t xml:space="preserve">на создание (строительство) и (или) реконструкцию объектов водоснабжения, водоотведения и канализации и (или) подключение (технологическое присоединение) объекта капитального строительства к инженерным сетям водоснабжения, водоотведения и канализации;</w:t>
      </w:r>
    </w:p>
    <w:p>
      <w:pPr>
        <w:pStyle w:val="0"/>
        <w:spacing w:before="200" w:line-rule="auto"/>
        <w:ind w:firstLine="540"/>
        <w:jc w:val="both"/>
      </w:pPr>
      <w:r>
        <w:rPr>
          <w:sz w:val="20"/>
        </w:rPr>
        <w:t xml:space="preserve">на создание (строительство) и (или) реконструкцию объектов теплоснабжения (за исключением строительства котельной) и (или) подключение (технологическое присоединение) объекта капитального строительства к инженерным сетям теплоснабжения;</w:t>
      </w:r>
    </w:p>
    <w:p>
      <w:pPr>
        <w:pStyle w:val="0"/>
        <w:spacing w:before="200" w:line-rule="auto"/>
        <w:ind w:firstLine="540"/>
        <w:jc w:val="both"/>
      </w:pPr>
      <w:r>
        <w:rPr>
          <w:sz w:val="20"/>
        </w:rPr>
        <w:t xml:space="preserve">на создание (строительство) и (или) реконструкцию объектов ЛОС;</w:t>
      </w:r>
    </w:p>
    <w:p>
      <w:pPr>
        <w:pStyle w:val="0"/>
        <w:spacing w:before="200" w:line-rule="auto"/>
        <w:ind w:firstLine="540"/>
        <w:jc w:val="both"/>
      </w:pPr>
      <w:r>
        <w:rPr>
          <w:sz w:val="20"/>
        </w:rPr>
        <w:t xml:space="preserve">на создание (строительство) и (или) реконструкцию объектов ВЗС;</w:t>
      </w:r>
    </w:p>
    <w:p>
      <w:pPr>
        <w:pStyle w:val="0"/>
        <w:spacing w:before="200" w:line-rule="auto"/>
        <w:ind w:firstLine="540"/>
        <w:jc w:val="both"/>
      </w:pPr>
      <w:r>
        <w:rPr>
          <w:sz w:val="20"/>
        </w:rPr>
        <w:t xml:space="preserve">на создание (строительство) и (или) реконструкцию объектов транспортной инфраструктуры и (или) подключение и (или) присоединение к транспортным сетям, предназначенным для функционирования объекта капитального строительства.</w:t>
      </w:r>
    </w:p>
    <w:p>
      <w:pPr>
        <w:pStyle w:val="0"/>
        <w:spacing w:before="200" w:line-rule="auto"/>
        <w:ind w:firstLine="540"/>
        <w:jc w:val="both"/>
      </w:pPr>
      <w:r>
        <w:rPr>
          <w:sz w:val="20"/>
        </w:rPr>
        <w:t xml:space="preserve">30. Размер субсидии на создание (строительство) объектов инженерной и (или) транспортной инфраструктуры, включая подключение (технологическое присоединение) объекта капитального строительства к инженерным и транспортным сетям, рассчитывается по формуле:</w:t>
      </w:r>
    </w:p>
    <w:p>
      <w:pPr>
        <w:pStyle w:val="0"/>
        <w:jc w:val="both"/>
      </w:pPr>
      <w:r>
        <w:rPr>
          <w:sz w:val="20"/>
        </w:rPr>
      </w:r>
    </w:p>
    <w:p>
      <w:pPr>
        <w:pStyle w:val="0"/>
        <w:ind w:firstLine="540"/>
        <w:jc w:val="both"/>
      </w:pPr>
      <w:r>
        <w:rPr>
          <w:sz w:val="20"/>
        </w:rPr>
        <w:t xml:space="preserve">O = Z1 + Z2 + Z3 + Z4 + Z5 + Z6 + Z7,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 - размер субсидии на создание (строительство) объектов инженерной и (или) транспортной инфраструктуры, включая подключение (технологическое присоединение) объекта капитального строительства к инженерным и транспортным сетям;</w:t>
      </w:r>
    </w:p>
    <w:p>
      <w:pPr>
        <w:pStyle w:val="0"/>
        <w:spacing w:before="200" w:line-rule="auto"/>
        <w:ind w:firstLine="540"/>
        <w:jc w:val="both"/>
      </w:pPr>
      <w:r>
        <w:rPr>
          <w:sz w:val="20"/>
        </w:rPr>
        <w:t xml:space="preserve">Z1 - затраты на создание (строительство) и (или) реконструкцию объектов газоснабжения и газораспределения и (или) подключение (технологическое присоединение) объекта капитального строительства к инженерным сетям газоснабжения и газораспределения;</w:t>
      </w:r>
    </w:p>
    <w:p>
      <w:pPr>
        <w:pStyle w:val="0"/>
        <w:spacing w:before="200" w:line-rule="auto"/>
        <w:ind w:firstLine="540"/>
        <w:jc w:val="both"/>
      </w:pPr>
      <w:r>
        <w:rPr>
          <w:sz w:val="20"/>
        </w:rPr>
        <w:t xml:space="preserve">Z2 - затраты на создание (строительство) и (или) реконструкцию объектов электроснабжения и (или) подключение (технологическое присоединение) объекта капитального строительства к инженерным сетям электроснабжения;</w:t>
      </w:r>
    </w:p>
    <w:p>
      <w:pPr>
        <w:pStyle w:val="0"/>
        <w:spacing w:before="200" w:line-rule="auto"/>
        <w:ind w:firstLine="540"/>
        <w:jc w:val="both"/>
      </w:pPr>
      <w:r>
        <w:rPr>
          <w:sz w:val="20"/>
        </w:rPr>
        <w:t xml:space="preserve">Z3 - затраты на создание (строительство) и (или) реконструкцию объектов водоснабжения, водоотведения и канализации и (или) подключение (технологическое присоединение) объекта капитального строительства к инженерным сетям водоснабжения, водоотведения и канализации;</w:t>
      </w:r>
    </w:p>
    <w:p>
      <w:pPr>
        <w:pStyle w:val="0"/>
        <w:spacing w:before="200" w:line-rule="auto"/>
        <w:ind w:firstLine="540"/>
        <w:jc w:val="both"/>
      </w:pPr>
      <w:r>
        <w:rPr>
          <w:sz w:val="20"/>
        </w:rPr>
        <w:t xml:space="preserve">Z4 - затраты на создание (строительство) и (или) реконструкцию объектов теплоснабжения (за исключением строительства котельной) и (или) подключение (технологическое присоединение) объекта капитального строительства к инженерным сетям теплоснабжения;</w:t>
      </w:r>
    </w:p>
    <w:p>
      <w:pPr>
        <w:pStyle w:val="0"/>
        <w:spacing w:before="200" w:line-rule="auto"/>
        <w:ind w:firstLine="540"/>
        <w:jc w:val="both"/>
      </w:pPr>
      <w:r>
        <w:rPr>
          <w:sz w:val="20"/>
        </w:rPr>
        <w:t xml:space="preserve">Z5 - затраты на создание (строительство) и (или) реконструкцию объектов ЛОС;</w:t>
      </w:r>
    </w:p>
    <w:p>
      <w:pPr>
        <w:pStyle w:val="0"/>
        <w:spacing w:before="200" w:line-rule="auto"/>
        <w:ind w:firstLine="540"/>
        <w:jc w:val="both"/>
      </w:pPr>
      <w:r>
        <w:rPr>
          <w:sz w:val="20"/>
        </w:rPr>
        <w:t xml:space="preserve">Z6 - затраты на создание (строительство) и (или) реконструкцию объектов ВЗС;</w:t>
      </w:r>
    </w:p>
    <w:p>
      <w:pPr>
        <w:pStyle w:val="0"/>
        <w:spacing w:before="200" w:line-rule="auto"/>
        <w:ind w:firstLine="540"/>
        <w:jc w:val="both"/>
      </w:pPr>
      <w:r>
        <w:rPr>
          <w:sz w:val="20"/>
        </w:rPr>
        <w:t xml:space="preserve">Z7 - затраты на создание (строительство) и (или) реконструкцию объектов транспортной инфраструктуры и (или) подключение и (или) присоединение к транспортным сетям.</w:t>
      </w:r>
    </w:p>
    <w:p>
      <w:pPr>
        <w:pStyle w:val="0"/>
        <w:jc w:val="both"/>
      </w:pPr>
      <w:r>
        <w:rPr>
          <w:sz w:val="20"/>
        </w:rPr>
      </w:r>
    </w:p>
    <w:p>
      <w:pPr>
        <w:pStyle w:val="0"/>
        <w:ind w:firstLine="540"/>
        <w:jc w:val="both"/>
      </w:pPr>
      <w:r>
        <w:rPr>
          <w:sz w:val="20"/>
        </w:rPr>
        <w:t xml:space="preserve">Размер субсидии не должен превышать:</w:t>
      </w:r>
    </w:p>
    <w:p>
      <w:pPr>
        <w:pStyle w:val="0"/>
        <w:spacing w:before="200" w:line-rule="auto"/>
        <w:ind w:firstLine="540"/>
        <w:jc w:val="both"/>
      </w:pPr>
      <w:r>
        <w:rPr>
          <w:sz w:val="20"/>
        </w:rPr>
        <w:t xml:space="preserve">документально подтвержденные фактические затраты;</w:t>
      </w:r>
    </w:p>
    <w:p>
      <w:pPr>
        <w:pStyle w:val="0"/>
        <w:spacing w:before="200" w:line-rule="auto"/>
        <w:ind w:firstLine="540"/>
        <w:jc w:val="both"/>
      </w:pPr>
      <w:r>
        <w:rPr>
          <w:sz w:val="20"/>
        </w:rPr>
        <w:t xml:space="preserve">20 процентов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w:t>
      </w:r>
    </w:p>
    <w:p>
      <w:pPr>
        <w:pStyle w:val="0"/>
        <w:spacing w:before="200" w:line-rule="auto"/>
        <w:ind w:firstLine="540"/>
        <w:jc w:val="both"/>
      </w:pPr>
      <w:r>
        <w:rPr>
          <w:sz w:val="20"/>
        </w:rPr>
        <w:t xml:space="preserve">нормативную стоимость данных затрат (в соответствии с тарифами, установленными Комитетом по ценам и тарифам Московской области, или в соответствии со сметной стоимостью, утвержденной уполномоченной на проведение государственной экспертизы на территории Московской области организацией).</w:t>
      </w:r>
    </w:p>
    <w:p>
      <w:pPr>
        <w:pStyle w:val="0"/>
        <w:spacing w:before="200" w:line-rule="auto"/>
        <w:ind w:firstLine="540"/>
        <w:jc w:val="both"/>
      </w:pPr>
      <w:r>
        <w:rPr>
          <w:sz w:val="20"/>
        </w:rPr>
        <w:t xml:space="preserve">Размер субсидии для юридических лиц, указанных в </w:t>
      </w:r>
      <w:hyperlink w:history="0" w:anchor="P3659"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Московской области (за искл...">
        <w:r>
          <w:rPr>
            <w:sz w:val="20"/>
            <w:color w:val="0000ff"/>
          </w:rPr>
          <w:t xml:space="preserve">абзаце втором пункта 9</w:t>
        </w:r>
      </w:hyperlink>
      <w:r>
        <w:rPr>
          <w:sz w:val="20"/>
        </w:rPr>
        <w:t xml:space="preserve"> Порядка, определяется с учетом следующих ограничений: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100 млн рублей до 1 млрд рублей - размер субсидии не может превышать 80 млн рублей;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1 млрд рублей до 5 млрд рублей - размер субсидии не может превышать 100 млн рублей;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5 млрд рублей - размер субсидии не может превышать 200 млн рублей.</w:t>
      </w:r>
    </w:p>
    <w:p>
      <w:pPr>
        <w:pStyle w:val="0"/>
        <w:spacing w:before="200" w:line-rule="auto"/>
        <w:ind w:firstLine="540"/>
        <w:jc w:val="both"/>
      </w:pPr>
      <w:r>
        <w:rPr>
          <w:sz w:val="20"/>
        </w:rPr>
        <w:t xml:space="preserve">Размер субсидии для юридических лиц, указанных в </w:t>
      </w:r>
      <w:hyperlink w:history="0" w:anchor="P3660" w:tooltip="юридические лица (за исключением государственных (муниципальных) учреждений) - субъекты деятельности в сфере обрабатывающего производства,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промышленных предприятий, создавшие новые промышленные предприятия и (или) увеличившие производственные мощности существующих промышленных предприятий, расположенных на территории одного из муниципальных обр...">
        <w:r>
          <w:rPr>
            <w:sz w:val="20"/>
            <w:color w:val="0000ff"/>
          </w:rPr>
          <w:t xml:space="preserve">абзаце третьем пункта 9</w:t>
        </w:r>
      </w:hyperlink>
      <w:r>
        <w:rPr>
          <w:sz w:val="20"/>
        </w:rPr>
        <w:t xml:space="preserve"> Порядка, определяется с учетом следующих ограничений: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50 млн рублей до 700 млн рублей - размер субсидии не может превышать 100 млн рублей;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700 млн рублей до 5 млрд рублей - размер субсидии не может превышать 140 млн рублей;</w:t>
      </w:r>
    </w:p>
    <w:p>
      <w:pPr>
        <w:pStyle w:val="0"/>
        <w:spacing w:before="200" w:line-rule="auto"/>
        <w:ind w:firstLine="540"/>
        <w:jc w:val="both"/>
      </w:pPr>
      <w:r>
        <w:rPr>
          <w:sz w:val="20"/>
        </w:rPr>
        <w:t xml:space="preserve">при размере общего объема инвестиций в создание нового промышленного предприятия и (или) увеличение производственных мощностей существующего промышленного предприятия от 5 млрд рублей - размер Субсидии не может превышать 250 млн рублей.</w:t>
      </w:r>
    </w:p>
    <w:p>
      <w:pPr>
        <w:pStyle w:val="0"/>
        <w:spacing w:before="200" w:line-rule="auto"/>
        <w:ind w:firstLine="540"/>
        <w:jc w:val="both"/>
      </w:pPr>
      <w:r>
        <w:rPr>
          <w:sz w:val="20"/>
        </w:rPr>
        <w:t xml:space="preserve">Размер предоставляемых субсидий не должен превышать размер документально обоснованных затрат.</w:t>
      </w:r>
    </w:p>
    <w:p>
      <w:pPr>
        <w:pStyle w:val="0"/>
        <w:spacing w:before="200" w:line-rule="auto"/>
        <w:ind w:firstLine="540"/>
        <w:jc w:val="both"/>
      </w:pPr>
      <w:r>
        <w:rPr>
          <w:sz w:val="20"/>
        </w:rPr>
        <w:t xml:space="preserve">Распределение субсидий осуществляется в пределах средств бюджета Московской области, доведенных до Мининвеста Московской области, на цели, предусмотренные Порядком, в порядке очередности поступивших, рассмотренных и не отклоненных Мининвестом Московской области заявок.</w:t>
      </w:r>
    </w:p>
    <w:p>
      <w:pPr>
        <w:pStyle w:val="0"/>
        <w:spacing w:before="200" w:line-rule="auto"/>
        <w:ind w:firstLine="540"/>
        <w:jc w:val="both"/>
      </w:pPr>
      <w:r>
        <w:rPr>
          <w:sz w:val="20"/>
        </w:rPr>
        <w:t xml:space="preserve">Субсидия предоставляется при условии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Российской Федерации и Московской области в соответствии со </w:t>
      </w:r>
      <w:hyperlink w:history="0" r:id="rId3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1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31. По результатам отбора с победителем отбора заключается Соглашение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Соглашение заключается с победителем отбора в течение 5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субсидии) требованиям, установленным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bookmarkStart w:id="3849" w:name="P3849"/>
    <w:bookmarkEnd w:id="3849"/>
    <w:p>
      <w:pPr>
        <w:pStyle w:val="0"/>
        <w:spacing w:before="200" w:line-rule="auto"/>
        <w:ind w:firstLine="540"/>
        <w:jc w:val="both"/>
      </w:pPr>
      <w:r>
        <w:rPr>
          <w:sz w:val="20"/>
        </w:rPr>
        <w:t xml:space="preserve">32. Мининвест Московской области не позднее 1-го рабочего дня, следующего за днем принятия решения о предоставлении субсидии, формирует Соглашение в форме электронного документа в системе ГИС "РЭБ".</w:t>
      </w:r>
    </w:p>
    <w:bookmarkStart w:id="3850" w:name="P3850"/>
    <w:bookmarkEnd w:id="3850"/>
    <w:p>
      <w:pPr>
        <w:pStyle w:val="0"/>
        <w:spacing w:before="200" w:line-rule="auto"/>
        <w:ind w:firstLine="540"/>
        <w:jc w:val="both"/>
      </w:pPr>
      <w:r>
        <w:rPr>
          <w:sz w:val="20"/>
        </w:rPr>
        <w:t xml:space="preserve">Получатели субсидий не позднее 2-х рабочих дней, следующих за днем формирования Соглашения в системе ГИС "РЭБ", подписывают Соглашения в системе ГИС "РЭБ"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получателем субсидии Соглашения в системе ГИС "РЭБ" в срок, установленный </w:t>
      </w:r>
      <w:hyperlink w:history="0" w:anchor="P3850"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ГИС "РЭБ" в срок, установленный </w:t>
      </w:r>
      <w:hyperlink w:history="0" w:anchor="P3850"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2 рабочих дней, следующих за днем формирования Соглашения в системе ГИС "РЭБ".</w:t>
      </w:r>
    </w:p>
    <w:p>
      <w:pPr>
        <w:pStyle w:val="0"/>
        <w:spacing w:before="200" w:line-rule="auto"/>
        <w:ind w:firstLine="540"/>
        <w:jc w:val="both"/>
      </w:pPr>
      <w:r>
        <w:rPr>
          <w:sz w:val="20"/>
        </w:rPr>
        <w:t xml:space="preserve">33.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3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Основания для отказа получателю субсидии в предоставлении субсидии:</w:t>
      </w:r>
    </w:p>
    <w:p>
      <w:pPr>
        <w:pStyle w:val="0"/>
        <w:spacing w:before="200" w:line-rule="auto"/>
        <w:ind w:firstLine="540"/>
        <w:jc w:val="both"/>
      </w:pPr>
      <w:r>
        <w:rPr>
          <w:sz w:val="20"/>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отказ получателя субсидии от подписания Соглашения или подписание Соглашения с его стороны в нарушение сроков, установленных Порядком;</w:t>
      </w:r>
    </w:p>
    <w:p>
      <w:pPr>
        <w:pStyle w:val="0"/>
        <w:spacing w:before="200" w:line-rule="auto"/>
        <w:ind w:firstLine="540"/>
        <w:jc w:val="both"/>
      </w:pPr>
      <w:r>
        <w:rPr>
          <w:sz w:val="20"/>
        </w:rPr>
        <w:t xml:space="preserve">несоответствие получателя субсидии категориям и критериям отбора, а также требованиям, установленным Порядком, на дату заключения Соглашения;</w:t>
      </w:r>
    </w:p>
    <w:p>
      <w:pPr>
        <w:pStyle w:val="0"/>
        <w:spacing w:before="200" w:line-rule="auto"/>
        <w:ind w:firstLine="540"/>
        <w:jc w:val="both"/>
      </w:pPr>
      <w:r>
        <w:rPr>
          <w:sz w:val="20"/>
        </w:rPr>
        <w:t xml:space="preserve">отказ от получения субсидии, поступивший от получателя субсидии;</w:t>
      </w:r>
    </w:p>
    <w:p>
      <w:pPr>
        <w:pStyle w:val="0"/>
        <w:spacing w:before="200" w:line-rule="auto"/>
        <w:ind w:firstLine="540"/>
        <w:jc w:val="both"/>
      </w:pPr>
      <w:r>
        <w:rPr>
          <w:sz w:val="20"/>
        </w:rP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p>
      <w:pPr>
        <w:pStyle w:val="0"/>
        <w:spacing w:before="200" w:line-rule="auto"/>
        <w:ind w:firstLine="540"/>
        <w:jc w:val="both"/>
      </w:pPr>
      <w:r>
        <w:rPr>
          <w:sz w:val="20"/>
        </w:rPr>
        <w:t xml:space="preserve">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36. Результатом предоставления субсидии является количество созданных рабочих мест.</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37. Перечисление субсидии осуществляется не позднее 10-го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w:t>
      </w:r>
    </w:p>
    <w:p>
      <w:pPr>
        <w:pStyle w:val="0"/>
        <w:spacing w:before="200" w:line-rule="auto"/>
        <w:ind w:firstLine="540"/>
        <w:jc w:val="both"/>
      </w:pPr>
      <w:r>
        <w:rPr>
          <w:sz w:val="20"/>
        </w:rPr>
        <w:t xml:space="preserve">38. Субсидия подлежит перечислению на расчетный счет, открытый получателю субсидии в кредитной организации, указанный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39. Отчеты о достижении значений результата предоставления субсидии представляются получателем субсидии в Мининвест Московской области ежеквартально до 25 числа месяца, следующего за отчетным кварталом года получения субсидии.</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40. Проверка и принятие отчетности, представляемой в соответствии с настоящим разделом, осуществляется Мининвестом Московской области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Министерство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Министерство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3882" w:tooltip="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41</w:t>
        </w:r>
      </w:hyperlink>
      <w:r>
        <w:rPr>
          <w:sz w:val="20"/>
        </w:rPr>
        <w:t xml:space="preserve"> Порядка.</w:t>
      </w:r>
    </w:p>
    <w:p>
      <w:pPr>
        <w:pStyle w:val="0"/>
        <w:jc w:val="both"/>
      </w:pPr>
      <w:r>
        <w:rPr>
          <w:sz w:val="20"/>
        </w:rPr>
      </w:r>
    </w:p>
    <w:p>
      <w:pPr>
        <w:pStyle w:val="2"/>
        <w:outlineLvl w:val="4"/>
        <w:jc w:val="center"/>
      </w:pPr>
      <w:r>
        <w:rPr>
          <w:sz w:val="20"/>
        </w:rPr>
        <w:t xml:space="preserve">V. Контроль за соблюдением условий и порядка предоставления</w:t>
      </w:r>
    </w:p>
    <w:p>
      <w:pPr>
        <w:pStyle w:val="2"/>
        <w:jc w:val="center"/>
      </w:pPr>
      <w:r>
        <w:rPr>
          <w:sz w:val="20"/>
        </w:rPr>
        <w:t xml:space="preserve">субсидии и ответственность за их нарушение</w:t>
      </w:r>
    </w:p>
    <w:p>
      <w:pPr>
        <w:pStyle w:val="0"/>
        <w:jc w:val="both"/>
      </w:pPr>
      <w:r>
        <w:rPr>
          <w:sz w:val="20"/>
        </w:rPr>
      </w:r>
    </w:p>
    <w:bookmarkStart w:id="3882" w:name="P3882"/>
    <w:bookmarkEnd w:id="3882"/>
    <w:p>
      <w:pPr>
        <w:pStyle w:val="0"/>
        <w:ind w:firstLine="540"/>
        <w:jc w:val="both"/>
      </w:pPr>
      <w:r>
        <w:rPr>
          <w:sz w:val="20"/>
        </w:rPr>
        <w:t xml:space="preserve">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3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в полном объеме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43. В случае недостижения значений результата предоставления субсидии получатель субсидии обеспечивает возврат средств субсидии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в полном объеме.</w:t>
      </w:r>
    </w:p>
    <w:p>
      <w:pPr>
        <w:pStyle w:val="0"/>
        <w:spacing w:before="200" w:line-rule="auto"/>
        <w:ind w:firstLine="540"/>
        <w:jc w:val="both"/>
      </w:pPr>
      <w:r>
        <w:rPr>
          <w:sz w:val="20"/>
        </w:rPr>
        <w:t xml:space="preserve">44. В случае неисполнения получателем субсидии требования о возврате средств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45.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расторжения Соглашения с получателем субсидии и отсутствия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субсидий или признанных победителями отбора, заявки которых в части запрашиваемого размера субсидии не были удовлетворены в полном объеме, Мининвест Московской области принимает решение о проведении дополнительного отбора в соответствии с положениями Порядка, предусмотренными для проведения отбора.</w:t>
      </w:r>
    </w:p>
    <w:p>
      <w:pPr>
        <w:pStyle w:val="0"/>
        <w:spacing w:before="200" w:line-rule="auto"/>
        <w:ind w:firstLine="540"/>
        <w:jc w:val="both"/>
      </w:pPr>
      <w:r>
        <w:rPr>
          <w:sz w:val="20"/>
        </w:rPr>
        <w:t xml:space="preserve">46.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неподписания победителем отбора Соглашения в срок, определенный объявлением о проведении отбора получателей субсидий в соответствии с </w:t>
      </w:r>
      <w:hyperlink w:history="0" w:anchor="P3849" w:tooltip="32. Мининвест Московской области не позднее 1-го рабочего дня, следующего за днем принятия решения о предоставлении субсидии, формирует Соглашение в форме электронного документа в системе ГИС &quot;РЭБ&quot;.">
        <w:r>
          <w:rPr>
            <w:sz w:val="20"/>
            <w:color w:val="0000ff"/>
          </w:rPr>
          <w:t xml:space="preserve">пунктом 32</w:t>
        </w:r>
      </w:hyperlink>
      <w:r>
        <w:rPr>
          <w:sz w:val="20"/>
        </w:rPr>
        <w:t xml:space="preserve"> Порядка,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Мининвест Московской области принимает решение о предоставлении субсидии без повторного проведения отбора с учетом присвоенного ранее заявке участника отбора номера в рейтинге.</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3895" w:name="P3895"/>
    <w:bookmarkEnd w:id="3895"/>
    <w:p>
      <w:pPr>
        <w:pStyle w:val="2"/>
        <w:jc w:val="center"/>
      </w:pPr>
      <w:r>
        <w:rPr>
          <w:sz w:val="20"/>
        </w:rPr>
        <w:t xml:space="preserve">ПЕРЕЧЕНЬ</w:t>
      </w:r>
    </w:p>
    <w:p>
      <w:pPr>
        <w:pStyle w:val="2"/>
        <w:jc w:val="center"/>
      </w:pPr>
      <w:r>
        <w:rPr>
          <w:sz w:val="20"/>
        </w:rPr>
        <w:t xml:space="preserve">ДОКУМЕНТОВ, ПРЕДСТАВЛЯЕМЫХ В СОСТАВЕ ЗАЯВКИ</w:t>
      </w:r>
    </w:p>
    <w:p>
      <w:pPr>
        <w:pStyle w:val="2"/>
        <w:jc w:val="center"/>
      </w:pPr>
      <w:r>
        <w:rPr>
          <w:sz w:val="20"/>
        </w:rPr>
        <w:t xml:space="preserve">УЧАСТНИКАМИ ОТБОРА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8220"/>
      </w:tblGrid>
      <w:tr>
        <w:tc>
          <w:tcPr>
            <w:tcW w:w="850" w:type="dxa"/>
          </w:tcPr>
          <w:p>
            <w:pPr>
              <w:pStyle w:val="0"/>
              <w:jc w:val="center"/>
            </w:pPr>
            <w:r>
              <w:rPr>
                <w:sz w:val="20"/>
              </w:rPr>
              <w:t xml:space="preserve">N п/п</w:t>
            </w:r>
          </w:p>
        </w:tc>
        <w:tc>
          <w:tcPr>
            <w:tcW w:w="8220" w:type="dxa"/>
          </w:tcPr>
          <w:p>
            <w:pPr>
              <w:pStyle w:val="0"/>
              <w:jc w:val="center"/>
            </w:pPr>
            <w:r>
              <w:rPr>
                <w:sz w:val="20"/>
              </w:rPr>
              <w:t xml:space="preserve">Наименование документа</w:t>
            </w:r>
          </w:p>
        </w:tc>
      </w:tr>
      <w:tr>
        <w:tc>
          <w:tcPr>
            <w:tcW w:w="850" w:type="dxa"/>
          </w:tcPr>
          <w:p>
            <w:pPr>
              <w:pStyle w:val="0"/>
            </w:pPr>
            <w:r>
              <w:rPr>
                <w:sz w:val="20"/>
              </w:rPr>
              <w:t xml:space="preserve">1</w:t>
            </w:r>
          </w:p>
        </w:tc>
        <w:tc>
          <w:tcPr>
            <w:tcW w:w="8220" w:type="dxa"/>
          </w:tcPr>
          <w:p>
            <w:pPr>
              <w:pStyle w:val="0"/>
            </w:pPr>
            <w:r>
              <w:rPr>
                <w:sz w:val="20"/>
              </w:rPr>
              <w:t xml:space="preserve">Документ, удостоверяющий личность представителя участника отбора</w:t>
            </w:r>
          </w:p>
        </w:tc>
      </w:tr>
      <w:tr>
        <w:tc>
          <w:tcPr>
            <w:tcW w:w="850" w:type="dxa"/>
          </w:tcPr>
          <w:p>
            <w:pPr>
              <w:pStyle w:val="0"/>
            </w:pPr>
            <w:r>
              <w:rPr>
                <w:sz w:val="20"/>
              </w:rPr>
              <w:t xml:space="preserve">2</w:t>
            </w:r>
          </w:p>
        </w:tc>
        <w:tc>
          <w:tcPr>
            <w:tcW w:w="8220" w:type="dxa"/>
          </w:tcPr>
          <w:p>
            <w:pPr>
              <w:pStyle w:val="0"/>
            </w:pPr>
            <w:r>
              <w:rPr>
                <w:sz w:val="20"/>
              </w:rPr>
              <w:t xml:space="preserve">Справка, подписанная руководителем либо иным уполномоченным лицом, а также главным бухгалтером (при наличии) участника отбора, подтверждающая соответствие требованиям, предусмотренным </w:t>
            </w:r>
            <w:hyperlink w:history="0" w:anchor="P3711"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tc>
      </w:tr>
      <w:tr>
        <w:tc>
          <w:tcPr>
            <w:tcW w:w="850" w:type="dxa"/>
          </w:tcPr>
          <w:p>
            <w:pPr>
              <w:pStyle w:val="0"/>
            </w:pPr>
            <w:r>
              <w:rPr>
                <w:sz w:val="20"/>
              </w:rPr>
              <w:t xml:space="preserve">3</w:t>
            </w:r>
          </w:p>
        </w:tc>
        <w:tc>
          <w:tcPr>
            <w:tcW w:w="8220" w:type="dxa"/>
          </w:tcPr>
          <w:p>
            <w:pPr>
              <w:pStyle w:val="0"/>
            </w:pPr>
            <w:r>
              <w:rPr>
                <w:sz w:val="20"/>
              </w:rPr>
              <w:t xml:space="preserve">Учредительные документы, изменения и дополнения к ним</w:t>
            </w:r>
          </w:p>
        </w:tc>
      </w:tr>
      <w:tr>
        <w:tc>
          <w:tcPr>
            <w:tcW w:w="850" w:type="dxa"/>
          </w:tcPr>
          <w:p>
            <w:pPr>
              <w:pStyle w:val="0"/>
            </w:pPr>
            <w:r>
              <w:rPr>
                <w:sz w:val="20"/>
              </w:rPr>
              <w:t xml:space="preserve">4</w:t>
            </w:r>
          </w:p>
        </w:tc>
        <w:tc>
          <w:tcPr>
            <w:tcW w:w="8220" w:type="dxa"/>
          </w:tcPr>
          <w:p>
            <w:pPr>
              <w:pStyle w:val="0"/>
            </w:pPr>
            <w:r>
              <w:rPr>
                <w:sz w:val="20"/>
              </w:rPr>
              <w:t xml:space="preserve">Лицензии на осуществление деятельности (при наличии)</w:t>
            </w:r>
          </w:p>
        </w:tc>
      </w:tr>
      <w:tr>
        <w:tc>
          <w:tcPr>
            <w:tcW w:w="850" w:type="dxa"/>
          </w:tcPr>
          <w:p>
            <w:pPr>
              <w:pStyle w:val="0"/>
            </w:pPr>
            <w:r>
              <w:rPr>
                <w:sz w:val="20"/>
              </w:rPr>
              <w:t xml:space="preserve">5</w:t>
            </w:r>
          </w:p>
        </w:tc>
        <w:tc>
          <w:tcPr>
            <w:tcW w:w="8220" w:type="dxa"/>
          </w:tcPr>
          <w:p>
            <w:pPr>
              <w:pStyle w:val="0"/>
            </w:pPr>
            <w:r>
              <w:rPr>
                <w:sz w:val="20"/>
              </w:rPr>
              <w:t xml:space="preserve">Справка об уплате налогов участником Отбора</w:t>
            </w:r>
          </w:p>
        </w:tc>
      </w:tr>
      <w:tr>
        <w:tc>
          <w:tcPr>
            <w:tcW w:w="850" w:type="dxa"/>
          </w:tcPr>
          <w:p>
            <w:pPr>
              <w:pStyle w:val="0"/>
            </w:pPr>
            <w:r>
              <w:rPr>
                <w:sz w:val="20"/>
              </w:rPr>
              <w:t xml:space="preserve">6</w:t>
            </w:r>
          </w:p>
        </w:tc>
        <w:tc>
          <w:tcPr>
            <w:tcW w:w="8220" w:type="dxa"/>
          </w:tcPr>
          <w:p>
            <w:pPr>
              <w:pStyle w:val="0"/>
            </w:pPr>
            <w:r>
              <w:rPr>
                <w:sz w:val="20"/>
              </w:rPr>
              <w:t xml:space="preserve">Справка об отсутствии сведений в РДЛ об участнике Отбора, руководителе участника Отбора, членах коллегиального исполнительного органа участника Отбора, лице, исполняющем функции единоличного исполнительного органа участника Отбора, главном бухгалтере участника Отбора</w:t>
            </w:r>
          </w:p>
        </w:tc>
      </w:tr>
      <w:tr>
        <w:tc>
          <w:tcPr>
            <w:tcW w:w="850" w:type="dxa"/>
          </w:tcPr>
          <w:p>
            <w:pPr>
              <w:pStyle w:val="0"/>
            </w:pPr>
            <w:r>
              <w:rPr>
                <w:sz w:val="20"/>
              </w:rPr>
              <w:t xml:space="preserve">7</w:t>
            </w:r>
          </w:p>
        </w:tc>
        <w:tc>
          <w:tcPr>
            <w:tcW w:w="8220" w:type="dxa"/>
          </w:tcPr>
          <w:p>
            <w:pPr>
              <w:pStyle w:val="0"/>
            </w:pPr>
            <w:r>
              <w:rPr>
                <w:sz w:val="20"/>
              </w:rPr>
              <w:t xml:space="preserve">Выписка из ЕГРЮЛ, выданная не ранее чем за 30 дней до даты подачи заявки</w:t>
            </w:r>
          </w:p>
        </w:tc>
      </w:tr>
      <w:tr>
        <w:tc>
          <w:tcPr>
            <w:tcW w:w="850" w:type="dxa"/>
          </w:tcPr>
          <w:p>
            <w:pPr>
              <w:pStyle w:val="0"/>
            </w:pPr>
            <w:r>
              <w:rPr>
                <w:sz w:val="20"/>
              </w:rPr>
              <w:t xml:space="preserve">8</w:t>
            </w:r>
          </w:p>
        </w:tc>
        <w:tc>
          <w:tcPr>
            <w:tcW w:w="8220" w:type="dxa"/>
          </w:tcPr>
          <w:p>
            <w:pPr>
              <w:pStyle w:val="0"/>
            </w:pPr>
            <w:r>
              <w:rPr>
                <w:sz w:val="20"/>
              </w:rPr>
              <w:t xml:space="preserve">Документ о назначении на должность лица, уполномоченного на ведение бухгалтерского учета и представление бухгалтерской (финансовой) отчетности, или документ, подтверждающий принятие ведения бухгалтерского учета руководителем участника Отбора (при наличии)</w:t>
            </w:r>
          </w:p>
        </w:tc>
      </w:tr>
      <w:tr>
        <w:tc>
          <w:tcPr>
            <w:tcW w:w="850" w:type="dxa"/>
          </w:tcPr>
          <w:p>
            <w:pPr>
              <w:pStyle w:val="0"/>
            </w:pPr>
            <w:r>
              <w:rPr>
                <w:sz w:val="20"/>
              </w:rPr>
              <w:t xml:space="preserve">9</w:t>
            </w:r>
          </w:p>
        </w:tc>
        <w:tc>
          <w:tcPr>
            <w:tcW w:w="8220" w:type="dxa"/>
          </w:tcPr>
          <w:p>
            <w:pPr>
              <w:pStyle w:val="0"/>
            </w:pPr>
            <w:r>
              <w:rPr>
                <w:sz w:val="20"/>
              </w:rPr>
              <w:t xml:space="preserve">Расчетные ведомости (форма N Т-51) за месяц, предыдущий месяцу подачи заявки (сведения о заработной плате указываются в части работников, чьи рабочие места созданы в целях создания промышленного предприятия или увеличения производственных мощностей существующего промышленного предприятия, с отражением Ф.И.О. работников и структурного подразделения)</w:t>
            </w:r>
          </w:p>
        </w:tc>
      </w:tr>
      <w:tr>
        <w:tc>
          <w:tcPr>
            <w:tcW w:w="850" w:type="dxa"/>
          </w:tcPr>
          <w:p>
            <w:pPr>
              <w:pStyle w:val="0"/>
            </w:pPr>
            <w:r>
              <w:rPr>
                <w:sz w:val="20"/>
              </w:rPr>
              <w:t xml:space="preserve">10</w:t>
            </w:r>
          </w:p>
        </w:tc>
        <w:tc>
          <w:tcPr>
            <w:tcW w:w="8220" w:type="dxa"/>
          </w:tcPr>
          <w:p>
            <w:pPr>
              <w:pStyle w:val="0"/>
            </w:pPr>
            <w:r>
              <w:rPr>
                <w:sz w:val="20"/>
              </w:rPr>
              <w:t xml:space="preserve">Штатное расписание по состоянию на конец месяца, предшествующего месяцу подачи документов на участие в Отборе</w:t>
            </w:r>
          </w:p>
        </w:tc>
      </w:tr>
      <w:tr>
        <w:tc>
          <w:tcPr>
            <w:tcW w:w="850" w:type="dxa"/>
          </w:tcPr>
          <w:p>
            <w:pPr>
              <w:pStyle w:val="0"/>
            </w:pPr>
            <w:r>
              <w:rPr>
                <w:sz w:val="20"/>
              </w:rPr>
              <w:t xml:space="preserve">11</w:t>
            </w:r>
          </w:p>
        </w:tc>
        <w:tc>
          <w:tcPr>
            <w:tcW w:w="8220" w:type="dxa"/>
          </w:tcPr>
          <w:p>
            <w:pPr>
              <w:pStyle w:val="0"/>
            </w:pPr>
            <w:hyperlink w:history="0" r:id="rId318" w:tooltip="Приказ Минэкономразвития России от 30.01.2018 N 26 &quot;Об утверждении формы свидетельства, удостоверяющего регистрацию лица в качестве резидента особой экономической зоны&quot; (Зарегистрировано в Минюсте России 05.04.2018 N 50636) {КонсультантПлюс}">
              <w:r>
                <w:rPr>
                  <w:sz w:val="20"/>
                  <w:color w:val="0000ff"/>
                </w:rPr>
                <w:t xml:space="preserve">Свидетельство</w:t>
              </w:r>
            </w:hyperlink>
            <w:r>
              <w:rPr>
                <w:sz w:val="20"/>
              </w:rPr>
              <w:t xml:space="preserve">, удостоверяющее регистрацию участника Отбора в качестве резидента ОЭЗ, по форме, утвержденной приказом Минэкономразвития России от 30.01.2018 N 26 "Об утверждении формы свидетельства, удостоверяющего регистрацию лица в качестве резидента особой экономической зоны" (для участников Отбора, являющихся резидентами ОЭЗ)</w:t>
            </w:r>
          </w:p>
        </w:tc>
      </w:tr>
      <w:tr>
        <w:tc>
          <w:tcPr>
            <w:tcW w:w="850" w:type="dxa"/>
          </w:tcPr>
          <w:p>
            <w:pPr>
              <w:pStyle w:val="0"/>
            </w:pPr>
            <w:r>
              <w:rPr>
                <w:sz w:val="20"/>
              </w:rPr>
              <w:t xml:space="preserve">12</w:t>
            </w:r>
          </w:p>
        </w:tc>
        <w:tc>
          <w:tcPr>
            <w:tcW w:w="8220" w:type="dxa"/>
          </w:tcPr>
          <w:p>
            <w:pPr>
              <w:pStyle w:val="0"/>
            </w:pPr>
            <w:r>
              <w:rPr>
                <w:sz w:val="20"/>
              </w:rPr>
              <w:t xml:space="preserve">Разрешение на строительство (реконструкцию) объекта капитального строительства в соответствии с законодательством Российской Федерации и Московской области</w:t>
            </w:r>
          </w:p>
        </w:tc>
      </w:tr>
      <w:tr>
        <w:tc>
          <w:tcPr>
            <w:tcW w:w="850" w:type="dxa"/>
          </w:tcPr>
          <w:p>
            <w:pPr>
              <w:pStyle w:val="0"/>
            </w:pPr>
            <w:r>
              <w:rPr>
                <w:sz w:val="20"/>
              </w:rPr>
              <w:t xml:space="preserve">13</w:t>
            </w:r>
          </w:p>
        </w:tc>
        <w:tc>
          <w:tcPr>
            <w:tcW w:w="8220" w:type="dxa"/>
          </w:tcPr>
          <w:p>
            <w:pPr>
              <w:pStyle w:val="0"/>
            </w:pPr>
            <w:r>
              <w:rPr>
                <w:sz w:val="20"/>
              </w:rPr>
              <w:t xml:space="preserve">Акт ввода в эксплуатацию объекта капитального строительства в соответствии с законодательством Российской Федерации и законодательством Московской области в случае вложения инвестиций на строительство нового промышленного предприятия и (или) реконструкцию объекта капитального строительства</w:t>
            </w:r>
          </w:p>
        </w:tc>
      </w:tr>
      <w:tr>
        <w:tc>
          <w:tcPr>
            <w:tcW w:w="850" w:type="dxa"/>
          </w:tcPr>
          <w:p>
            <w:pPr>
              <w:pStyle w:val="0"/>
            </w:pPr>
            <w:r>
              <w:rPr>
                <w:sz w:val="20"/>
              </w:rPr>
              <w:t xml:space="preserve">14</w:t>
            </w:r>
          </w:p>
        </w:tc>
        <w:tc>
          <w:tcPr>
            <w:tcW w:w="8220" w:type="dxa"/>
          </w:tcPr>
          <w:p>
            <w:pPr>
              <w:pStyle w:val="0"/>
            </w:pPr>
            <w:r>
              <w:rPr>
                <w:sz w:val="20"/>
              </w:rPr>
              <w:t xml:space="preserve">Документы, подтверждающие переход прав и обязанностей от одного юридического лица к другому, в случае если такое событие произошло</w:t>
            </w:r>
          </w:p>
        </w:tc>
      </w:tr>
      <w:tr>
        <w:tc>
          <w:tcPr>
            <w:tcW w:w="850" w:type="dxa"/>
          </w:tcPr>
          <w:p>
            <w:pPr>
              <w:pStyle w:val="0"/>
            </w:pPr>
            <w:r>
              <w:rPr>
                <w:sz w:val="20"/>
              </w:rPr>
              <w:t xml:space="preserve">15</w:t>
            </w:r>
          </w:p>
        </w:tc>
        <w:tc>
          <w:tcPr>
            <w:tcW w:w="8220" w:type="dxa"/>
          </w:tcPr>
          <w:p>
            <w:pPr>
              <w:pStyle w:val="0"/>
            </w:pPr>
            <w:r>
              <w:rPr>
                <w:sz w:val="20"/>
              </w:rPr>
              <w:t xml:space="preserve">Договор о реорганизации в форме присоединения или слияния с приложением соответствующего акта приема-передачи, в случае если такое событие произошло</w:t>
            </w:r>
          </w:p>
        </w:tc>
      </w:tr>
      <w:tr>
        <w:tc>
          <w:tcPr>
            <w:tcW w:w="850" w:type="dxa"/>
          </w:tcPr>
          <w:p>
            <w:pPr>
              <w:pStyle w:val="0"/>
            </w:pPr>
            <w:r>
              <w:rPr>
                <w:sz w:val="20"/>
              </w:rPr>
              <w:t xml:space="preserve">16</w:t>
            </w:r>
          </w:p>
        </w:tc>
        <w:tc>
          <w:tcPr>
            <w:tcW w:w="8220" w:type="dxa"/>
          </w:tcPr>
          <w:p>
            <w:pPr>
              <w:pStyle w:val="0"/>
            </w:pPr>
            <w:r>
              <w:rPr>
                <w:sz w:val="20"/>
              </w:rPr>
              <w:t xml:space="preserve">Расчет общего объема инвестиций на строительство нового промышленного предприятия и (или) увеличение производственных мощностей существующего промышленного предприятия в соответствии с </w:t>
            </w:r>
            <w:hyperlink w:history="0" w:anchor="P4102" w:tooltip="Расчет">
              <w:r>
                <w:rPr>
                  <w:sz w:val="20"/>
                  <w:color w:val="0000ff"/>
                </w:rPr>
                <w:t xml:space="preserve">таблицей 2</w:t>
              </w:r>
            </w:hyperlink>
            <w:r>
              <w:rPr>
                <w:sz w:val="20"/>
              </w:rPr>
              <w:t xml:space="preserve"> к Порядку</w:t>
            </w:r>
          </w:p>
        </w:tc>
      </w:tr>
      <w:tr>
        <w:tc>
          <w:tcPr>
            <w:tcW w:w="850" w:type="dxa"/>
          </w:tcPr>
          <w:p>
            <w:pPr>
              <w:pStyle w:val="0"/>
            </w:pPr>
            <w:r>
              <w:rPr>
                <w:sz w:val="20"/>
              </w:rPr>
              <w:t xml:space="preserve">17</w:t>
            </w:r>
          </w:p>
        </w:tc>
        <w:tc>
          <w:tcPr>
            <w:tcW w:w="8220" w:type="dxa"/>
          </w:tcPr>
          <w:p>
            <w:pPr>
              <w:pStyle w:val="0"/>
            </w:pPr>
            <w:r>
              <w:rPr>
                <w:sz w:val="20"/>
              </w:rPr>
              <w:t xml:space="preserve">Расчет затрат на создание (строительство) и (или) реконструкцию объектов инженерной и транспортной инфраструктуры для новых промышленных предприятий и (или) для увеличивших производственные мощности существующих промышленных предприятий в соответствии с </w:t>
            </w:r>
            <w:hyperlink w:history="0" w:anchor="P4213" w:tooltip="Затраты">
              <w:r>
                <w:rPr>
                  <w:sz w:val="20"/>
                  <w:color w:val="0000ff"/>
                </w:rPr>
                <w:t xml:space="preserve">таблицей 3</w:t>
              </w:r>
            </w:hyperlink>
            <w:r>
              <w:rPr>
                <w:sz w:val="20"/>
              </w:rPr>
              <w:t xml:space="preserve"> к Порядку</w:t>
            </w:r>
          </w:p>
        </w:tc>
      </w:tr>
      <w:tr>
        <w:tc>
          <w:tcPr>
            <w:tcW w:w="850" w:type="dxa"/>
          </w:tcPr>
          <w:p>
            <w:pPr>
              <w:pStyle w:val="0"/>
            </w:pPr>
            <w:r>
              <w:rPr>
                <w:sz w:val="20"/>
              </w:rPr>
              <w:t xml:space="preserve">18</w:t>
            </w:r>
          </w:p>
        </w:tc>
        <w:tc>
          <w:tcPr>
            <w:tcW w:w="8220" w:type="dxa"/>
          </w:tcPr>
          <w:p>
            <w:pPr>
              <w:pStyle w:val="0"/>
            </w:pPr>
            <w:r>
              <w:rPr>
                <w:sz w:val="20"/>
              </w:rPr>
              <w:t xml:space="preserve">Документы, подтверждающие инвестиции участника Отбора, связанные со строительством и (или) реконструкцией объекта капитального строительства</w:t>
            </w:r>
          </w:p>
        </w:tc>
      </w:tr>
      <w:tr>
        <w:tc>
          <w:tcPr>
            <w:tcW w:w="850" w:type="dxa"/>
          </w:tcPr>
          <w:p>
            <w:pPr>
              <w:pStyle w:val="0"/>
            </w:pPr>
            <w:r>
              <w:rPr>
                <w:sz w:val="20"/>
              </w:rPr>
              <w:t xml:space="preserve">19</w:t>
            </w:r>
          </w:p>
        </w:tc>
        <w:tc>
          <w:tcPr>
            <w:tcW w:w="8220" w:type="dxa"/>
          </w:tcPr>
          <w:p>
            <w:pPr>
              <w:pStyle w:val="0"/>
            </w:pPr>
            <w:r>
              <w:rPr>
                <w:sz w:val="20"/>
              </w:rPr>
              <w:t xml:space="preserve">Договоры на строительство и (или) реконструкцию объекта капитального строительства в рамках создания промышленного предприятия и (или) увеличения производственных мощностей существующего промышленного предприятия (в том числе заключенные техническим заказчиком с подрядчиками)</w:t>
            </w:r>
          </w:p>
        </w:tc>
      </w:tr>
      <w:tr>
        <w:tc>
          <w:tcPr>
            <w:tcW w:w="850" w:type="dxa"/>
          </w:tcPr>
          <w:p>
            <w:pPr>
              <w:pStyle w:val="0"/>
            </w:pPr>
            <w:r>
              <w:rPr>
                <w:sz w:val="20"/>
              </w:rPr>
              <w:t xml:space="preserve">20</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договоры (счета) на приобретение и доставку материалов, работу техники в рамках создания промышленного предприятия и (или) увеличения производственных мощностей существующего промышленного предприятия (в том числе заключенные техническим заказчиком с подрядчиками) (при наличии)</w:t>
            </w:r>
          </w:p>
        </w:tc>
      </w:tr>
      <w:tr>
        <w:tc>
          <w:tcPr>
            <w:tcW w:w="850" w:type="dxa"/>
          </w:tcPr>
          <w:p>
            <w:pPr>
              <w:pStyle w:val="0"/>
            </w:pPr>
            <w:r>
              <w:rPr>
                <w:sz w:val="20"/>
              </w:rPr>
              <w:t xml:space="preserve">21</w:t>
            </w:r>
          </w:p>
        </w:tc>
        <w:tc>
          <w:tcPr>
            <w:tcW w:w="8220" w:type="dxa"/>
          </w:tcPr>
          <w:p>
            <w:pPr>
              <w:pStyle w:val="0"/>
            </w:pPr>
            <w:r>
              <w:rPr>
                <w:sz w:val="20"/>
              </w:rPr>
              <w:t xml:space="preserve">Платежные документы, подтверждающие оплату договоров на строительство и (или) реконструкцию объекта капитального строительства, в рамках создания промышленного предприятия и (или) увеличения производственных мощностей существующего промышленного предприятия, за период возмещения</w:t>
            </w:r>
          </w:p>
        </w:tc>
      </w:tr>
      <w:tr>
        <w:tc>
          <w:tcPr>
            <w:tcW w:w="850" w:type="dxa"/>
          </w:tcPr>
          <w:p>
            <w:pPr>
              <w:pStyle w:val="0"/>
            </w:pPr>
            <w:r>
              <w:rPr>
                <w:sz w:val="20"/>
              </w:rPr>
              <w:t xml:space="preserve">22</w:t>
            </w:r>
          </w:p>
        </w:tc>
        <w:tc>
          <w:tcPr>
            <w:tcW w:w="8220" w:type="dxa"/>
          </w:tcPr>
          <w:p>
            <w:pPr>
              <w:pStyle w:val="0"/>
            </w:pPr>
            <w:r>
              <w:rPr>
                <w:sz w:val="20"/>
              </w:rPr>
              <w:t xml:space="preserve">Платежные документы, подтверждающие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договоров (счетов) на приобретение и доставку материалов, работу техники в рамках создания промышленного предприятия и (или) увеличения производственных мощностей существующего промышленного предприятия (в том числе заключенных техническим заказчиком с подрядчиками) (при наличии)</w:t>
            </w:r>
          </w:p>
        </w:tc>
      </w:tr>
      <w:tr>
        <w:tc>
          <w:tcPr>
            <w:tcW w:w="850" w:type="dxa"/>
          </w:tcPr>
          <w:p>
            <w:pPr>
              <w:pStyle w:val="0"/>
            </w:pPr>
            <w:r>
              <w:rPr>
                <w:sz w:val="20"/>
              </w:rPr>
              <w:t xml:space="preserve">23</w:t>
            </w:r>
          </w:p>
        </w:tc>
        <w:tc>
          <w:tcPr>
            <w:tcW w:w="8220" w:type="dxa"/>
          </w:tcPr>
          <w:p>
            <w:pPr>
              <w:pStyle w:val="0"/>
            </w:pPr>
            <w:r>
              <w:rPr>
                <w:sz w:val="20"/>
              </w:rPr>
              <w:t xml:space="preserve">Акты, подтверждающие затраты на строительство и (или) реконструкцию объекта капитального строительства, в рамках создания промышленного предприятия и (или) увеличения производственных мощностей существующего промышленного предприятия:</w:t>
            </w:r>
          </w:p>
          <w:p>
            <w:pPr>
              <w:pStyle w:val="0"/>
            </w:pPr>
            <w:r>
              <w:rPr>
                <w:sz w:val="20"/>
              </w:rPr>
              <w:t xml:space="preserve">в случае проведения работ подрядным способом - акты выполненных работ (в том числе по форме КС-2), накладные на приобретение строительных материалов; справки о стоимости выполненных работ (по форме КС-3);</w:t>
            </w:r>
          </w:p>
          <w:p>
            <w:pPr>
              <w:pStyle w:val="0"/>
            </w:pPr>
            <w:r>
              <w:rPr>
                <w:sz w:val="20"/>
              </w:rPr>
              <w:t xml:space="preserve">в случае ведения работ хозяйственным способом -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накладные на приобретение строительных материалов;</w:t>
            </w:r>
          </w:p>
          <w:p>
            <w:pPr>
              <w:pStyle w:val="0"/>
            </w:pPr>
            <w:r>
              <w:rPr>
                <w:sz w:val="20"/>
              </w:rPr>
              <w:t xml:space="preserve">в случае строительства и (или) реконструкции объекта капитального строительства, когда действия от имени застройщика осуществляет технический заказчик, - отчеты технического заказчика, акты выполненных работ между техническим заказчиком и подрядчиком (в том числе по форме КС-2), справки о стоимости выполненных работ между техническим заказчиком и подрядчиком (по форме КС-3);</w:t>
            </w:r>
          </w:p>
          <w:p>
            <w:pPr>
              <w:pStyle w:val="0"/>
            </w:pPr>
            <w:r>
              <w:rPr>
                <w:sz w:val="20"/>
              </w:rPr>
              <w:t xml:space="preserve">товарные и товарно-транспортные накладные, счета на оплату, акты об оказании услуг, акты сдачи-приемки работ, счета-фактуры на работы,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участником Отбора, копия лицензии на осуществление строительства зданий и сооружений, строительно-монтажных работ хозяйственным способом (при наличии)</w:t>
            </w:r>
          </w:p>
        </w:tc>
      </w:tr>
      <w:tr>
        <w:tc>
          <w:tcPr>
            <w:tcW w:w="850" w:type="dxa"/>
          </w:tcPr>
          <w:p>
            <w:pPr>
              <w:pStyle w:val="0"/>
            </w:pPr>
            <w:r>
              <w:rPr>
                <w:sz w:val="20"/>
              </w:rPr>
              <w:t xml:space="preserve">24</w:t>
            </w:r>
          </w:p>
        </w:tc>
        <w:tc>
          <w:tcPr>
            <w:tcW w:w="8220" w:type="dxa"/>
          </w:tcPr>
          <w:p>
            <w:pPr>
              <w:pStyle w:val="0"/>
            </w:pPr>
            <w:r>
              <w:rPr>
                <w:sz w:val="20"/>
              </w:rPr>
              <w:t xml:space="preserve">Документы, подтверждающие инвестиции участника Отбора, связанные с приобретением производственного оборудования в рамках создания промышленного предприятия или увеличения производственных мощностей существующего промышленного предприятия</w:t>
            </w:r>
          </w:p>
        </w:tc>
      </w:tr>
      <w:tr>
        <w:tc>
          <w:tcPr>
            <w:tcW w:w="850" w:type="dxa"/>
          </w:tcPr>
          <w:p>
            <w:pPr>
              <w:pStyle w:val="0"/>
            </w:pPr>
            <w:r>
              <w:rPr>
                <w:sz w:val="20"/>
              </w:rPr>
              <w:t xml:space="preserve">25</w:t>
            </w:r>
          </w:p>
        </w:tc>
        <w:tc>
          <w:tcPr>
            <w:tcW w:w="8220" w:type="dxa"/>
          </w:tcPr>
          <w:p>
            <w:pPr>
              <w:pStyle w:val="0"/>
            </w:pPr>
            <w:r>
              <w:rPr>
                <w:sz w:val="20"/>
              </w:rPr>
              <w:t xml:space="preserve">Договоры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tc>
          <w:tcPr>
            <w:tcW w:w="850" w:type="dxa"/>
          </w:tcPr>
          <w:p>
            <w:pPr>
              <w:pStyle w:val="0"/>
            </w:pPr>
            <w:r>
              <w:rPr>
                <w:sz w:val="20"/>
              </w:rPr>
              <w:t xml:space="preserve">26</w:t>
            </w:r>
          </w:p>
        </w:tc>
        <w:tc>
          <w:tcPr>
            <w:tcW w:w="8220" w:type="dxa"/>
          </w:tcPr>
          <w:p>
            <w:pPr>
              <w:pStyle w:val="0"/>
            </w:pPr>
            <w:r>
              <w:rPr>
                <w:sz w:val="20"/>
              </w:rPr>
              <w:t xml:space="preserve">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tc>
      </w:tr>
      <w:tr>
        <w:tc>
          <w:tcPr>
            <w:tcW w:w="850" w:type="dxa"/>
          </w:tcPr>
          <w:p>
            <w:pPr>
              <w:pStyle w:val="0"/>
            </w:pPr>
            <w:r>
              <w:rPr>
                <w:sz w:val="20"/>
              </w:rPr>
              <w:t xml:space="preserve">27</w:t>
            </w:r>
          </w:p>
        </w:tc>
        <w:tc>
          <w:tcPr>
            <w:tcW w:w="8220" w:type="dxa"/>
          </w:tcPr>
          <w:p>
            <w:pPr>
              <w:pStyle w:val="0"/>
            </w:pPr>
            <w:r>
              <w:rPr>
                <w:sz w:val="20"/>
              </w:rPr>
              <w:t xml:space="preserve">Документы о постановке основных средств на баланс юридического лица (акт о приеме-передаче объекта основных средств (кроме зданий, сооружений) (форма ОС-1)</w:t>
            </w:r>
          </w:p>
        </w:tc>
      </w:tr>
      <w:tr>
        <w:tc>
          <w:tcPr>
            <w:tcW w:w="850" w:type="dxa"/>
          </w:tcPr>
          <w:p>
            <w:pPr>
              <w:pStyle w:val="0"/>
            </w:pPr>
            <w:r>
              <w:rPr>
                <w:sz w:val="20"/>
              </w:rPr>
              <w:t xml:space="preserve">28</w:t>
            </w:r>
          </w:p>
        </w:tc>
        <w:tc>
          <w:tcPr>
            <w:tcW w:w="8220" w:type="dxa"/>
          </w:tcPr>
          <w:p>
            <w:pPr>
              <w:pStyle w:val="0"/>
            </w:pPr>
            <w:r>
              <w:rPr>
                <w:sz w:val="20"/>
              </w:rPr>
              <w:t xml:space="preserve">Документы, подтверждающие осуществление затрат участника Отбора на инженерную инфраструктуру, связанных с частичным возмещением затрат на электроснабжение:</w:t>
            </w:r>
          </w:p>
        </w:tc>
      </w:tr>
      <w:tr>
        <w:tc>
          <w:tcPr>
            <w:tcW w:w="850" w:type="dxa"/>
          </w:tcPr>
          <w:p>
            <w:pPr>
              <w:pStyle w:val="0"/>
            </w:pPr>
            <w:r>
              <w:rPr>
                <w:sz w:val="20"/>
              </w:rPr>
              <w:t xml:space="preserve">28.1</w:t>
            </w:r>
          </w:p>
        </w:tc>
        <w:tc>
          <w:tcPr>
            <w:tcW w:w="8220" w:type="dxa"/>
          </w:tcPr>
          <w:p>
            <w:pPr>
              <w:pStyle w:val="0"/>
            </w:pPr>
            <w:r>
              <w:rPr>
                <w:sz w:val="20"/>
              </w:rPr>
              <w:t xml:space="preserve">Договоры на строительство объектов электроснабжения и (или) подключение (технологическое присоединение) и (или) увеличение их технологических мощностей, заключенные с ресурсоснабжающими организациями, к электрическим сетям производственного объекта капитального строительства</w:t>
            </w:r>
          </w:p>
        </w:tc>
      </w:tr>
      <w:tr>
        <w:tc>
          <w:tcPr>
            <w:tcW w:w="850" w:type="dxa"/>
          </w:tcPr>
          <w:p>
            <w:pPr>
              <w:pStyle w:val="0"/>
            </w:pPr>
            <w:r>
              <w:rPr>
                <w:sz w:val="20"/>
              </w:rPr>
              <w:t xml:space="preserve">28.2</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на строительство объектов электроснабжения (при наличии)</w:t>
            </w:r>
          </w:p>
        </w:tc>
      </w:tr>
      <w:tr>
        <w:tc>
          <w:tcPr>
            <w:tcW w:w="850" w:type="dxa"/>
          </w:tcPr>
          <w:p>
            <w:pPr>
              <w:pStyle w:val="0"/>
            </w:pPr>
            <w:r>
              <w:rPr>
                <w:sz w:val="20"/>
              </w:rPr>
              <w:t xml:space="preserve">28.3</w:t>
            </w:r>
          </w:p>
        </w:tc>
        <w:tc>
          <w:tcPr>
            <w:tcW w:w="8220" w:type="dxa"/>
          </w:tcPr>
          <w:p>
            <w:pPr>
              <w:pStyle w:val="0"/>
            </w:pPr>
            <w:r>
              <w:rPr>
                <w:sz w:val="20"/>
              </w:rPr>
              <w:t xml:space="preserve">Платежные поручения, подтверждающие оплату по договорам на строительство объектов электроснабжения и (или) подключение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28.4</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заверенные печатью банка или имеющие оригинальный оттиск штампа и подпись операциониста банка либо имеющие отметку "клиент-банк" (при наличии)</w:t>
            </w:r>
          </w:p>
        </w:tc>
      </w:tr>
      <w:tr>
        <w:tc>
          <w:tcPr>
            <w:tcW w:w="850" w:type="dxa"/>
          </w:tcPr>
          <w:p>
            <w:pPr>
              <w:pStyle w:val="0"/>
            </w:pPr>
            <w:r>
              <w:rPr>
                <w:sz w:val="20"/>
              </w:rPr>
              <w:t xml:space="preserve">28.5</w:t>
            </w:r>
          </w:p>
        </w:tc>
        <w:tc>
          <w:tcPr>
            <w:tcW w:w="8220" w:type="dxa"/>
          </w:tcPr>
          <w:p>
            <w:pPr>
              <w:pStyle w:val="0"/>
            </w:pPr>
            <w:r>
              <w:rPr>
                <w:sz w:val="20"/>
              </w:rPr>
              <w:t xml:space="preserve">Акты о технологическом присоединении производственного объекта капитального строительства к электрическим сетям</w:t>
            </w:r>
          </w:p>
        </w:tc>
      </w:tr>
      <w:tr>
        <w:tc>
          <w:tcPr>
            <w:tcW w:w="850" w:type="dxa"/>
          </w:tcPr>
          <w:p>
            <w:pPr>
              <w:pStyle w:val="0"/>
            </w:pPr>
            <w:r>
              <w:rPr>
                <w:sz w:val="20"/>
              </w:rPr>
              <w:t xml:space="preserve">28.6</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на строительство объектов электроснабжения и (или) подключение (технологическое присоединение) объекта капитального строительства к электрическим сетям (при наличии)</w:t>
            </w:r>
          </w:p>
        </w:tc>
      </w:tr>
      <w:tr>
        <w:tc>
          <w:tcPr>
            <w:tcW w:w="850" w:type="dxa"/>
          </w:tcPr>
          <w:p>
            <w:pPr>
              <w:pStyle w:val="0"/>
            </w:pPr>
            <w:r>
              <w:rPr>
                <w:sz w:val="20"/>
              </w:rPr>
              <w:t xml:space="preserve">28.7</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w:t>
            </w:r>
          </w:p>
        </w:tc>
      </w:tr>
      <w:tr>
        <w:tc>
          <w:tcPr>
            <w:tcW w:w="850" w:type="dxa"/>
          </w:tcPr>
          <w:p>
            <w:pPr>
              <w:pStyle w:val="0"/>
            </w:pPr>
            <w:r>
              <w:rPr>
                <w:sz w:val="20"/>
              </w:rPr>
              <w:t xml:space="preserve">29</w:t>
            </w:r>
          </w:p>
        </w:tc>
        <w:tc>
          <w:tcPr>
            <w:tcW w:w="8220" w:type="dxa"/>
          </w:tcPr>
          <w:p>
            <w:pPr>
              <w:pStyle w:val="0"/>
            </w:pPr>
            <w:r>
              <w:rPr>
                <w:sz w:val="20"/>
              </w:rPr>
              <w:t xml:space="preserve">Документы, подтверждающие осуществление затрат участника Отбора на инженерную инфраструктуру, связанных с частичным возмещением затрат участника Отбора на газоснабжение (газораспределение):</w:t>
            </w:r>
          </w:p>
        </w:tc>
      </w:tr>
      <w:tr>
        <w:tc>
          <w:tcPr>
            <w:tcW w:w="850" w:type="dxa"/>
          </w:tcPr>
          <w:p>
            <w:pPr>
              <w:pStyle w:val="0"/>
            </w:pPr>
            <w:r>
              <w:rPr>
                <w:sz w:val="20"/>
              </w:rPr>
              <w:t xml:space="preserve">29.1</w:t>
            </w:r>
          </w:p>
        </w:tc>
        <w:tc>
          <w:tcPr>
            <w:tcW w:w="8220" w:type="dxa"/>
          </w:tcPr>
          <w:p>
            <w:pPr>
              <w:pStyle w:val="0"/>
            </w:pPr>
            <w:r>
              <w:rPr>
                <w:sz w:val="20"/>
              </w:rPr>
              <w:t xml:space="preserve">Договоры на строительство объектов газоснабжения (газораспределения) и (или) подключение (технологическое присоединение) и (или) увеличение их технологических мощностей, заключенные с ресурсоснабжающими организациями, к сетям газораспределения производственного объекта капитального строительства</w:t>
            </w:r>
          </w:p>
        </w:tc>
      </w:tr>
      <w:tr>
        <w:tc>
          <w:tcPr>
            <w:tcW w:w="850" w:type="dxa"/>
          </w:tcPr>
          <w:p>
            <w:pPr>
              <w:pStyle w:val="0"/>
            </w:pPr>
            <w:r>
              <w:rPr>
                <w:sz w:val="20"/>
              </w:rPr>
              <w:t xml:space="preserve">29.2</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объектов газоснабжения (газораспределения) (при наличии)</w:t>
            </w:r>
          </w:p>
        </w:tc>
      </w:tr>
      <w:tr>
        <w:tc>
          <w:tcPr>
            <w:tcW w:w="850" w:type="dxa"/>
          </w:tcPr>
          <w:p>
            <w:pPr>
              <w:pStyle w:val="0"/>
            </w:pPr>
            <w:r>
              <w:rPr>
                <w:sz w:val="20"/>
              </w:rPr>
              <w:t xml:space="preserve">29.3</w:t>
            </w:r>
          </w:p>
        </w:tc>
        <w:tc>
          <w:tcPr>
            <w:tcW w:w="8220" w:type="dxa"/>
          </w:tcPr>
          <w:p>
            <w:pPr>
              <w:pStyle w:val="0"/>
            </w:pPr>
            <w:r>
              <w:rPr>
                <w:sz w:val="20"/>
              </w:rPr>
              <w:t xml:space="preserve">Платежные поручения, подтверждающие оплату по договорам, строительство объектов газоснабжения (газораспределения) и (или)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29.4</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заверенные печатью банка или имеющие оригинальный оттиск штампа и подпись операциониста банка либо имеющие отметку "клиент-банк" (при наличии)</w:t>
            </w:r>
          </w:p>
        </w:tc>
      </w:tr>
      <w:tr>
        <w:tc>
          <w:tcPr>
            <w:tcW w:w="850" w:type="dxa"/>
          </w:tcPr>
          <w:p>
            <w:pPr>
              <w:pStyle w:val="0"/>
            </w:pPr>
            <w:r>
              <w:rPr>
                <w:sz w:val="20"/>
              </w:rPr>
              <w:t xml:space="preserve">29.5</w:t>
            </w:r>
          </w:p>
        </w:tc>
        <w:tc>
          <w:tcPr>
            <w:tcW w:w="8220" w:type="dxa"/>
          </w:tcPr>
          <w:p>
            <w:pPr>
              <w:pStyle w:val="0"/>
            </w:pPr>
            <w:r>
              <w:rPr>
                <w:sz w:val="20"/>
              </w:rPr>
              <w:t xml:space="preserve">Акты о технологическом присоединении производственного объекта капитального строительства к сетям газораспределения</w:t>
            </w:r>
          </w:p>
        </w:tc>
      </w:tr>
      <w:tr>
        <w:tc>
          <w:tcPr>
            <w:tcW w:w="850" w:type="dxa"/>
          </w:tcPr>
          <w:p>
            <w:pPr>
              <w:pStyle w:val="0"/>
            </w:pPr>
            <w:r>
              <w:rPr>
                <w:sz w:val="20"/>
              </w:rPr>
              <w:t xml:space="preserve">29.6</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строительство объектов газоснабжения (газораспределения) и (или) подключение (технологическое присоединение) к сетям газораспределения (при наличии)</w:t>
            </w:r>
          </w:p>
        </w:tc>
      </w:tr>
      <w:tr>
        <w:tc>
          <w:tcPr>
            <w:tcW w:w="850" w:type="dxa"/>
          </w:tcPr>
          <w:p>
            <w:pPr>
              <w:pStyle w:val="0"/>
            </w:pPr>
            <w:r>
              <w:rPr>
                <w:sz w:val="20"/>
              </w:rPr>
              <w:t xml:space="preserve">29.7</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w:t>
            </w:r>
          </w:p>
        </w:tc>
      </w:tr>
      <w:tr>
        <w:tc>
          <w:tcPr>
            <w:tcW w:w="850" w:type="dxa"/>
          </w:tcPr>
          <w:p>
            <w:pPr>
              <w:pStyle w:val="0"/>
            </w:pPr>
            <w:r>
              <w:rPr>
                <w:sz w:val="20"/>
              </w:rPr>
              <w:t xml:space="preserve">30</w:t>
            </w:r>
          </w:p>
        </w:tc>
        <w:tc>
          <w:tcPr>
            <w:tcW w:w="8220" w:type="dxa"/>
          </w:tcPr>
          <w:p>
            <w:pPr>
              <w:pStyle w:val="0"/>
            </w:pPr>
            <w:r>
              <w:rPr>
                <w:sz w:val="20"/>
              </w:rPr>
              <w:t xml:space="preserve">Документы, подтверждающие осуществление затрат участника Отбора на инженерную инфраструктуру, связанных с частичным возмещением затрат на водоснабжение, водоотведение и канализацию:</w:t>
            </w:r>
          </w:p>
        </w:tc>
      </w:tr>
      <w:tr>
        <w:tc>
          <w:tcPr>
            <w:tcW w:w="850" w:type="dxa"/>
          </w:tcPr>
          <w:p>
            <w:pPr>
              <w:pStyle w:val="0"/>
            </w:pPr>
            <w:r>
              <w:rPr>
                <w:sz w:val="20"/>
              </w:rPr>
              <w:t xml:space="preserve">30.1</w:t>
            </w:r>
          </w:p>
        </w:tc>
        <w:tc>
          <w:tcPr>
            <w:tcW w:w="8220" w:type="dxa"/>
          </w:tcPr>
          <w:p>
            <w:pPr>
              <w:pStyle w:val="0"/>
            </w:pPr>
            <w:r>
              <w:rPr>
                <w:sz w:val="20"/>
              </w:rPr>
              <w:t xml:space="preserve">Договоры на строительство объектов водоснабжения, водоотведения и канализации и (или) подключение (технологическое присоединение) и (или) увеличение их технологических мощностей, заключенные с ресурсоснабжающими организациями, к сетям водоснабжения, водоотведения и канализации производственного объекта капитального строительства</w:t>
            </w:r>
          </w:p>
        </w:tc>
      </w:tr>
      <w:tr>
        <w:tc>
          <w:tcPr>
            <w:tcW w:w="850" w:type="dxa"/>
          </w:tcPr>
          <w:p>
            <w:pPr>
              <w:pStyle w:val="0"/>
            </w:pPr>
            <w:r>
              <w:rPr>
                <w:sz w:val="20"/>
              </w:rPr>
              <w:t xml:space="preserve">30.2</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по объектам водоснабжения, водоотведения и канализации (при наличии)</w:t>
            </w:r>
          </w:p>
        </w:tc>
      </w:tr>
      <w:tr>
        <w:tc>
          <w:tcPr>
            <w:tcW w:w="850" w:type="dxa"/>
          </w:tcPr>
          <w:p>
            <w:pPr>
              <w:pStyle w:val="0"/>
            </w:pPr>
            <w:r>
              <w:rPr>
                <w:sz w:val="20"/>
              </w:rPr>
              <w:t xml:space="preserve">30.3</w:t>
            </w:r>
          </w:p>
        </w:tc>
        <w:tc>
          <w:tcPr>
            <w:tcW w:w="8220" w:type="dxa"/>
          </w:tcPr>
          <w:p>
            <w:pPr>
              <w:pStyle w:val="0"/>
            </w:pPr>
            <w:r>
              <w:rPr>
                <w:sz w:val="20"/>
              </w:rPr>
              <w:t xml:space="preserve">Платежные поручения, подтверждающие оплату по договорам, строительство объектов водоснабжения, водоотведения и канализации и (или) подключение (технологическое присоединение) к сетям водоснабжения, водоотведения,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850" w:type="dxa"/>
          </w:tcPr>
          <w:p>
            <w:pPr>
              <w:pStyle w:val="0"/>
            </w:pPr>
            <w:r>
              <w:rPr>
                <w:sz w:val="20"/>
              </w:rPr>
              <w:t xml:space="preserve">30.4</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 (при наличии)</w:t>
            </w:r>
          </w:p>
        </w:tc>
      </w:tr>
      <w:tr>
        <w:tc>
          <w:tcPr>
            <w:tcW w:w="850" w:type="dxa"/>
          </w:tcPr>
          <w:p>
            <w:pPr>
              <w:pStyle w:val="0"/>
            </w:pPr>
            <w:r>
              <w:rPr>
                <w:sz w:val="20"/>
              </w:rPr>
              <w:t xml:space="preserve">30.5</w:t>
            </w:r>
          </w:p>
        </w:tc>
        <w:tc>
          <w:tcPr>
            <w:tcW w:w="8220" w:type="dxa"/>
          </w:tcPr>
          <w:p>
            <w:pPr>
              <w:pStyle w:val="0"/>
            </w:pPr>
            <w:r>
              <w:rPr>
                <w:sz w:val="20"/>
              </w:rPr>
              <w:t xml:space="preserve">Акты о технологическом присоединении производственного объекта капитального строительства к сетям водоснабжения, водоотведения и канализации</w:t>
            </w:r>
          </w:p>
        </w:tc>
      </w:tr>
      <w:tr>
        <w:tc>
          <w:tcPr>
            <w:tcW w:w="850" w:type="dxa"/>
          </w:tcPr>
          <w:p>
            <w:pPr>
              <w:pStyle w:val="0"/>
            </w:pPr>
            <w:r>
              <w:rPr>
                <w:sz w:val="20"/>
              </w:rPr>
              <w:t xml:space="preserve">30.6</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строительство объектов водоснабжения, водоотведения и канализации и (или) подключение (технологическое присоединение) к сетям водоснабжения, водоотведения и канализации (при наличии)</w:t>
            </w:r>
          </w:p>
        </w:tc>
      </w:tr>
      <w:tr>
        <w:tc>
          <w:tcPr>
            <w:tcW w:w="850" w:type="dxa"/>
          </w:tcPr>
          <w:p>
            <w:pPr>
              <w:pStyle w:val="0"/>
            </w:pPr>
            <w:r>
              <w:rPr>
                <w:sz w:val="20"/>
              </w:rPr>
              <w:t xml:space="preserve">30.7</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w:t>
            </w:r>
          </w:p>
        </w:tc>
      </w:tr>
      <w:tr>
        <w:tc>
          <w:tcPr>
            <w:tcW w:w="850" w:type="dxa"/>
          </w:tcPr>
          <w:p>
            <w:pPr>
              <w:pStyle w:val="0"/>
            </w:pPr>
            <w:r>
              <w:rPr>
                <w:sz w:val="20"/>
              </w:rPr>
              <w:t xml:space="preserve">31</w:t>
            </w:r>
          </w:p>
        </w:tc>
        <w:tc>
          <w:tcPr>
            <w:tcW w:w="8220" w:type="dxa"/>
          </w:tcPr>
          <w:p>
            <w:pPr>
              <w:pStyle w:val="0"/>
            </w:pPr>
            <w:r>
              <w:rPr>
                <w:sz w:val="20"/>
              </w:rPr>
              <w:t xml:space="preserve">Документы, подтверждающие осуществление затрат участником Отбора на инженерную инфраструктуру, связанных с частичным возмещением затрат на ЛОС:</w:t>
            </w:r>
          </w:p>
        </w:tc>
      </w:tr>
      <w:tr>
        <w:tc>
          <w:tcPr>
            <w:tcW w:w="850" w:type="dxa"/>
          </w:tcPr>
          <w:p>
            <w:pPr>
              <w:pStyle w:val="0"/>
            </w:pPr>
            <w:r>
              <w:rPr>
                <w:sz w:val="20"/>
              </w:rPr>
              <w:t xml:space="preserve">31.1</w:t>
            </w:r>
          </w:p>
        </w:tc>
        <w:tc>
          <w:tcPr>
            <w:tcW w:w="8220" w:type="dxa"/>
          </w:tcPr>
          <w:p>
            <w:pPr>
              <w:pStyle w:val="0"/>
            </w:pPr>
            <w:r>
              <w:rPr>
                <w:sz w:val="20"/>
              </w:rPr>
              <w:t xml:space="preserve">Проектная документация, подтверждающая эксплуатационные характеристики созданных и (или) реконструированных объектов ЛОС</w:t>
            </w:r>
          </w:p>
        </w:tc>
      </w:tr>
      <w:tr>
        <w:tc>
          <w:tcPr>
            <w:tcW w:w="850" w:type="dxa"/>
          </w:tcPr>
          <w:p>
            <w:pPr>
              <w:pStyle w:val="0"/>
            </w:pPr>
            <w:r>
              <w:rPr>
                <w:sz w:val="20"/>
              </w:rPr>
              <w:t xml:space="preserve">31.2</w:t>
            </w:r>
          </w:p>
        </w:tc>
        <w:tc>
          <w:tcPr>
            <w:tcW w:w="8220" w:type="dxa"/>
          </w:tcPr>
          <w:p>
            <w:pPr>
              <w:pStyle w:val="0"/>
            </w:pPr>
            <w:r>
              <w:rPr>
                <w:sz w:val="20"/>
              </w:rPr>
              <w:t xml:space="preserve">Договоры по созданию (строительству) и (или) реконструкции (в том числе модернизации), техническому перевооружению объектов ЛОС</w:t>
            </w:r>
          </w:p>
        </w:tc>
      </w:tr>
      <w:tr>
        <w:tc>
          <w:tcPr>
            <w:tcW w:w="850" w:type="dxa"/>
          </w:tcPr>
          <w:p>
            <w:pPr>
              <w:pStyle w:val="0"/>
            </w:pPr>
            <w:r>
              <w:rPr>
                <w:sz w:val="20"/>
              </w:rPr>
              <w:t xml:space="preserve">31.3</w:t>
            </w:r>
          </w:p>
        </w:tc>
        <w:tc>
          <w:tcPr>
            <w:tcW w:w="8220" w:type="dxa"/>
          </w:tcPr>
          <w:p>
            <w:pPr>
              <w:pStyle w:val="0"/>
            </w:pPr>
            <w:r>
              <w:rPr>
                <w:sz w:val="20"/>
              </w:rPr>
              <w:t xml:space="preserve">Договоры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приобретение оборудования и материалов (включая затраты на монтаж и доставку оборудования), объектов ЛОС (при наличии)</w:t>
            </w:r>
          </w:p>
        </w:tc>
      </w:tr>
      <w:tr>
        <w:tc>
          <w:tcPr>
            <w:tcW w:w="850" w:type="dxa"/>
          </w:tcPr>
          <w:p>
            <w:pPr>
              <w:pStyle w:val="0"/>
            </w:pPr>
            <w:r>
              <w:rPr>
                <w:sz w:val="20"/>
              </w:rPr>
              <w:t xml:space="preserve">31.4</w:t>
            </w:r>
          </w:p>
        </w:tc>
        <w:tc>
          <w:tcPr>
            <w:tcW w:w="8220" w:type="dxa"/>
          </w:tcPr>
          <w:p>
            <w:pPr>
              <w:pStyle w:val="0"/>
            </w:pPr>
            <w:r>
              <w:rPr>
                <w:sz w:val="20"/>
              </w:rPr>
              <w:t xml:space="preserve">Платежные поручения, подтверждающие оплату по договорам на строительство и (или) реконструкцию (в том числе модернизацию), техническое перевооружение объектов ЛОС,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31.5</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и материалов (включая затраты на монтаж и доставку оборудования) объектов ЛОС, заверенные печатью банка или имеющие оригинальный оттиск штампа и подпись операциониста банка либо имеющие отметку "клиент-банк" (при наличии)</w:t>
            </w:r>
          </w:p>
        </w:tc>
      </w:tr>
      <w:tr>
        <w:tc>
          <w:tcPr>
            <w:tcW w:w="850" w:type="dxa"/>
          </w:tcPr>
          <w:p>
            <w:pPr>
              <w:pStyle w:val="0"/>
            </w:pPr>
            <w:r>
              <w:rPr>
                <w:sz w:val="20"/>
              </w:rPr>
              <w:t xml:space="preserve">31.6</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строительство и (или) реконструкцию (в том числе модернизацию), техническое перевооружение объектов ЛОС (при наличии)</w:t>
            </w:r>
          </w:p>
        </w:tc>
      </w:tr>
      <w:tr>
        <w:tc>
          <w:tcPr>
            <w:tcW w:w="850" w:type="dxa"/>
          </w:tcPr>
          <w:p>
            <w:pPr>
              <w:pStyle w:val="0"/>
            </w:pPr>
            <w:r>
              <w:rPr>
                <w:sz w:val="20"/>
              </w:rPr>
              <w:t xml:space="preserve">31.7</w:t>
            </w:r>
          </w:p>
        </w:tc>
        <w:tc>
          <w:tcPr>
            <w:tcW w:w="8220" w:type="dxa"/>
          </w:tcPr>
          <w:p>
            <w:pPr>
              <w:pStyle w:val="0"/>
            </w:pPr>
            <w:r>
              <w:rPr>
                <w:sz w:val="20"/>
              </w:rPr>
              <w:t xml:space="preserve">Акты сдачи-приемки ЛОС</w:t>
            </w:r>
          </w:p>
        </w:tc>
      </w:tr>
      <w:tr>
        <w:tc>
          <w:tcPr>
            <w:tcW w:w="850" w:type="dxa"/>
          </w:tcPr>
          <w:p>
            <w:pPr>
              <w:pStyle w:val="0"/>
            </w:pPr>
            <w:r>
              <w:rPr>
                <w:sz w:val="20"/>
              </w:rPr>
              <w:t xml:space="preserve">31.8</w:t>
            </w:r>
          </w:p>
        </w:tc>
        <w:tc>
          <w:tcPr>
            <w:tcW w:w="8220" w:type="dxa"/>
          </w:tcPr>
          <w:p>
            <w:pPr>
              <w:pStyle w:val="0"/>
            </w:pPr>
            <w:r>
              <w:rPr>
                <w:sz w:val="20"/>
              </w:rPr>
              <w:t xml:space="preserve">Акты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tc>
      </w:tr>
      <w:tr>
        <w:tc>
          <w:tcPr>
            <w:tcW w:w="850" w:type="dxa"/>
          </w:tcPr>
          <w:p>
            <w:pPr>
              <w:pStyle w:val="0"/>
            </w:pPr>
            <w:r>
              <w:rPr>
                <w:sz w:val="20"/>
              </w:rPr>
              <w:t xml:space="preserve">31.9</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w:t>
            </w:r>
          </w:p>
        </w:tc>
      </w:tr>
      <w:tr>
        <w:tc>
          <w:tcPr>
            <w:tcW w:w="850" w:type="dxa"/>
          </w:tcPr>
          <w:p>
            <w:pPr>
              <w:pStyle w:val="0"/>
            </w:pPr>
            <w:r>
              <w:rPr>
                <w:sz w:val="20"/>
              </w:rPr>
              <w:t xml:space="preserve">32</w:t>
            </w:r>
          </w:p>
        </w:tc>
        <w:tc>
          <w:tcPr>
            <w:tcW w:w="8220" w:type="dxa"/>
          </w:tcPr>
          <w:p>
            <w:pPr>
              <w:pStyle w:val="0"/>
            </w:pPr>
            <w:r>
              <w:rPr>
                <w:sz w:val="20"/>
              </w:rPr>
              <w:t xml:space="preserve">Документы, подтверждающие осуществление затрат участника Отбора на строительство и (или) реконструкцию объектов транспортной инфраструктуры (железнодорожные пути необщего пользования, примыкающие к путям общего или необщего пользования):</w:t>
            </w:r>
          </w:p>
        </w:tc>
      </w:tr>
      <w:tr>
        <w:tc>
          <w:tcPr>
            <w:tcW w:w="850" w:type="dxa"/>
          </w:tcPr>
          <w:p>
            <w:pPr>
              <w:pStyle w:val="0"/>
            </w:pPr>
            <w:r>
              <w:rPr>
                <w:sz w:val="20"/>
              </w:rPr>
              <w:t xml:space="preserve">32.1</w:t>
            </w:r>
          </w:p>
        </w:tc>
        <w:tc>
          <w:tcPr>
            <w:tcW w:w="8220" w:type="dxa"/>
          </w:tcPr>
          <w:p>
            <w:pPr>
              <w:pStyle w:val="0"/>
            </w:pPr>
            <w:r>
              <w:rPr>
                <w:sz w:val="20"/>
              </w:rPr>
              <w:t xml:space="preserve">Проектная документация, подтверждающая эксплуатационные характеристики объектов транспортной инфраструктуры</w:t>
            </w:r>
          </w:p>
        </w:tc>
      </w:tr>
      <w:tr>
        <w:tc>
          <w:tcPr>
            <w:tcW w:w="850" w:type="dxa"/>
          </w:tcPr>
          <w:p>
            <w:pPr>
              <w:pStyle w:val="0"/>
            </w:pPr>
            <w:r>
              <w:rPr>
                <w:sz w:val="20"/>
              </w:rPr>
              <w:t xml:space="preserve">32.2</w:t>
            </w:r>
          </w:p>
        </w:tc>
        <w:tc>
          <w:tcPr>
            <w:tcW w:w="8220" w:type="dxa"/>
          </w:tcPr>
          <w:p>
            <w:pPr>
              <w:pStyle w:val="0"/>
            </w:pPr>
            <w:r>
              <w:rPr>
                <w:sz w:val="20"/>
              </w:rPr>
              <w:t xml:space="preserve">Технические условия (в том числе поэтапные) на создание и на технологическое присоединение производственного объекта капитального строительства к сетям транспортной инфраструктуры за период возмещения</w:t>
            </w:r>
          </w:p>
        </w:tc>
      </w:tr>
      <w:tr>
        <w:tc>
          <w:tcPr>
            <w:tcW w:w="850" w:type="dxa"/>
          </w:tcPr>
          <w:p>
            <w:pPr>
              <w:pStyle w:val="0"/>
            </w:pPr>
            <w:r>
              <w:rPr>
                <w:sz w:val="20"/>
              </w:rPr>
              <w:t xml:space="preserve">32.3</w:t>
            </w:r>
          </w:p>
        </w:tc>
        <w:tc>
          <w:tcPr>
            <w:tcW w:w="8220" w:type="dxa"/>
          </w:tcPr>
          <w:p>
            <w:pPr>
              <w:pStyle w:val="0"/>
            </w:pPr>
            <w:r>
              <w:rPr>
                <w:sz w:val="20"/>
              </w:rPr>
              <w:t xml:space="preserve">Акты технологического присоединения (в том числе поэтапно) объектов транспортной инфраструктуры или справка о выполнении технических условий за период возмещения</w:t>
            </w:r>
          </w:p>
        </w:tc>
      </w:tr>
      <w:tr>
        <w:tc>
          <w:tcPr>
            <w:tcW w:w="850" w:type="dxa"/>
          </w:tcPr>
          <w:p>
            <w:pPr>
              <w:pStyle w:val="0"/>
            </w:pPr>
            <w:r>
              <w:rPr>
                <w:sz w:val="20"/>
              </w:rPr>
              <w:t xml:space="preserve">32.4</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(железнодорожные пути необщего пользования, примыкающие к путям общего или необщего пользования),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32.5</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(железнодорожные пути необщего пользования, примыкающие к путям общего или необщего пользования) (при наличии)</w:t>
            </w:r>
          </w:p>
        </w:tc>
      </w:tr>
      <w:tr>
        <w:tc>
          <w:tcPr>
            <w:tcW w:w="850" w:type="dxa"/>
          </w:tcPr>
          <w:p>
            <w:pPr>
              <w:pStyle w:val="0"/>
            </w:pPr>
            <w:r>
              <w:rPr>
                <w:sz w:val="20"/>
              </w:rPr>
              <w:t xml:space="preserve">32.6</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w:t>
            </w:r>
          </w:p>
        </w:tc>
      </w:tr>
      <w:tr>
        <w:tc>
          <w:tcPr>
            <w:tcW w:w="850" w:type="dxa"/>
          </w:tcPr>
          <w:p>
            <w:pPr>
              <w:pStyle w:val="0"/>
            </w:pPr>
            <w:r>
              <w:rPr>
                <w:sz w:val="20"/>
              </w:rPr>
              <w:t xml:space="preserve">33</w:t>
            </w:r>
          </w:p>
        </w:tc>
        <w:tc>
          <w:tcPr>
            <w:tcW w:w="8220" w:type="dxa"/>
          </w:tcPr>
          <w:p>
            <w:pPr>
              <w:pStyle w:val="0"/>
            </w:pPr>
            <w:r>
              <w:rPr>
                <w:sz w:val="20"/>
              </w:rPr>
              <w:t xml:space="preserve">Документы, подтверждающие осуществление затрат участника Отбора на строительство и (или) реконструкцию объектов транспортной инфраструктуры (автомобильные дороги):</w:t>
            </w:r>
          </w:p>
        </w:tc>
      </w:tr>
      <w:tr>
        <w:tc>
          <w:tcPr>
            <w:tcW w:w="850" w:type="dxa"/>
          </w:tcPr>
          <w:p>
            <w:pPr>
              <w:pStyle w:val="0"/>
            </w:pPr>
            <w:r>
              <w:rPr>
                <w:sz w:val="20"/>
              </w:rPr>
              <w:t xml:space="preserve">33.1</w:t>
            </w:r>
          </w:p>
        </w:tc>
        <w:tc>
          <w:tcPr>
            <w:tcW w:w="8220" w:type="dxa"/>
          </w:tcPr>
          <w:p>
            <w:pPr>
              <w:pStyle w:val="0"/>
            </w:pPr>
            <w:r>
              <w:rPr>
                <w:sz w:val="20"/>
              </w:rPr>
              <w:t xml:space="preserve">Документ, подтверждающий право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
        </w:tc>
      </w:tr>
      <w:tr>
        <w:tc>
          <w:tcPr>
            <w:tcW w:w="850" w:type="dxa"/>
          </w:tcPr>
          <w:p>
            <w:pPr>
              <w:pStyle w:val="0"/>
            </w:pPr>
            <w:r>
              <w:rPr>
                <w:sz w:val="20"/>
              </w:rPr>
              <w:t xml:space="preserve">33.2</w:t>
            </w:r>
          </w:p>
        </w:tc>
        <w:tc>
          <w:tcPr>
            <w:tcW w:w="8220" w:type="dxa"/>
          </w:tcPr>
          <w:p>
            <w:pPr>
              <w:pStyle w:val="0"/>
            </w:pPr>
            <w:r>
              <w:rPr>
                <w:sz w:val="20"/>
              </w:rPr>
              <w:t xml:space="preserve">Договоры на строительство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tc>
          <w:tcPr>
            <w:tcW w:w="850" w:type="dxa"/>
          </w:tcPr>
          <w:p>
            <w:pPr>
              <w:pStyle w:val="0"/>
            </w:pPr>
            <w:r>
              <w:rPr>
                <w:sz w:val="20"/>
              </w:rPr>
              <w:t xml:space="preserve">33.3</w:t>
            </w:r>
          </w:p>
        </w:tc>
        <w:tc>
          <w:tcPr>
            <w:tcW w:w="8220" w:type="dxa"/>
          </w:tcPr>
          <w:p>
            <w:pPr>
              <w:pStyle w:val="0"/>
            </w:pPr>
            <w:r>
              <w:rPr>
                <w:sz w:val="20"/>
              </w:rPr>
              <w:t xml:space="preserve">Разрешение на строительство автомобильной дороги</w:t>
            </w:r>
          </w:p>
        </w:tc>
      </w:tr>
      <w:tr>
        <w:tc>
          <w:tcPr>
            <w:tcW w:w="850" w:type="dxa"/>
          </w:tcPr>
          <w:p>
            <w:pPr>
              <w:pStyle w:val="0"/>
            </w:pPr>
            <w:r>
              <w:rPr>
                <w:sz w:val="20"/>
              </w:rPr>
              <w:t xml:space="preserve">33.4</w:t>
            </w:r>
          </w:p>
        </w:tc>
        <w:tc>
          <w:tcPr>
            <w:tcW w:w="8220" w:type="dxa"/>
          </w:tcPr>
          <w:p>
            <w:pPr>
              <w:pStyle w:val="0"/>
            </w:pPr>
            <w:r>
              <w:rPr>
                <w:sz w:val="20"/>
              </w:rPr>
              <w:t xml:space="preserve">Акт ввода в эксплуатацию автомобильной дороги (при наличии)</w:t>
            </w:r>
          </w:p>
        </w:tc>
      </w:tr>
      <w:tr>
        <w:tc>
          <w:tcPr>
            <w:tcW w:w="850" w:type="dxa"/>
          </w:tcPr>
          <w:p>
            <w:pPr>
              <w:pStyle w:val="0"/>
            </w:pPr>
            <w:r>
              <w:rPr>
                <w:sz w:val="20"/>
              </w:rPr>
              <w:t xml:space="preserve">33.5</w:t>
            </w:r>
          </w:p>
        </w:tc>
        <w:tc>
          <w:tcPr>
            <w:tcW w:w="8220" w:type="dxa"/>
          </w:tcPr>
          <w:p>
            <w:pPr>
              <w:pStyle w:val="0"/>
            </w:pPr>
            <w:r>
              <w:rPr>
                <w:sz w:val="20"/>
              </w:rPr>
              <w:t xml:space="preserve">Технические условия на строительство автомобильных дорог за период возмещения</w:t>
            </w:r>
          </w:p>
        </w:tc>
      </w:tr>
      <w:tr>
        <w:tc>
          <w:tcPr>
            <w:tcW w:w="850" w:type="dxa"/>
          </w:tcPr>
          <w:p>
            <w:pPr>
              <w:pStyle w:val="0"/>
            </w:pPr>
            <w:r>
              <w:rPr>
                <w:sz w:val="20"/>
              </w:rPr>
              <w:t xml:space="preserve">33.6</w:t>
            </w:r>
          </w:p>
        </w:tc>
        <w:tc>
          <w:tcPr>
            <w:tcW w:w="8220" w:type="dxa"/>
          </w:tcPr>
          <w:p>
            <w:pPr>
              <w:pStyle w:val="0"/>
            </w:pPr>
            <w:r>
              <w:rPr>
                <w:sz w:val="20"/>
              </w:rPr>
              <w:t xml:space="preserve">Схема расположения автомобильной дороги с привязкой к кадастровым границам земельного участка организации</w:t>
            </w:r>
          </w:p>
        </w:tc>
      </w:tr>
      <w:tr>
        <w:tc>
          <w:tcPr>
            <w:tcW w:w="850" w:type="dxa"/>
          </w:tcPr>
          <w:p>
            <w:pPr>
              <w:pStyle w:val="0"/>
            </w:pPr>
            <w:r>
              <w:rPr>
                <w:sz w:val="20"/>
              </w:rPr>
              <w:t xml:space="preserve">33.7</w:t>
            </w:r>
          </w:p>
        </w:tc>
        <w:tc>
          <w:tcPr>
            <w:tcW w:w="8220" w:type="dxa"/>
          </w:tcPr>
          <w:p>
            <w:pPr>
              <w:pStyle w:val="0"/>
            </w:pPr>
            <w:r>
              <w:rPr>
                <w:sz w:val="20"/>
              </w:rPr>
              <w:t xml:space="preserve">Экспертное заключение по проектной документации строительства автомобильной дороги</w:t>
            </w:r>
          </w:p>
        </w:tc>
      </w:tr>
      <w:tr>
        <w:tc>
          <w:tcPr>
            <w:tcW w:w="850" w:type="dxa"/>
          </w:tcPr>
          <w:p>
            <w:pPr>
              <w:pStyle w:val="0"/>
            </w:pPr>
            <w:r>
              <w:rPr>
                <w:sz w:val="20"/>
              </w:rPr>
              <w:t xml:space="preserve">33.8</w:t>
            </w:r>
          </w:p>
        </w:tc>
        <w:tc>
          <w:tcPr>
            <w:tcW w:w="8220" w:type="dxa"/>
          </w:tcPr>
          <w:p>
            <w:pPr>
              <w:pStyle w:val="0"/>
            </w:pPr>
            <w:r>
              <w:rPr>
                <w:sz w:val="20"/>
              </w:rPr>
              <w:t xml:space="preserve">Платежные поручения, подтверждающие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33.9</w:t>
            </w:r>
          </w:p>
        </w:tc>
        <w:tc>
          <w:tcPr>
            <w:tcW w:w="8220" w:type="dxa"/>
          </w:tcPr>
          <w:p>
            <w:pPr>
              <w:pStyle w:val="0"/>
            </w:pPr>
            <w:r>
              <w:rPr>
                <w:sz w:val="20"/>
              </w:rPr>
              <w:t xml:space="preserve">Акты, подтверждающие оплату по договорам на прокладку (строительство) автомобильных дорог (при наличии)</w:t>
            </w:r>
          </w:p>
        </w:tc>
      </w:tr>
      <w:tr>
        <w:tc>
          <w:tcPr>
            <w:tcW w:w="850" w:type="dxa"/>
          </w:tcPr>
          <w:p>
            <w:pPr>
              <w:pStyle w:val="0"/>
            </w:pPr>
            <w:r>
              <w:rPr>
                <w:sz w:val="20"/>
              </w:rPr>
              <w:t xml:space="preserve">33.10</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w:t>
            </w:r>
          </w:p>
        </w:tc>
      </w:tr>
      <w:tr>
        <w:tc>
          <w:tcPr>
            <w:tcW w:w="850" w:type="dxa"/>
          </w:tcPr>
          <w:p>
            <w:pPr>
              <w:pStyle w:val="0"/>
            </w:pPr>
            <w:r>
              <w:rPr>
                <w:sz w:val="20"/>
              </w:rPr>
              <w:t xml:space="preserve">34</w:t>
            </w:r>
          </w:p>
        </w:tc>
        <w:tc>
          <w:tcPr>
            <w:tcW w:w="8220" w:type="dxa"/>
          </w:tcPr>
          <w:p>
            <w:pPr>
              <w:pStyle w:val="0"/>
            </w:pPr>
            <w:r>
              <w:rPr>
                <w:sz w:val="20"/>
              </w:rPr>
              <w:t xml:space="preserve">Документы, подтверждающие осуществление затрат участника Отбора на инженерную инфраструктуру, связанных с частичным возмещением затрат участника Отбора на теплоснабжение:</w:t>
            </w:r>
          </w:p>
        </w:tc>
      </w:tr>
      <w:tr>
        <w:tc>
          <w:tcPr>
            <w:tcW w:w="850" w:type="dxa"/>
          </w:tcPr>
          <w:p>
            <w:pPr>
              <w:pStyle w:val="0"/>
            </w:pPr>
            <w:r>
              <w:rPr>
                <w:sz w:val="20"/>
              </w:rPr>
              <w:t xml:space="preserve">34.1</w:t>
            </w:r>
          </w:p>
        </w:tc>
        <w:tc>
          <w:tcPr>
            <w:tcW w:w="8220" w:type="dxa"/>
          </w:tcPr>
          <w:p>
            <w:pPr>
              <w:pStyle w:val="0"/>
            </w:pPr>
            <w:r>
              <w:rPr>
                <w:sz w:val="20"/>
              </w:rPr>
              <w:t xml:space="preserve">Договоры на строительство объектов теплоснабжения и (или) подключение (технологическое присоединение) и (или) увеличение их технологических мощностей, заключенные с ресурсоснабжающими организациями, к сетям теплоснабжения производственного объекта капитального строительства (за исключением строительства котельной)</w:t>
            </w:r>
          </w:p>
        </w:tc>
      </w:tr>
      <w:tr>
        <w:tc>
          <w:tcPr>
            <w:tcW w:w="850" w:type="dxa"/>
          </w:tcPr>
          <w:p>
            <w:pPr>
              <w:pStyle w:val="0"/>
            </w:pPr>
            <w:r>
              <w:rPr>
                <w:sz w:val="20"/>
              </w:rPr>
              <w:t xml:space="preserve">34.2</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по объектам теплоснабжения (при наличии)</w:t>
            </w:r>
          </w:p>
        </w:tc>
      </w:tr>
      <w:tr>
        <w:tc>
          <w:tcPr>
            <w:tcW w:w="850" w:type="dxa"/>
          </w:tcPr>
          <w:p>
            <w:pPr>
              <w:pStyle w:val="0"/>
            </w:pPr>
            <w:r>
              <w:rPr>
                <w:sz w:val="20"/>
              </w:rPr>
              <w:t xml:space="preserve">34.3</w:t>
            </w:r>
          </w:p>
        </w:tc>
        <w:tc>
          <w:tcPr>
            <w:tcW w:w="8220" w:type="dxa"/>
          </w:tcPr>
          <w:p>
            <w:pPr>
              <w:pStyle w:val="0"/>
            </w:pPr>
            <w:r>
              <w:rPr>
                <w:sz w:val="20"/>
              </w:rPr>
              <w:t xml:space="preserve">Акты о технологическом присоединении производственного объекта капитального строительства к сетям теплоснабжения (за исключением строительства котельной)</w:t>
            </w:r>
          </w:p>
        </w:tc>
      </w:tr>
      <w:tr>
        <w:tc>
          <w:tcPr>
            <w:tcW w:w="850" w:type="dxa"/>
          </w:tcPr>
          <w:p>
            <w:pPr>
              <w:pStyle w:val="0"/>
            </w:pPr>
            <w:r>
              <w:rPr>
                <w:sz w:val="20"/>
              </w:rPr>
              <w:t xml:space="preserve">34.4</w:t>
            </w:r>
          </w:p>
        </w:tc>
        <w:tc>
          <w:tcPr>
            <w:tcW w:w="8220" w:type="dxa"/>
          </w:tcPr>
          <w:p>
            <w:pPr>
              <w:pStyle w:val="0"/>
            </w:pPr>
            <w:r>
              <w:rPr>
                <w:sz w:val="20"/>
              </w:rPr>
              <w:t xml:space="preserve">Платежные поручения, подтверждающие оплату по договорам, строительство объектов теплоснабжения и (или) подключение (технологическое присоединение) к сетям теплоснабжения (за исключением строительства котельной),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34.5</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приобретение оборудования (включая затраты на монтаж и доставку оборудования) объектов теплоснабжения, заверенные печатью банка или имеющие оригинальный оттиск штампа и подпись операциониста банка либо имеющие отметку "клиент-банк" (при наличии)</w:t>
            </w:r>
          </w:p>
        </w:tc>
      </w:tr>
      <w:tr>
        <w:tc>
          <w:tcPr>
            <w:tcW w:w="850" w:type="dxa"/>
          </w:tcPr>
          <w:p>
            <w:pPr>
              <w:pStyle w:val="0"/>
            </w:pPr>
            <w:r>
              <w:rPr>
                <w:sz w:val="20"/>
              </w:rPr>
              <w:t xml:space="preserve">34.6</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(при наличии)</w:t>
            </w:r>
          </w:p>
        </w:tc>
      </w:tr>
      <w:tr>
        <w:tc>
          <w:tcPr>
            <w:tcW w:w="850" w:type="dxa"/>
          </w:tcPr>
          <w:p>
            <w:pPr>
              <w:pStyle w:val="0"/>
            </w:pPr>
            <w:r>
              <w:rPr>
                <w:sz w:val="20"/>
              </w:rPr>
              <w:t xml:space="preserve">34.7</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w:t>
            </w:r>
          </w:p>
        </w:tc>
      </w:tr>
      <w:tr>
        <w:tc>
          <w:tcPr>
            <w:tcW w:w="850" w:type="dxa"/>
          </w:tcPr>
          <w:p>
            <w:pPr>
              <w:pStyle w:val="0"/>
            </w:pPr>
            <w:r>
              <w:rPr>
                <w:sz w:val="20"/>
              </w:rPr>
              <w:t xml:space="preserve">34.8</w:t>
            </w:r>
          </w:p>
        </w:tc>
        <w:tc>
          <w:tcPr>
            <w:tcW w:w="8220" w:type="dxa"/>
          </w:tcPr>
          <w:p>
            <w:pPr>
              <w:pStyle w:val="0"/>
            </w:pPr>
            <w:r>
              <w:rPr>
                <w:sz w:val="20"/>
              </w:rPr>
              <w:t xml:space="preserve">Документ от уполномоченной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tc>
      </w:tr>
      <w:tr>
        <w:tc>
          <w:tcPr>
            <w:tcW w:w="850" w:type="dxa"/>
          </w:tcPr>
          <w:p>
            <w:pPr>
              <w:pStyle w:val="0"/>
            </w:pPr>
            <w:r>
              <w:rPr>
                <w:sz w:val="20"/>
              </w:rPr>
              <w:t xml:space="preserve">35</w:t>
            </w:r>
          </w:p>
        </w:tc>
        <w:tc>
          <w:tcPr>
            <w:tcW w:w="8220" w:type="dxa"/>
          </w:tcPr>
          <w:p>
            <w:pPr>
              <w:pStyle w:val="0"/>
            </w:pPr>
            <w:r>
              <w:rPr>
                <w:sz w:val="20"/>
              </w:rPr>
              <w:t xml:space="preserve">Документы, подтверждающие осуществление затрат участника Отбора на инженерную инфраструктуру, связанных с частичным возмещением затрат участника Отбора на создание и (или) реконструкцию ВЗС:</w:t>
            </w:r>
          </w:p>
        </w:tc>
      </w:tr>
      <w:tr>
        <w:tc>
          <w:tcPr>
            <w:tcW w:w="850" w:type="dxa"/>
          </w:tcPr>
          <w:p>
            <w:pPr>
              <w:pStyle w:val="0"/>
            </w:pPr>
            <w:r>
              <w:rPr>
                <w:sz w:val="20"/>
              </w:rPr>
              <w:t xml:space="preserve">35.1</w:t>
            </w:r>
          </w:p>
        </w:tc>
        <w:tc>
          <w:tcPr>
            <w:tcW w:w="8220" w:type="dxa"/>
          </w:tcPr>
          <w:p>
            <w:pPr>
              <w:pStyle w:val="0"/>
            </w:pPr>
            <w:r>
              <w:rPr>
                <w:sz w:val="20"/>
              </w:rPr>
              <w:t xml:space="preserve">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tc>
      </w:tr>
      <w:tr>
        <w:tc>
          <w:tcPr>
            <w:tcW w:w="850" w:type="dxa"/>
          </w:tcPr>
          <w:p>
            <w:pPr>
              <w:pStyle w:val="0"/>
            </w:pPr>
            <w:r>
              <w:rPr>
                <w:sz w:val="20"/>
              </w:rPr>
              <w:t xml:space="preserve">35.2</w:t>
            </w:r>
          </w:p>
        </w:tc>
        <w:tc>
          <w:tcPr>
            <w:tcW w:w="8220" w:type="dxa"/>
          </w:tcPr>
          <w:p>
            <w:pPr>
              <w:pStyle w:val="0"/>
            </w:pPr>
            <w:r>
              <w:rPr>
                <w:sz w:val="20"/>
              </w:rPr>
              <w:t xml:space="preserve">Лицензия на пользование недрами (разрешения на водопользование)</w:t>
            </w:r>
          </w:p>
        </w:tc>
      </w:tr>
      <w:tr>
        <w:tc>
          <w:tcPr>
            <w:tcW w:w="850" w:type="dxa"/>
          </w:tcPr>
          <w:p>
            <w:pPr>
              <w:pStyle w:val="0"/>
            </w:pPr>
            <w:r>
              <w:rPr>
                <w:sz w:val="20"/>
              </w:rPr>
              <w:t xml:space="preserve">35.3</w:t>
            </w:r>
          </w:p>
        </w:tc>
        <w:tc>
          <w:tcPr>
            <w:tcW w:w="8220" w:type="dxa"/>
          </w:tcPr>
          <w:p>
            <w:pPr>
              <w:pStyle w:val="0"/>
            </w:pPr>
            <w:r>
              <w:rPr>
                <w:sz w:val="20"/>
              </w:rPr>
              <w:t xml:space="preserve">Договоры на строительство и (или) реконструкцию, на поставку технологического оборудования и материалов (включая затраты на монтаж и доставку оборудования), на создание ВЗС</w:t>
            </w:r>
          </w:p>
        </w:tc>
      </w:tr>
      <w:tr>
        <w:tc>
          <w:tcPr>
            <w:tcW w:w="850" w:type="dxa"/>
          </w:tcPr>
          <w:p>
            <w:pPr>
              <w:pStyle w:val="0"/>
            </w:pPr>
            <w:r>
              <w:rPr>
                <w:sz w:val="20"/>
              </w:rPr>
              <w:t xml:space="preserve">35.4</w:t>
            </w:r>
          </w:p>
        </w:tc>
        <w:tc>
          <w:tcPr>
            <w:tcW w:w="8220"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создание ВЗС (при наличии)</w:t>
            </w:r>
          </w:p>
        </w:tc>
      </w:tr>
      <w:tr>
        <w:tc>
          <w:tcPr>
            <w:tcW w:w="850" w:type="dxa"/>
          </w:tcPr>
          <w:p>
            <w:pPr>
              <w:pStyle w:val="0"/>
            </w:pPr>
            <w:r>
              <w:rPr>
                <w:sz w:val="20"/>
              </w:rPr>
              <w:t xml:space="preserve">35.5</w:t>
            </w:r>
          </w:p>
        </w:tc>
        <w:tc>
          <w:tcPr>
            <w:tcW w:w="8220" w:type="dxa"/>
          </w:tcPr>
          <w:p>
            <w:pPr>
              <w:pStyle w:val="0"/>
            </w:pPr>
            <w:r>
              <w:rPr>
                <w:sz w:val="20"/>
              </w:rPr>
              <w:t xml:space="preserve">Платежные поручения, подтверждающие оплату по договорам строительства и (или) реконструкции, технологического оборудования и материалов на создание ВЗС, заверенные печатью банка или имеющие оригинальный оттиск штампа и подпись операциониста банка либо имеющие отметку "клиент-банк"</w:t>
            </w:r>
          </w:p>
        </w:tc>
      </w:tr>
      <w:tr>
        <w:tc>
          <w:tcPr>
            <w:tcW w:w="850" w:type="dxa"/>
          </w:tcPr>
          <w:p>
            <w:pPr>
              <w:pStyle w:val="0"/>
            </w:pPr>
            <w:r>
              <w:rPr>
                <w:sz w:val="20"/>
              </w:rPr>
              <w:t xml:space="preserve">35.6</w:t>
            </w:r>
          </w:p>
        </w:tc>
        <w:tc>
          <w:tcPr>
            <w:tcW w:w="8220" w:type="dxa"/>
          </w:tcPr>
          <w:p>
            <w:pPr>
              <w:pStyle w:val="0"/>
            </w:pPr>
            <w:r>
              <w:rPr>
                <w:sz w:val="20"/>
              </w:rPr>
              <w:t xml:space="preserve">Платежные поручения, подтверждающие оплату по договорам на инженерные изыскания, проектную документацию на создание ВЗС, заверенные печатью банка или имеющие оригинальный оттиск штампа и подпись операциониста банка либо имеющие отметку "клиент-банк" (при наличии)</w:t>
            </w:r>
          </w:p>
        </w:tc>
      </w:tr>
      <w:tr>
        <w:tc>
          <w:tcPr>
            <w:tcW w:w="850" w:type="dxa"/>
          </w:tcPr>
          <w:p>
            <w:pPr>
              <w:pStyle w:val="0"/>
            </w:pPr>
            <w:r>
              <w:rPr>
                <w:sz w:val="20"/>
              </w:rPr>
              <w:t xml:space="preserve">35.7</w:t>
            </w:r>
          </w:p>
        </w:tc>
        <w:tc>
          <w:tcPr>
            <w:tcW w:w="8220" w:type="dxa"/>
          </w:tcPr>
          <w:p>
            <w:pPr>
              <w:pStyle w:val="0"/>
            </w:pPr>
            <w:r>
              <w:rPr>
                <w:sz w:val="20"/>
              </w:rPr>
              <w:t xml:space="preserve">Акты, подтверждающие оплату по договорам на инженерные изыскания, проектную документацию на строительство и (или) реконструкцию, поставку технологического оборудования и материалов (включая затраты на монтаж и доставку оборудования) на создание ВЗС (при наличии)</w:t>
            </w:r>
          </w:p>
        </w:tc>
      </w:tr>
      <w:tr>
        <w:tc>
          <w:tcPr>
            <w:tcW w:w="850" w:type="dxa"/>
          </w:tcPr>
          <w:p>
            <w:pPr>
              <w:pStyle w:val="0"/>
            </w:pPr>
            <w:r>
              <w:rPr>
                <w:sz w:val="20"/>
              </w:rPr>
              <w:t xml:space="preserve">35.8</w:t>
            </w:r>
          </w:p>
        </w:tc>
        <w:tc>
          <w:tcPr>
            <w:tcW w:w="8220"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bl>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4102" w:name="P4102"/>
    <w:bookmarkEnd w:id="4102"/>
    <w:p>
      <w:pPr>
        <w:pStyle w:val="0"/>
        <w:jc w:val="center"/>
      </w:pPr>
      <w:r>
        <w:rPr>
          <w:sz w:val="20"/>
        </w:rPr>
        <w:t xml:space="preserve">Расчет</w:t>
      </w:r>
    </w:p>
    <w:p>
      <w:pPr>
        <w:pStyle w:val="0"/>
        <w:jc w:val="center"/>
      </w:pPr>
      <w:r>
        <w:rPr>
          <w:sz w:val="20"/>
        </w:rPr>
        <w:t xml:space="preserve">общего объема инвестиций на строительство нового</w:t>
      </w:r>
    </w:p>
    <w:p>
      <w:pPr>
        <w:pStyle w:val="0"/>
        <w:jc w:val="center"/>
      </w:pPr>
      <w:r>
        <w:rPr>
          <w:sz w:val="20"/>
        </w:rPr>
        <w:t xml:space="preserve">промышленного предприятия и (или) увеличение</w:t>
      </w:r>
    </w:p>
    <w:p>
      <w:pPr>
        <w:pStyle w:val="0"/>
        <w:jc w:val="center"/>
      </w:pPr>
      <w:r>
        <w:rPr>
          <w:sz w:val="20"/>
        </w:rPr>
        <w:t xml:space="preserve">производственных мощностей существующего</w:t>
      </w:r>
    </w:p>
    <w:p>
      <w:pPr>
        <w:pStyle w:val="0"/>
        <w:jc w:val="center"/>
      </w:pPr>
      <w:r>
        <w:rPr>
          <w:sz w:val="20"/>
        </w:rPr>
        <w:t xml:space="preserve">промышленного предприятия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402"/>
        <w:gridCol w:w="1191"/>
        <w:gridCol w:w="1247"/>
        <w:gridCol w:w="907"/>
        <w:gridCol w:w="1304"/>
        <w:gridCol w:w="1304"/>
        <w:gridCol w:w="1361"/>
        <w:gridCol w:w="1417"/>
        <w:gridCol w:w="1474"/>
        <w:gridCol w:w="1361"/>
        <w:gridCol w:w="1247"/>
        <w:gridCol w:w="1247"/>
        <w:gridCol w:w="1247"/>
        <w:gridCol w:w="1587"/>
        <w:gridCol w:w="1417"/>
        <w:gridCol w:w="1474"/>
      </w:tblGrid>
      <w:tr>
        <w:tc>
          <w:tcPr>
            <w:tcW w:w="624" w:type="dxa"/>
          </w:tcPr>
          <w:p>
            <w:pPr>
              <w:pStyle w:val="0"/>
              <w:jc w:val="center"/>
            </w:pPr>
            <w:r>
              <w:rPr>
                <w:sz w:val="20"/>
              </w:rPr>
              <w:t xml:space="preserve">N п/п</w:t>
            </w:r>
          </w:p>
        </w:tc>
        <w:tc>
          <w:tcPr>
            <w:tcW w:w="3402" w:type="dxa"/>
          </w:tcPr>
          <w:p>
            <w:pPr>
              <w:pStyle w:val="0"/>
              <w:jc w:val="center"/>
            </w:pPr>
            <w:r>
              <w:rPr>
                <w:sz w:val="20"/>
              </w:rPr>
              <w:t xml:space="preserve">Наименование расходов</w:t>
            </w:r>
          </w:p>
        </w:tc>
        <w:tc>
          <w:tcPr>
            <w:tcW w:w="1191" w:type="dxa"/>
          </w:tcPr>
          <w:p>
            <w:pPr>
              <w:pStyle w:val="0"/>
              <w:jc w:val="center"/>
            </w:pPr>
            <w:r>
              <w:rPr>
                <w:sz w:val="20"/>
              </w:rPr>
              <w:t xml:space="preserve">N договора</w:t>
            </w:r>
          </w:p>
        </w:tc>
        <w:tc>
          <w:tcPr>
            <w:tcW w:w="1247" w:type="dxa"/>
          </w:tcPr>
          <w:p>
            <w:pPr>
              <w:pStyle w:val="0"/>
              <w:jc w:val="center"/>
            </w:pPr>
            <w:r>
              <w:rPr>
                <w:sz w:val="20"/>
              </w:rPr>
              <w:t xml:space="preserve">Дата договора</w:t>
            </w:r>
          </w:p>
        </w:tc>
        <w:tc>
          <w:tcPr>
            <w:tcW w:w="907" w:type="dxa"/>
          </w:tcPr>
          <w:p>
            <w:pPr>
              <w:pStyle w:val="0"/>
              <w:jc w:val="center"/>
            </w:pPr>
            <w:r>
              <w:rPr>
                <w:sz w:val="20"/>
              </w:rPr>
              <w:t xml:space="preserve">N тома</w:t>
            </w:r>
          </w:p>
        </w:tc>
        <w:tc>
          <w:tcPr>
            <w:tcW w:w="1304" w:type="dxa"/>
          </w:tcPr>
          <w:p>
            <w:pPr>
              <w:pStyle w:val="0"/>
              <w:jc w:val="center"/>
            </w:pPr>
            <w:r>
              <w:rPr>
                <w:sz w:val="20"/>
              </w:rPr>
              <w:t xml:space="preserve">Размер оплаты по договору, руб. (за субсидируемый период, с НДС)</w:t>
            </w:r>
          </w:p>
        </w:tc>
        <w:tc>
          <w:tcPr>
            <w:tcW w:w="1304" w:type="dxa"/>
          </w:tcPr>
          <w:p>
            <w:pPr>
              <w:pStyle w:val="0"/>
              <w:jc w:val="center"/>
            </w:pPr>
            <w:r>
              <w:rPr>
                <w:sz w:val="20"/>
              </w:rPr>
              <w:t xml:space="preserve">N платежных поручений</w:t>
            </w:r>
          </w:p>
        </w:tc>
        <w:tc>
          <w:tcPr>
            <w:tcW w:w="1361" w:type="dxa"/>
          </w:tcPr>
          <w:p>
            <w:pPr>
              <w:pStyle w:val="0"/>
              <w:jc w:val="center"/>
            </w:pPr>
            <w:r>
              <w:rPr>
                <w:sz w:val="20"/>
              </w:rPr>
              <w:t xml:space="preserve">Дата платежных поручений</w:t>
            </w:r>
          </w:p>
        </w:tc>
        <w:tc>
          <w:tcPr>
            <w:tcW w:w="1417" w:type="dxa"/>
          </w:tcPr>
          <w:p>
            <w:pPr>
              <w:pStyle w:val="0"/>
              <w:jc w:val="center"/>
            </w:pPr>
            <w:r>
              <w:rPr>
                <w:sz w:val="20"/>
              </w:rPr>
              <w:t xml:space="preserve">Сумма по платежным поручениям (без НДС)</w:t>
            </w:r>
          </w:p>
        </w:tc>
        <w:tc>
          <w:tcPr>
            <w:tcW w:w="1474" w:type="dxa"/>
          </w:tcPr>
          <w:p>
            <w:pPr>
              <w:pStyle w:val="0"/>
              <w:jc w:val="center"/>
            </w:pPr>
            <w:r>
              <w:rPr>
                <w:sz w:val="20"/>
              </w:rPr>
              <w:t xml:space="preserve">Сумма по платежным поручениям (с НДС)</w:t>
            </w:r>
          </w:p>
        </w:tc>
        <w:tc>
          <w:tcPr>
            <w:tcW w:w="1361" w:type="dxa"/>
          </w:tcPr>
          <w:p>
            <w:pPr>
              <w:pStyle w:val="0"/>
              <w:jc w:val="center"/>
            </w:pPr>
            <w:r>
              <w:rPr>
                <w:sz w:val="20"/>
              </w:rPr>
              <w:t xml:space="preserve">N актов (выполненных работ, приема-передачи)</w:t>
            </w:r>
          </w:p>
        </w:tc>
        <w:tc>
          <w:tcPr>
            <w:tcW w:w="1247" w:type="dxa"/>
          </w:tcPr>
          <w:p>
            <w:pPr>
              <w:pStyle w:val="0"/>
              <w:jc w:val="center"/>
            </w:pPr>
            <w:r>
              <w:rPr>
                <w:sz w:val="20"/>
              </w:rPr>
              <w:t xml:space="preserve">Дата актов (выполненных работ, приема-передачи)</w:t>
            </w:r>
          </w:p>
        </w:tc>
        <w:tc>
          <w:tcPr>
            <w:tcW w:w="1247" w:type="dxa"/>
          </w:tcPr>
          <w:p>
            <w:pPr>
              <w:pStyle w:val="0"/>
              <w:jc w:val="center"/>
            </w:pPr>
            <w:r>
              <w:rPr>
                <w:sz w:val="20"/>
              </w:rPr>
              <w:t xml:space="preserve">Сумма по актам (без НДС)</w:t>
            </w:r>
          </w:p>
        </w:tc>
        <w:tc>
          <w:tcPr>
            <w:tcW w:w="1247" w:type="dxa"/>
          </w:tcPr>
          <w:p>
            <w:pPr>
              <w:pStyle w:val="0"/>
              <w:jc w:val="center"/>
            </w:pPr>
            <w:r>
              <w:rPr>
                <w:sz w:val="20"/>
              </w:rPr>
              <w:t xml:space="preserve">Сумма по актам (с НДС)</w:t>
            </w:r>
          </w:p>
        </w:tc>
        <w:tc>
          <w:tcPr>
            <w:tcW w:w="1587" w:type="dxa"/>
          </w:tcPr>
          <w:p>
            <w:pPr>
              <w:pStyle w:val="0"/>
              <w:jc w:val="center"/>
            </w:pPr>
            <w:r>
              <w:rPr>
                <w:sz w:val="20"/>
              </w:rPr>
              <w:t xml:space="preserve">Примечание</w:t>
            </w:r>
          </w:p>
        </w:tc>
        <w:tc>
          <w:tcPr>
            <w:tcW w:w="1417" w:type="dxa"/>
          </w:tcPr>
          <w:p>
            <w:pPr>
              <w:pStyle w:val="0"/>
              <w:jc w:val="center"/>
            </w:pPr>
            <w:r>
              <w:rPr>
                <w:sz w:val="20"/>
              </w:rPr>
              <w:t xml:space="preserve">Расчет объема инвестиций (без НДС)</w:t>
            </w:r>
          </w:p>
        </w:tc>
        <w:tc>
          <w:tcPr>
            <w:tcW w:w="1474" w:type="dxa"/>
          </w:tcPr>
          <w:p>
            <w:pPr>
              <w:pStyle w:val="0"/>
              <w:jc w:val="center"/>
            </w:pPr>
            <w:r>
              <w:rPr>
                <w:sz w:val="20"/>
              </w:rPr>
              <w:t xml:space="preserve">Расчет объема инвестиций (с НДС)</w:t>
            </w:r>
          </w:p>
        </w:tc>
      </w:tr>
      <w:tr>
        <w:tc>
          <w:tcPr>
            <w:tcW w:w="624" w:type="dxa"/>
          </w:tcPr>
          <w:p>
            <w:pPr>
              <w:pStyle w:val="0"/>
              <w:jc w:val="center"/>
            </w:pPr>
            <w:r>
              <w:rPr>
                <w:sz w:val="20"/>
              </w:rPr>
              <w:t xml:space="preserve">1</w:t>
            </w:r>
          </w:p>
        </w:tc>
        <w:tc>
          <w:tcPr>
            <w:tcW w:w="3402" w:type="dxa"/>
          </w:tcPr>
          <w:p>
            <w:pPr>
              <w:pStyle w:val="0"/>
              <w:jc w:val="center"/>
            </w:pPr>
            <w:r>
              <w:rPr>
                <w:sz w:val="20"/>
              </w:rPr>
              <w:t xml:space="preserve">2</w:t>
            </w:r>
          </w:p>
        </w:tc>
        <w:tc>
          <w:tcPr>
            <w:tcW w:w="1191" w:type="dxa"/>
          </w:tcPr>
          <w:p>
            <w:pPr>
              <w:pStyle w:val="0"/>
              <w:jc w:val="center"/>
            </w:pPr>
            <w:r>
              <w:rPr>
                <w:sz w:val="20"/>
              </w:rPr>
              <w:t xml:space="preserve">3</w:t>
            </w:r>
          </w:p>
        </w:tc>
        <w:tc>
          <w:tcPr>
            <w:tcW w:w="1247" w:type="dxa"/>
          </w:tcPr>
          <w:p>
            <w:pPr>
              <w:pStyle w:val="0"/>
              <w:jc w:val="center"/>
            </w:pPr>
            <w:r>
              <w:rPr>
                <w:sz w:val="20"/>
              </w:rPr>
              <w:t xml:space="preserve">4</w:t>
            </w:r>
          </w:p>
        </w:tc>
        <w:tc>
          <w:tcPr>
            <w:tcW w:w="907" w:type="dxa"/>
          </w:tcPr>
          <w:p>
            <w:pPr>
              <w:pStyle w:val="0"/>
              <w:jc w:val="center"/>
            </w:pPr>
            <w:r>
              <w:rPr>
                <w:sz w:val="20"/>
              </w:rPr>
              <w:t xml:space="preserve">5</w:t>
            </w:r>
          </w:p>
        </w:tc>
        <w:tc>
          <w:tcPr>
            <w:tcW w:w="1304" w:type="dxa"/>
          </w:tcPr>
          <w:p>
            <w:pPr>
              <w:pStyle w:val="0"/>
              <w:jc w:val="center"/>
            </w:pPr>
            <w:r>
              <w:rPr>
                <w:sz w:val="20"/>
              </w:rPr>
              <w:t xml:space="preserve">6</w:t>
            </w:r>
          </w:p>
        </w:tc>
        <w:tc>
          <w:tcPr>
            <w:tcW w:w="1304" w:type="dxa"/>
          </w:tcPr>
          <w:p>
            <w:pPr>
              <w:pStyle w:val="0"/>
              <w:jc w:val="center"/>
            </w:pPr>
            <w:r>
              <w:rPr>
                <w:sz w:val="20"/>
              </w:rPr>
              <w:t xml:space="preserve">7</w:t>
            </w:r>
          </w:p>
        </w:tc>
        <w:tc>
          <w:tcPr>
            <w:tcW w:w="1361" w:type="dxa"/>
          </w:tcPr>
          <w:p>
            <w:pPr>
              <w:pStyle w:val="0"/>
              <w:jc w:val="center"/>
            </w:pPr>
            <w:r>
              <w:rPr>
                <w:sz w:val="20"/>
              </w:rPr>
              <w:t xml:space="preserve">8</w:t>
            </w:r>
          </w:p>
        </w:tc>
        <w:tc>
          <w:tcPr>
            <w:tcW w:w="1417" w:type="dxa"/>
          </w:tcPr>
          <w:p>
            <w:pPr>
              <w:pStyle w:val="0"/>
              <w:jc w:val="center"/>
            </w:pPr>
            <w:r>
              <w:rPr>
                <w:sz w:val="20"/>
              </w:rPr>
              <w:t xml:space="preserve">9</w:t>
            </w:r>
          </w:p>
        </w:tc>
        <w:tc>
          <w:tcPr>
            <w:tcW w:w="1474" w:type="dxa"/>
          </w:tcPr>
          <w:p>
            <w:pPr>
              <w:pStyle w:val="0"/>
              <w:jc w:val="center"/>
            </w:pPr>
            <w:r>
              <w:rPr>
                <w:sz w:val="20"/>
              </w:rPr>
              <w:t xml:space="preserve">10</w:t>
            </w:r>
          </w:p>
        </w:tc>
        <w:tc>
          <w:tcPr>
            <w:tcW w:w="1361" w:type="dxa"/>
          </w:tcPr>
          <w:p>
            <w:pPr>
              <w:pStyle w:val="0"/>
              <w:jc w:val="center"/>
            </w:pPr>
            <w:r>
              <w:rPr>
                <w:sz w:val="20"/>
              </w:rPr>
              <w:t xml:space="preserve">11</w:t>
            </w:r>
          </w:p>
        </w:tc>
        <w:tc>
          <w:tcPr>
            <w:tcW w:w="1247" w:type="dxa"/>
          </w:tcPr>
          <w:p>
            <w:pPr>
              <w:pStyle w:val="0"/>
              <w:jc w:val="center"/>
            </w:pPr>
            <w:r>
              <w:rPr>
                <w:sz w:val="20"/>
              </w:rPr>
              <w:t xml:space="preserve">12</w:t>
            </w:r>
          </w:p>
        </w:tc>
        <w:tc>
          <w:tcPr>
            <w:tcW w:w="1247" w:type="dxa"/>
          </w:tcPr>
          <w:p>
            <w:pPr>
              <w:pStyle w:val="0"/>
              <w:jc w:val="center"/>
            </w:pPr>
            <w:r>
              <w:rPr>
                <w:sz w:val="20"/>
              </w:rPr>
              <w:t xml:space="preserve">13</w:t>
            </w:r>
          </w:p>
        </w:tc>
        <w:tc>
          <w:tcPr>
            <w:tcW w:w="1247" w:type="dxa"/>
          </w:tcPr>
          <w:p>
            <w:pPr>
              <w:pStyle w:val="0"/>
              <w:jc w:val="center"/>
            </w:pPr>
            <w:r>
              <w:rPr>
                <w:sz w:val="20"/>
              </w:rPr>
              <w:t xml:space="preserve">14</w:t>
            </w:r>
          </w:p>
        </w:tc>
        <w:tc>
          <w:tcPr>
            <w:tcW w:w="1587" w:type="dxa"/>
          </w:tcPr>
          <w:p>
            <w:pPr>
              <w:pStyle w:val="0"/>
              <w:jc w:val="center"/>
            </w:pPr>
            <w:r>
              <w:rPr>
                <w:sz w:val="20"/>
              </w:rPr>
              <w:t xml:space="preserve">15</w:t>
            </w:r>
          </w:p>
        </w:tc>
        <w:tc>
          <w:tcPr>
            <w:tcW w:w="1417" w:type="dxa"/>
          </w:tcPr>
          <w:p>
            <w:pPr>
              <w:pStyle w:val="0"/>
              <w:jc w:val="center"/>
            </w:pPr>
            <w:r>
              <w:rPr>
                <w:sz w:val="20"/>
              </w:rPr>
              <w:t xml:space="preserve">16</w:t>
            </w:r>
          </w:p>
        </w:tc>
        <w:tc>
          <w:tcPr>
            <w:tcW w:w="1474" w:type="dxa"/>
          </w:tcPr>
          <w:p>
            <w:pPr>
              <w:pStyle w:val="0"/>
              <w:jc w:val="center"/>
            </w:pPr>
            <w:r>
              <w:rPr>
                <w:sz w:val="20"/>
              </w:rPr>
              <w:t xml:space="preserve">17</w:t>
            </w:r>
          </w:p>
        </w:tc>
      </w:tr>
      <w:tr>
        <w:tc>
          <w:tcPr>
            <w:tcW w:w="624" w:type="dxa"/>
          </w:tcPr>
          <w:p>
            <w:pPr>
              <w:pStyle w:val="0"/>
            </w:pPr>
            <w:r>
              <w:rPr>
                <w:sz w:val="20"/>
              </w:rPr>
              <w:t xml:space="preserve">1</w:t>
            </w:r>
          </w:p>
        </w:tc>
        <w:tc>
          <w:tcPr>
            <w:tcW w:w="3402" w:type="dxa"/>
          </w:tcPr>
          <w:p>
            <w:pPr>
              <w:pStyle w:val="0"/>
            </w:pPr>
            <w:r>
              <w:rPr>
                <w:sz w:val="20"/>
              </w:rPr>
              <w:t xml:space="preserve">Затраты на строительство новых промышленных предприятий,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2</w:t>
            </w:r>
          </w:p>
        </w:tc>
        <w:tc>
          <w:tcPr>
            <w:tcW w:w="3402" w:type="dxa"/>
          </w:tcPr>
          <w:p>
            <w:pPr>
              <w:pStyle w:val="0"/>
            </w:pPr>
            <w:r>
              <w:rPr>
                <w:sz w:val="20"/>
              </w:rPr>
              <w:t xml:space="preserve">Затраты на строительство (реконструкцию) объекта капитального строительства, связанные с увеличением производственных мощностей,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3</w:t>
            </w:r>
          </w:p>
        </w:tc>
        <w:tc>
          <w:tcPr>
            <w:tcW w:w="3402" w:type="dxa"/>
          </w:tcPr>
          <w:p>
            <w:pPr>
              <w:pStyle w:val="0"/>
            </w:pPr>
            <w:r>
              <w:rPr>
                <w:sz w:val="20"/>
              </w:rPr>
              <w:t xml:space="preserve">Затраты на закупку производственного оборудования,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4</w:t>
            </w:r>
          </w:p>
        </w:tc>
        <w:tc>
          <w:tcPr>
            <w:tcW w:w="3402" w:type="dxa"/>
          </w:tcPr>
          <w:p>
            <w:pPr>
              <w:pStyle w:val="0"/>
            </w:pPr>
            <w:r>
              <w:rPr>
                <w:sz w:val="20"/>
              </w:rPr>
              <w:t xml:space="preserve">Итого:</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bl>
    <w:p>
      <w:pPr>
        <w:pStyle w:val="0"/>
        <w:jc w:val="both"/>
      </w:pPr>
      <w:r>
        <w:rPr>
          <w:sz w:val="20"/>
        </w:rPr>
      </w:r>
    </w:p>
    <w:p>
      <w:pPr>
        <w:pStyle w:val="0"/>
        <w:outlineLvl w:val="4"/>
        <w:jc w:val="right"/>
      </w:pPr>
      <w:r>
        <w:rPr>
          <w:sz w:val="20"/>
        </w:rPr>
        <w:t xml:space="preserve">Таблица 3</w:t>
      </w:r>
    </w:p>
    <w:p>
      <w:pPr>
        <w:pStyle w:val="0"/>
        <w:jc w:val="both"/>
      </w:pPr>
      <w:r>
        <w:rPr>
          <w:sz w:val="20"/>
        </w:rPr>
      </w:r>
    </w:p>
    <w:bookmarkStart w:id="4213" w:name="P4213"/>
    <w:bookmarkEnd w:id="4213"/>
    <w:p>
      <w:pPr>
        <w:pStyle w:val="0"/>
        <w:jc w:val="center"/>
      </w:pPr>
      <w:r>
        <w:rPr>
          <w:sz w:val="20"/>
        </w:rPr>
        <w:t xml:space="preserve">Затраты</w:t>
      </w:r>
    </w:p>
    <w:p>
      <w:pPr>
        <w:pStyle w:val="0"/>
        <w:jc w:val="center"/>
      </w:pPr>
      <w:r>
        <w:rPr>
          <w:sz w:val="20"/>
        </w:rPr>
        <w:t xml:space="preserve">на создание объектов инженерной и транспортной</w:t>
      </w:r>
    </w:p>
    <w:p>
      <w:pPr>
        <w:pStyle w:val="0"/>
        <w:jc w:val="center"/>
      </w:pPr>
      <w:r>
        <w:rPr>
          <w:sz w:val="20"/>
        </w:rPr>
        <w:t xml:space="preserve">инфраструктуры для новых промышленных предприятий и (или)</w:t>
      </w:r>
    </w:p>
    <w:p>
      <w:pPr>
        <w:pStyle w:val="0"/>
        <w:jc w:val="center"/>
      </w:pPr>
      <w:r>
        <w:rPr>
          <w:sz w:val="20"/>
        </w:rPr>
        <w:t xml:space="preserve">для увеличивших производственные мощности существующих</w:t>
      </w:r>
    </w:p>
    <w:p>
      <w:pPr>
        <w:pStyle w:val="0"/>
        <w:jc w:val="center"/>
      </w:pPr>
      <w:r>
        <w:rPr>
          <w:sz w:val="20"/>
        </w:rPr>
        <w:t xml:space="preserve">промышленных предприятий на территории Московской области</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402"/>
        <w:gridCol w:w="1191"/>
        <w:gridCol w:w="1247"/>
        <w:gridCol w:w="907"/>
        <w:gridCol w:w="1304"/>
        <w:gridCol w:w="1304"/>
        <w:gridCol w:w="1361"/>
        <w:gridCol w:w="1417"/>
        <w:gridCol w:w="1474"/>
        <w:gridCol w:w="1361"/>
        <w:gridCol w:w="1247"/>
        <w:gridCol w:w="1247"/>
        <w:gridCol w:w="1247"/>
        <w:gridCol w:w="1587"/>
        <w:gridCol w:w="1417"/>
        <w:gridCol w:w="1474"/>
      </w:tblGrid>
      <w:tr>
        <w:tc>
          <w:tcPr>
            <w:tcW w:w="624" w:type="dxa"/>
          </w:tcPr>
          <w:p>
            <w:pPr>
              <w:pStyle w:val="0"/>
              <w:jc w:val="center"/>
            </w:pPr>
            <w:r>
              <w:rPr>
                <w:sz w:val="20"/>
              </w:rPr>
              <w:t xml:space="preserve">N п/п</w:t>
            </w:r>
          </w:p>
        </w:tc>
        <w:tc>
          <w:tcPr>
            <w:tcW w:w="3402" w:type="dxa"/>
          </w:tcPr>
          <w:p>
            <w:pPr>
              <w:pStyle w:val="0"/>
              <w:jc w:val="center"/>
            </w:pPr>
            <w:r>
              <w:rPr>
                <w:sz w:val="20"/>
              </w:rPr>
              <w:t xml:space="preserve">Наименование расходов</w:t>
            </w:r>
          </w:p>
        </w:tc>
        <w:tc>
          <w:tcPr>
            <w:tcW w:w="1191" w:type="dxa"/>
          </w:tcPr>
          <w:p>
            <w:pPr>
              <w:pStyle w:val="0"/>
              <w:jc w:val="center"/>
            </w:pPr>
            <w:r>
              <w:rPr>
                <w:sz w:val="20"/>
              </w:rPr>
              <w:t xml:space="preserve">N договора</w:t>
            </w:r>
          </w:p>
        </w:tc>
        <w:tc>
          <w:tcPr>
            <w:tcW w:w="1247" w:type="dxa"/>
          </w:tcPr>
          <w:p>
            <w:pPr>
              <w:pStyle w:val="0"/>
              <w:jc w:val="center"/>
            </w:pPr>
            <w:r>
              <w:rPr>
                <w:sz w:val="20"/>
              </w:rPr>
              <w:t xml:space="preserve">Дата договора</w:t>
            </w:r>
          </w:p>
        </w:tc>
        <w:tc>
          <w:tcPr>
            <w:tcW w:w="907" w:type="dxa"/>
          </w:tcPr>
          <w:p>
            <w:pPr>
              <w:pStyle w:val="0"/>
              <w:jc w:val="center"/>
            </w:pPr>
            <w:r>
              <w:rPr>
                <w:sz w:val="20"/>
              </w:rPr>
              <w:t xml:space="preserve">N тома</w:t>
            </w:r>
          </w:p>
        </w:tc>
        <w:tc>
          <w:tcPr>
            <w:tcW w:w="1304" w:type="dxa"/>
          </w:tcPr>
          <w:p>
            <w:pPr>
              <w:pStyle w:val="0"/>
              <w:jc w:val="center"/>
            </w:pPr>
            <w:r>
              <w:rPr>
                <w:sz w:val="20"/>
              </w:rPr>
              <w:t xml:space="preserve">Размер оплаты по договору, руб. (за субсидируемый период, с НДС)</w:t>
            </w:r>
          </w:p>
        </w:tc>
        <w:tc>
          <w:tcPr>
            <w:tcW w:w="1304" w:type="dxa"/>
          </w:tcPr>
          <w:p>
            <w:pPr>
              <w:pStyle w:val="0"/>
              <w:jc w:val="center"/>
            </w:pPr>
            <w:r>
              <w:rPr>
                <w:sz w:val="20"/>
              </w:rPr>
              <w:t xml:space="preserve">N платежных поручений</w:t>
            </w:r>
          </w:p>
        </w:tc>
        <w:tc>
          <w:tcPr>
            <w:tcW w:w="1361" w:type="dxa"/>
          </w:tcPr>
          <w:p>
            <w:pPr>
              <w:pStyle w:val="0"/>
              <w:jc w:val="center"/>
            </w:pPr>
            <w:r>
              <w:rPr>
                <w:sz w:val="20"/>
              </w:rPr>
              <w:t xml:space="preserve">Дата платежных поручений</w:t>
            </w:r>
          </w:p>
        </w:tc>
        <w:tc>
          <w:tcPr>
            <w:tcW w:w="1417" w:type="dxa"/>
          </w:tcPr>
          <w:p>
            <w:pPr>
              <w:pStyle w:val="0"/>
              <w:jc w:val="center"/>
            </w:pPr>
            <w:r>
              <w:rPr>
                <w:sz w:val="20"/>
              </w:rPr>
              <w:t xml:space="preserve">Сумма по платежным поручениям (без НДС)</w:t>
            </w:r>
          </w:p>
        </w:tc>
        <w:tc>
          <w:tcPr>
            <w:tcW w:w="1474" w:type="dxa"/>
          </w:tcPr>
          <w:p>
            <w:pPr>
              <w:pStyle w:val="0"/>
              <w:jc w:val="center"/>
            </w:pPr>
            <w:r>
              <w:rPr>
                <w:sz w:val="20"/>
              </w:rPr>
              <w:t xml:space="preserve">Сумма по платежным поручениям (с НДС)</w:t>
            </w:r>
          </w:p>
        </w:tc>
        <w:tc>
          <w:tcPr>
            <w:tcW w:w="1361" w:type="dxa"/>
          </w:tcPr>
          <w:p>
            <w:pPr>
              <w:pStyle w:val="0"/>
              <w:jc w:val="center"/>
            </w:pPr>
            <w:r>
              <w:rPr>
                <w:sz w:val="20"/>
              </w:rPr>
              <w:t xml:space="preserve">N актов (выполненных работ, приема-передачи)</w:t>
            </w:r>
          </w:p>
        </w:tc>
        <w:tc>
          <w:tcPr>
            <w:tcW w:w="1247" w:type="dxa"/>
          </w:tcPr>
          <w:p>
            <w:pPr>
              <w:pStyle w:val="0"/>
              <w:jc w:val="center"/>
            </w:pPr>
            <w:r>
              <w:rPr>
                <w:sz w:val="20"/>
              </w:rPr>
              <w:t xml:space="preserve">Дата актов (выполненных работ, приема-передачи)</w:t>
            </w:r>
          </w:p>
        </w:tc>
        <w:tc>
          <w:tcPr>
            <w:tcW w:w="1247" w:type="dxa"/>
          </w:tcPr>
          <w:p>
            <w:pPr>
              <w:pStyle w:val="0"/>
              <w:jc w:val="center"/>
            </w:pPr>
            <w:r>
              <w:rPr>
                <w:sz w:val="20"/>
              </w:rPr>
              <w:t xml:space="preserve">Сумма по актам (без НДС)</w:t>
            </w:r>
          </w:p>
        </w:tc>
        <w:tc>
          <w:tcPr>
            <w:tcW w:w="1247" w:type="dxa"/>
          </w:tcPr>
          <w:p>
            <w:pPr>
              <w:pStyle w:val="0"/>
              <w:jc w:val="center"/>
            </w:pPr>
            <w:r>
              <w:rPr>
                <w:sz w:val="20"/>
              </w:rPr>
              <w:t xml:space="preserve">Сумма по актам (с НДС)</w:t>
            </w:r>
          </w:p>
        </w:tc>
        <w:tc>
          <w:tcPr>
            <w:tcW w:w="1587" w:type="dxa"/>
          </w:tcPr>
          <w:p>
            <w:pPr>
              <w:pStyle w:val="0"/>
              <w:jc w:val="center"/>
            </w:pPr>
            <w:r>
              <w:rPr>
                <w:sz w:val="20"/>
              </w:rPr>
              <w:t xml:space="preserve">Примечание</w:t>
            </w:r>
          </w:p>
        </w:tc>
        <w:tc>
          <w:tcPr>
            <w:tcW w:w="1417" w:type="dxa"/>
          </w:tcPr>
          <w:p>
            <w:pPr>
              <w:pStyle w:val="0"/>
              <w:jc w:val="center"/>
            </w:pPr>
            <w:r>
              <w:rPr>
                <w:sz w:val="20"/>
              </w:rPr>
              <w:t xml:space="preserve">Расчет объема инвестиций (без НДС)</w:t>
            </w:r>
          </w:p>
        </w:tc>
        <w:tc>
          <w:tcPr>
            <w:tcW w:w="1474" w:type="dxa"/>
          </w:tcPr>
          <w:p>
            <w:pPr>
              <w:pStyle w:val="0"/>
              <w:jc w:val="center"/>
            </w:pPr>
            <w:r>
              <w:rPr>
                <w:sz w:val="20"/>
              </w:rPr>
              <w:t xml:space="preserve">Расчет объема инвестиций (с НДС)</w:t>
            </w:r>
          </w:p>
        </w:tc>
      </w:tr>
      <w:tr>
        <w:tc>
          <w:tcPr>
            <w:tcW w:w="624" w:type="dxa"/>
          </w:tcPr>
          <w:p>
            <w:pPr>
              <w:pStyle w:val="0"/>
              <w:jc w:val="center"/>
            </w:pPr>
            <w:r>
              <w:rPr>
                <w:sz w:val="20"/>
              </w:rPr>
              <w:t xml:space="preserve">1</w:t>
            </w:r>
          </w:p>
        </w:tc>
        <w:tc>
          <w:tcPr>
            <w:tcW w:w="3402" w:type="dxa"/>
          </w:tcPr>
          <w:p>
            <w:pPr>
              <w:pStyle w:val="0"/>
              <w:jc w:val="center"/>
            </w:pPr>
            <w:r>
              <w:rPr>
                <w:sz w:val="20"/>
              </w:rPr>
              <w:t xml:space="preserve">2</w:t>
            </w:r>
          </w:p>
        </w:tc>
        <w:tc>
          <w:tcPr>
            <w:tcW w:w="1191" w:type="dxa"/>
          </w:tcPr>
          <w:p>
            <w:pPr>
              <w:pStyle w:val="0"/>
              <w:jc w:val="center"/>
            </w:pPr>
            <w:r>
              <w:rPr>
                <w:sz w:val="20"/>
              </w:rPr>
              <w:t xml:space="preserve">3</w:t>
            </w:r>
          </w:p>
        </w:tc>
        <w:tc>
          <w:tcPr>
            <w:tcW w:w="1247" w:type="dxa"/>
          </w:tcPr>
          <w:p>
            <w:pPr>
              <w:pStyle w:val="0"/>
              <w:jc w:val="center"/>
            </w:pPr>
            <w:r>
              <w:rPr>
                <w:sz w:val="20"/>
              </w:rPr>
              <w:t xml:space="preserve">4</w:t>
            </w:r>
          </w:p>
        </w:tc>
        <w:tc>
          <w:tcPr>
            <w:tcW w:w="907" w:type="dxa"/>
          </w:tcPr>
          <w:p>
            <w:pPr>
              <w:pStyle w:val="0"/>
              <w:jc w:val="center"/>
            </w:pPr>
            <w:r>
              <w:rPr>
                <w:sz w:val="20"/>
              </w:rPr>
              <w:t xml:space="preserve">5</w:t>
            </w:r>
          </w:p>
        </w:tc>
        <w:tc>
          <w:tcPr>
            <w:tcW w:w="1304" w:type="dxa"/>
          </w:tcPr>
          <w:p>
            <w:pPr>
              <w:pStyle w:val="0"/>
              <w:jc w:val="center"/>
            </w:pPr>
            <w:r>
              <w:rPr>
                <w:sz w:val="20"/>
              </w:rPr>
              <w:t xml:space="preserve">6</w:t>
            </w:r>
          </w:p>
        </w:tc>
        <w:tc>
          <w:tcPr>
            <w:tcW w:w="1304" w:type="dxa"/>
          </w:tcPr>
          <w:p>
            <w:pPr>
              <w:pStyle w:val="0"/>
              <w:jc w:val="center"/>
            </w:pPr>
            <w:r>
              <w:rPr>
                <w:sz w:val="20"/>
              </w:rPr>
              <w:t xml:space="preserve">7</w:t>
            </w:r>
          </w:p>
        </w:tc>
        <w:tc>
          <w:tcPr>
            <w:tcW w:w="1361" w:type="dxa"/>
          </w:tcPr>
          <w:p>
            <w:pPr>
              <w:pStyle w:val="0"/>
              <w:jc w:val="center"/>
            </w:pPr>
            <w:r>
              <w:rPr>
                <w:sz w:val="20"/>
              </w:rPr>
              <w:t xml:space="preserve">8</w:t>
            </w:r>
          </w:p>
        </w:tc>
        <w:tc>
          <w:tcPr>
            <w:tcW w:w="1417" w:type="dxa"/>
          </w:tcPr>
          <w:p>
            <w:pPr>
              <w:pStyle w:val="0"/>
              <w:jc w:val="center"/>
            </w:pPr>
            <w:r>
              <w:rPr>
                <w:sz w:val="20"/>
              </w:rPr>
              <w:t xml:space="preserve">9</w:t>
            </w:r>
          </w:p>
        </w:tc>
        <w:tc>
          <w:tcPr>
            <w:tcW w:w="1474" w:type="dxa"/>
          </w:tcPr>
          <w:p>
            <w:pPr>
              <w:pStyle w:val="0"/>
              <w:jc w:val="center"/>
            </w:pPr>
            <w:r>
              <w:rPr>
                <w:sz w:val="20"/>
              </w:rPr>
              <w:t xml:space="preserve">10</w:t>
            </w:r>
          </w:p>
        </w:tc>
        <w:tc>
          <w:tcPr>
            <w:tcW w:w="1361" w:type="dxa"/>
          </w:tcPr>
          <w:p>
            <w:pPr>
              <w:pStyle w:val="0"/>
              <w:jc w:val="center"/>
            </w:pPr>
            <w:r>
              <w:rPr>
                <w:sz w:val="20"/>
              </w:rPr>
              <w:t xml:space="preserve">11</w:t>
            </w:r>
          </w:p>
        </w:tc>
        <w:tc>
          <w:tcPr>
            <w:tcW w:w="1247" w:type="dxa"/>
          </w:tcPr>
          <w:p>
            <w:pPr>
              <w:pStyle w:val="0"/>
              <w:jc w:val="center"/>
            </w:pPr>
            <w:r>
              <w:rPr>
                <w:sz w:val="20"/>
              </w:rPr>
              <w:t xml:space="preserve">12</w:t>
            </w:r>
          </w:p>
        </w:tc>
        <w:tc>
          <w:tcPr>
            <w:tcW w:w="1247" w:type="dxa"/>
          </w:tcPr>
          <w:p>
            <w:pPr>
              <w:pStyle w:val="0"/>
              <w:jc w:val="center"/>
            </w:pPr>
            <w:r>
              <w:rPr>
                <w:sz w:val="20"/>
              </w:rPr>
              <w:t xml:space="preserve">13</w:t>
            </w:r>
          </w:p>
        </w:tc>
        <w:tc>
          <w:tcPr>
            <w:tcW w:w="1247" w:type="dxa"/>
          </w:tcPr>
          <w:p>
            <w:pPr>
              <w:pStyle w:val="0"/>
              <w:jc w:val="center"/>
            </w:pPr>
            <w:r>
              <w:rPr>
                <w:sz w:val="20"/>
              </w:rPr>
              <w:t xml:space="preserve">14</w:t>
            </w:r>
          </w:p>
        </w:tc>
        <w:tc>
          <w:tcPr>
            <w:tcW w:w="1587" w:type="dxa"/>
          </w:tcPr>
          <w:p>
            <w:pPr>
              <w:pStyle w:val="0"/>
              <w:jc w:val="center"/>
            </w:pPr>
            <w:r>
              <w:rPr>
                <w:sz w:val="20"/>
              </w:rPr>
              <w:t xml:space="preserve">15</w:t>
            </w:r>
          </w:p>
        </w:tc>
        <w:tc>
          <w:tcPr>
            <w:tcW w:w="1417" w:type="dxa"/>
          </w:tcPr>
          <w:p>
            <w:pPr>
              <w:pStyle w:val="0"/>
              <w:jc w:val="center"/>
            </w:pPr>
            <w:r>
              <w:rPr>
                <w:sz w:val="20"/>
              </w:rPr>
              <w:t xml:space="preserve">16</w:t>
            </w:r>
          </w:p>
        </w:tc>
        <w:tc>
          <w:tcPr>
            <w:tcW w:w="1474" w:type="dxa"/>
          </w:tcPr>
          <w:p>
            <w:pPr>
              <w:pStyle w:val="0"/>
              <w:jc w:val="center"/>
            </w:pPr>
            <w:r>
              <w:rPr>
                <w:sz w:val="20"/>
              </w:rPr>
              <w:t xml:space="preserve">17</w:t>
            </w:r>
          </w:p>
        </w:tc>
      </w:tr>
      <w:tr>
        <w:tc>
          <w:tcPr>
            <w:tcW w:w="624" w:type="dxa"/>
          </w:tcPr>
          <w:p>
            <w:pPr>
              <w:pStyle w:val="0"/>
            </w:pPr>
            <w:r>
              <w:rPr>
                <w:sz w:val="20"/>
              </w:rPr>
              <w:t xml:space="preserve">1</w:t>
            </w:r>
          </w:p>
        </w:tc>
        <w:tc>
          <w:tcPr>
            <w:tcW w:w="3402" w:type="dxa"/>
          </w:tcPr>
          <w:p>
            <w:pPr>
              <w:pStyle w:val="0"/>
            </w:pPr>
            <w:r>
              <w:rPr>
                <w:sz w:val="20"/>
              </w:rPr>
              <w:t xml:space="preserve">Затраты участника Отбора на создание (строительство) и (или) реконструкцию, подключение (технологическое присоединение) объектов газоснабжения и газораспределения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2</w:t>
            </w:r>
          </w:p>
        </w:tc>
        <w:tc>
          <w:tcPr>
            <w:tcW w:w="3402" w:type="dxa"/>
          </w:tcPr>
          <w:p>
            <w:pPr>
              <w:pStyle w:val="0"/>
            </w:pPr>
            <w:r>
              <w:rPr>
                <w:sz w:val="20"/>
              </w:rPr>
              <w:t xml:space="preserve">Затраты участника Отбора на создание (строительство) и (или) реконструкцию, подключение (технологическое присоединение) объектов электроснабжения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3</w:t>
            </w:r>
          </w:p>
        </w:tc>
        <w:tc>
          <w:tcPr>
            <w:tcW w:w="3402" w:type="dxa"/>
          </w:tcPr>
          <w:p>
            <w:pPr>
              <w:pStyle w:val="0"/>
            </w:pPr>
            <w:r>
              <w:rPr>
                <w:sz w:val="20"/>
              </w:rPr>
              <w:t xml:space="preserve">Затраты участника Отбора на создание (строительство) и (или) реконструкцию, подключение (технологическое присоединение) объектов водоснабжения, водоотведения и канализации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4</w:t>
            </w:r>
          </w:p>
        </w:tc>
        <w:tc>
          <w:tcPr>
            <w:tcW w:w="3402" w:type="dxa"/>
          </w:tcPr>
          <w:p>
            <w:pPr>
              <w:pStyle w:val="0"/>
            </w:pPr>
            <w:r>
              <w:rPr>
                <w:sz w:val="20"/>
              </w:rPr>
              <w:t xml:space="preserve">Затраты участника Отбора на создание (строительство) и (или) реконструкцию, подключение (технологическое присоединение) объектов теплоснабжения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5</w:t>
            </w:r>
          </w:p>
        </w:tc>
        <w:tc>
          <w:tcPr>
            <w:tcW w:w="3402" w:type="dxa"/>
          </w:tcPr>
          <w:p>
            <w:pPr>
              <w:pStyle w:val="0"/>
            </w:pPr>
            <w:r>
              <w:rPr>
                <w:sz w:val="20"/>
              </w:rPr>
              <w:t xml:space="preserve">Затраты участника Отбора, связанные с созданием (строительством) и (или) реконструкцией локальных очистных сооружений, предназначенных для функционирования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6</w:t>
            </w:r>
          </w:p>
        </w:tc>
        <w:tc>
          <w:tcPr>
            <w:tcW w:w="3402" w:type="dxa"/>
          </w:tcPr>
          <w:p>
            <w:pPr>
              <w:pStyle w:val="0"/>
            </w:pPr>
            <w:r>
              <w:rPr>
                <w:sz w:val="20"/>
              </w:rPr>
              <w:t xml:space="preserve">Затраты, связанные с созданием (строительством) и (или) реконструкцией, подключением и (или) присоединением транспортной инфраструктуры, предназначенных для функционирования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7</w:t>
            </w:r>
          </w:p>
        </w:tc>
        <w:tc>
          <w:tcPr>
            <w:tcW w:w="3402" w:type="dxa"/>
          </w:tcPr>
          <w:p>
            <w:pPr>
              <w:pStyle w:val="0"/>
            </w:pPr>
            <w:r>
              <w:rPr>
                <w:sz w:val="20"/>
              </w:rPr>
              <w:t xml:space="preserve">Затраты, связанные с созданием (строительством) и (или) реконструкцией водозаборных сооружений, объекта капитального строительства, в т.ч.:</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r>
        <w:tc>
          <w:tcPr>
            <w:tcW w:w="624" w:type="dxa"/>
          </w:tcPr>
          <w:p>
            <w:pPr>
              <w:pStyle w:val="0"/>
            </w:pPr>
            <w:r>
              <w:rPr>
                <w:sz w:val="20"/>
              </w:rPr>
              <w:t xml:space="preserve">8</w:t>
            </w:r>
          </w:p>
        </w:tc>
        <w:tc>
          <w:tcPr>
            <w:tcW w:w="3402" w:type="dxa"/>
          </w:tcPr>
          <w:p>
            <w:pPr>
              <w:pStyle w:val="0"/>
            </w:pPr>
            <w:r>
              <w:rPr>
                <w:sz w:val="20"/>
              </w:rPr>
              <w:t xml:space="preserve">Итого:</w:t>
            </w:r>
          </w:p>
        </w:tc>
        <w:tc>
          <w:tcPr>
            <w:tcW w:w="1191" w:type="dxa"/>
          </w:tcPr>
          <w:p>
            <w:pPr>
              <w:pStyle w:val="0"/>
            </w:pPr>
            <w:r>
              <w:rPr>
                <w:sz w:val="20"/>
              </w:rPr>
            </w:r>
          </w:p>
        </w:tc>
        <w:tc>
          <w:tcPr>
            <w:tcW w:w="124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61" w:type="dxa"/>
          </w:tcPr>
          <w:p>
            <w:pPr>
              <w:pStyle w:val="0"/>
            </w:pPr>
            <w:r>
              <w:rPr>
                <w:sz w:val="20"/>
              </w:rPr>
            </w:r>
          </w:p>
        </w:tc>
        <w:tc>
          <w:tcPr>
            <w:tcW w:w="1417"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474" w:type="dxa"/>
          </w:tcPr>
          <w:p>
            <w:pPr>
              <w:pStyle w:val="0"/>
            </w:pPr>
            <w:r>
              <w:rPr>
                <w:sz w:val="20"/>
              </w:rPr>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2"/>
        <w:outlineLvl w:val="3"/>
        <w:jc w:val="center"/>
      </w:pPr>
      <w:r>
        <w:rPr>
          <w:sz w:val="20"/>
        </w:rPr>
        <w:t xml:space="preserve">5.3.5. Порядок предоставления субсидий из бюджета Московской</w:t>
      </w:r>
    </w:p>
    <w:p>
      <w:pPr>
        <w:pStyle w:val="2"/>
        <w:jc w:val="center"/>
      </w:pPr>
      <w:r>
        <w:rPr>
          <w:sz w:val="20"/>
        </w:rPr>
        <w:t xml:space="preserve">области юридическим лицам в рамках реализации мероприятия</w:t>
      </w:r>
    </w:p>
    <w:p>
      <w:pPr>
        <w:pStyle w:val="2"/>
        <w:jc w:val="center"/>
      </w:pPr>
      <w:r>
        <w:rPr>
          <w:sz w:val="20"/>
        </w:rPr>
        <w:t xml:space="preserve">05.04 "Возмещение части затрат промышленных предприятий,</w:t>
      </w:r>
    </w:p>
    <w:p>
      <w:pPr>
        <w:pStyle w:val="2"/>
        <w:jc w:val="center"/>
      </w:pPr>
      <w:r>
        <w:rPr>
          <w:sz w:val="20"/>
        </w:rPr>
        <w:t xml:space="preserve">связанных с приобретением нового оборудования"</w:t>
      </w:r>
    </w:p>
    <w:p>
      <w:pPr>
        <w:pStyle w:val="2"/>
        <w:jc w:val="center"/>
      </w:pPr>
      <w:r>
        <w:rPr>
          <w:sz w:val="20"/>
        </w:rPr>
        <w:t xml:space="preserve">Подпрограммы 1 государственной программы</w:t>
      </w:r>
    </w:p>
    <w:p>
      <w:pPr>
        <w:pStyle w:val="0"/>
        <w:jc w:val="center"/>
      </w:pPr>
      <w:r>
        <w:rPr>
          <w:sz w:val="20"/>
        </w:rPr>
      </w:r>
    </w:p>
    <w:p>
      <w:pPr>
        <w:pStyle w:val="0"/>
        <w:jc w:val="center"/>
      </w:pPr>
      <w:r>
        <w:rPr>
          <w:sz w:val="20"/>
        </w:rPr>
        <w:t xml:space="preserve">(в ред. </w:t>
      </w:r>
      <w:hyperlink w:history="0" r:id="rId319" w:tooltip="Постановление Правительства МО от 28.03.2024 N 300-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28.03.2024 N 300-ПП)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r:id="rId3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 статьи 78</w:t>
        </w:r>
      </w:hyperlink>
      <w:r>
        <w:rPr>
          <w:sz w:val="20"/>
        </w:rPr>
        <w:t xml:space="preserve"> Бюджетного кодекса Российской Федерации, Общими </w:t>
      </w:r>
      <w:hyperlink w:history="0" r:id="rId32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требованиями</w:t>
        </w:r>
      </w:hyperlink>
      <w:r>
        <w:rPr>
          <w:sz w:val="20"/>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322" w:tooltip="Постановление Правительства РФ от 15.04.2014 N 328 (ред. от 20.12.2024)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приведенными в приложении 3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 (далее - Правила), и определяет условия, цели и порядок предоставления субсидий из бюджета Московской области в соответствии с </w:t>
      </w:r>
      <w:hyperlink w:history="0" w:anchor="P1879" w:tooltip="Мероприятие 05.04. Возмещение части затрат промышленных предприятий, связанных с приобретением нового оборудования">
        <w:r>
          <w:rPr>
            <w:sz w:val="20"/>
            <w:color w:val="0000ff"/>
          </w:rPr>
          <w:t xml:space="preserve">мероприятием 05.04</w:t>
        </w:r>
      </w:hyperlink>
      <w:r>
        <w:rPr>
          <w:sz w:val="20"/>
        </w:rPr>
        <w:t xml:space="preserve"> "Возмещение части затрат промышленных предприятий, связанных с приобретением нового оборудования" Подпрограммы 1 государственной программы (далее соответственно - Порядок, Субсидия, Мероприятие).</w:t>
      </w:r>
    </w:p>
    <w:p>
      <w:pPr>
        <w:pStyle w:val="0"/>
        <w:spacing w:before="200" w:line-rule="auto"/>
        <w:ind w:firstLine="540"/>
        <w:jc w:val="both"/>
      </w:pPr>
      <w:r>
        <w:rPr>
          <w:sz w:val="20"/>
        </w:rPr>
        <w:t xml:space="preserve">Используемые в Порядке понятия применяются в значении, в котором они используются в Правилах.</w:t>
      </w:r>
    </w:p>
    <w:bookmarkStart w:id="4403" w:name="P4403"/>
    <w:bookmarkEnd w:id="4403"/>
    <w:p>
      <w:pPr>
        <w:pStyle w:val="0"/>
        <w:spacing w:before="200" w:line-rule="auto"/>
        <w:ind w:firstLine="540"/>
        <w:jc w:val="both"/>
      </w:pPr>
      <w:r>
        <w:rPr>
          <w:sz w:val="20"/>
        </w:rPr>
        <w:t xml:space="preserve">2. Целью предоставления Субсидии является возмещение части затрат промышленных предприятий, связанных с приобретением нового оборудования.</w:t>
      </w:r>
    </w:p>
    <w:p>
      <w:pPr>
        <w:pStyle w:val="0"/>
        <w:spacing w:before="200" w:line-rule="auto"/>
        <w:ind w:firstLine="540"/>
        <w:jc w:val="both"/>
      </w:pPr>
      <w:r>
        <w:rPr>
          <w:sz w:val="20"/>
        </w:rPr>
        <w:t xml:space="preserve">Способом предоставления Субсидии является возмещение затрат.</w:t>
      </w:r>
    </w:p>
    <w:p>
      <w:pPr>
        <w:pStyle w:val="0"/>
        <w:spacing w:before="200" w:line-rule="auto"/>
        <w:ind w:firstLine="540"/>
        <w:jc w:val="both"/>
      </w:pPr>
      <w:r>
        <w:rPr>
          <w:sz w:val="20"/>
        </w:rPr>
        <w:t xml:space="preserve">3. Информация о Субсидии размещается на едином портале (в разделе единого портала) в порядке, установленном Минфином России.</w:t>
      </w:r>
    </w:p>
    <w:p>
      <w:pPr>
        <w:pStyle w:val="0"/>
        <w:spacing w:before="200" w:line-rule="auto"/>
        <w:ind w:firstLine="540"/>
        <w:jc w:val="both"/>
      </w:pPr>
      <w:r>
        <w:rPr>
          <w:sz w:val="20"/>
        </w:rPr>
        <w:t xml:space="preserve">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Мининвест Московской области.</w:t>
      </w:r>
    </w:p>
    <w:p>
      <w:pPr>
        <w:pStyle w:val="0"/>
        <w:jc w:val="both"/>
      </w:pPr>
      <w:r>
        <w:rPr>
          <w:sz w:val="20"/>
        </w:rPr>
      </w:r>
    </w:p>
    <w:p>
      <w:pPr>
        <w:pStyle w:val="2"/>
        <w:outlineLvl w:val="4"/>
        <w:jc w:val="center"/>
      </w:pPr>
      <w:r>
        <w:rPr>
          <w:sz w:val="20"/>
        </w:rPr>
        <w:t xml:space="preserve">II. Порядок проведения отбора</w:t>
      </w:r>
    </w:p>
    <w:p>
      <w:pPr>
        <w:pStyle w:val="0"/>
        <w:jc w:val="both"/>
      </w:pPr>
      <w:r>
        <w:rPr>
          <w:sz w:val="20"/>
        </w:rPr>
      </w:r>
    </w:p>
    <w:p>
      <w:pPr>
        <w:pStyle w:val="0"/>
        <w:ind w:firstLine="540"/>
        <w:jc w:val="both"/>
      </w:pPr>
      <w:r>
        <w:rPr>
          <w:sz w:val="20"/>
        </w:rPr>
        <w:t xml:space="preserve">5. Отбор получателей Субсидий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6. Способом проведения отбора для предоставления Субсидии является конкурс, проводимый Мининвестом Московской области с привлечением АНО "АИР" (далее - Конкурс).</w:t>
      </w:r>
    </w:p>
    <w:p>
      <w:pPr>
        <w:pStyle w:val="0"/>
        <w:spacing w:before="200" w:line-rule="auto"/>
        <w:ind w:firstLine="540"/>
        <w:jc w:val="both"/>
      </w:pPr>
      <w:r>
        <w:rPr>
          <w:sz w:val="20"/>
        </w:rPr>
        <w:t xml:space="preserve">Получатели Субсидии определяются по результатам Конкурса исходя из наилучших условий достижения результатов предоставления Субсидии.</w:t>
      </w:r>
    </w:p>
    <w:p>
      <w:pPr>
        <w:pStyle w:val="0"/>
        <w:spacing w:before="200" w:line-rule="auto"/>
        <w:ind w:firstLine="540"/>
        <w:jc w:val="both"/>
      </w:pPr>
      <w:r>
        <w:rPr>
          <w:sz w:val="20"/>
        </w:rPr>
        <w:t xml:space="preserve">Наилучшие условия достижения результатов предоставления Субсидии определяются исходя из критериев оценки заявок, поданных промышленными предприятиями для участия в Конкурсе (далее - участники Конкурса).</w:t>
      </w:r>
    </w:p>
    <w:p>
      <w:pPr>
        <w:pStyle w:val="0"/>
        <w:spacing w:before="200" w:line-rule="auto"/>
        <w:ind w:firstLine="540"/>
        <w:jc w:val="both"/>
      </w:pPr>
      <w:r>
        <w:rPr>
          <w:sz w:val="20"/>
        </w:rPr>
        <w:t xml:space="preserve">7. Взаимодействие Мининвеста Московской области, АНО "АИР", конкурсной комиссии по оценке заявок на предоставление Субсидии (далее - Конкурсная комиссия) с участниками Конкурса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Состав и порядок работы Конкурсной комиссии утверждается Мининвестом Московской области.</w:t>
      </w:r>
    </w:p>
    <w:bookmarkStart w:id="4417" w:name="P4417"/>
    <w:bookmarkEnd w:id="4417"/>
    <w:p>
      <w:pPr>
        <w:pStyle w:val="0"/>
        <w:spacing w:before="200" w:line-rule="auto"/>
        <w:ind w:firstLine="540"/>
        <w:jc w:val="both"/>
      </w:pPr>
      <w:r>
        <w:rPr>
          <w:sz w:val="20"/>
        </w:rPr>
        <w:t xml:space="preserve">8. К категории получателей Субсидии относятся промышленные предприятия, зарегистрированные на территории Московской области в качестве юридических лиц, осуществляющих промышленное производство на территории Московской области, или поставленные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и ведущие основной вид деятельности, входящий в совокупность видов экономической деятельности, относящихся к сфере ведения Министерства промышленности и торговли Российской Федерации, за исключением класса 33 </w:t>
      </w:r>
      <w:hyperlink w:history="0" r:id="rId32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9. Критерии оценки заявок, показатели критериев оценки заявок и их балльная оценка установлены в </w:t>
      </w:r>
      <w:hyperlink w:history="0" w:anchor="P4618" w:tooltip="КРИТЕРИИ">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10. В целях проведения Конкурса Мининвестом Московской области формируется объявление о проведении Конкурса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(или уполномоченного им лица), публикуется на едином портале и на официальном сайте Мининвеста Московской области не позднее 1-го календарного дня до наступления даты начала приема заявок.</w:t>
      </w:r>
    </w:p>
    <w:p>
      <w:pPr>
        <w:pStyle w:val="0"/>
        <w:spacing w:before="200" w:line-rule="auto"/>
        <w:ind w:firstLine="540"/>
        <w:jc w:val="both"/>
      </w:pPr>
      <w:r>
        <w:rPr>
          <w:sz w:val="20"/>
        </w:rPr>
        <w:t xml:space="preserve">11. Объявление о проведении Конкурса (далее - объявление) включает в себя следующую информацию:</w:t>
      </w:r>
    </w:p>
    <w:p>
      <w:pPr>
        <w:pStyle w:val="0"/>
        <w:spacing w:before="200" w:line-rule="auto"/>
        <w:ind w:firstLine="540"/>
        <w:jc w:val="both"/>
      </w:pPr>
      <w:r>
        <w:rPr>
          <w:sz w:val="20"/>
        </w:rPr>
        <w:t xml:space="preserve">1) сроки проведения Конкурса;</w:t>
      </w:r>
    </w:p>
    <w:p>
      <w:pPr>
        <w:pStyle w:val="0"/>
        <w:spacing w:before="200" w:line-rule="auto"/>
        <w:ind w:firstLine="540"/>
        <w:jc w:val="both"/>
      </w:pPr>
      <w:r>
        <w:rPr>
          <w:sz w:val="20"/>
        </w:rPr>
        <w:t xml:space="preserve">2) даты начала подачи и окончания приема заявок участников Конкурса, при этом дата окончания приема заявок участников Конкурса не может быть ранее 30-го календарного дня, следующего за днем размещения объявления;</w:t>
      </w:r>
    </w:p>
    <w:p>
      <w:pPr>
        <w:pStyle w:val="0"/>
        <w:spacing w:before="200" w:line-rule="auto"/>
        <w:ind w:firstLine="540"/>
        <w:jc w:val="both"/>
      </w:pPr>
      <w:r>
        <w:rPr>
          <w:sz w:val="20"/>
        </w:rPr>
        <w:t xml:space="preserve">3) наименование, место нахождения, почтовый адрес, адрес электронной почты и контактный телефон Мининвеста Московской области, АНО "АИР";</w:t>
      </w:r>
    </w:p>
    <w:p>
      <w:pPr>
        <w:pStyle w:val="0"/>
        <w:spacing w:before="200" w:line-rule="auto"/>
        <w:ind w:firstLine="540"/>
        <w:jc w:val="both"/>
      </w:pPr>
      <w:r>
        <w:rPr>
          <w:sz w:val="20"/>
        </w:rPr>
        <w:t xml:space="preserve">4) результаты предоставления Субсидии в соответствии с </w:t>
      </w:r>
      <w:hyperlink w:history="0" w:anchor="P4581" w:tooltip="40. Результатами предоставления Субсидии являются:">
        <w:r>
          <w:rPr>
            <w:sz w:val="20"/>
            <w:color w:val="0000ff"/>
          </w:rPr>
          <w:t xml:space="preserve">пунктом 40</w:t>
        </w:r>
      </w:hyperlink>
      <w:r>
        <w:rPr>
          <w:sz w:val="20"/>
        </w:rPr>
        <w:t xml:space="preserve"> Порядка;</w:t>
      </w:r>
    </w:p>
    <w:p>
      <w:pPr>
        <w:pStyle w:val="0"/>
        <w:spacing w:before="200" w:line-rule="auto"/>
        <w:ind w:firstLine="540"/>
        <w:jc w:val="both"/>
      </w:pPr>
      <w:r>
        <w:rPr>
          <w:sz w:val="20"/>
        </w:rPr>
        <w:t xml:space="preserve">5) доменное имя и (или) указатели страниц системы "Электронный бюджет" в сети "Интернет";</w:t>
      </w:r>
    </w:p>
    <w:p>
      <w:pPr>
        <w:pStyle w:val="0"/>
        <w:spacing w:before="200" w:line-rule="auto"/>
        <w:ind w:firstLine="540"/>
        <w:jc w:val="both"/>
      </w:pPr>
      <w:r>
        <w:rPr>
          <w:sz w:val="20"/>
        </w:rPr>
        <w:t xml:space="preserve">6) требования к участникам Конкурса, определенные в соответствии с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 которым участник Конкурса должен соответствовать на дату подачи заявки, а также требования к перечню документов, представляемых участниками Конкурса для подтверждения соответствия указанным требованиям, определенные в </w:t>
      </w:r>
      <w:hyperlink w:history="0" w:anchor="P4774" w:tooltip="ОПИСАНИЕ">
        <w:r>
          <w:rPr>
            <w:sz w:val="20"/>
            <w:color w:val="0000ff"/>
          </w:rPr>
          <w:t xml:space="preserve">таблице 3</w:t>
        </w:r>
      </w:hyperlink>
      <w:r>
        <w:rPr>
          <w:sz w:val="20"/>
        </w:rPr>
        <w:t xml:space="preserve"> к Порядку;</w:t>
      </w:r>
    </w:p>
    <w:p>
      <w:pPr>
        <w:pStyle w:val="0"/>
        <w:spacing w:before="200" w:line-rule="auto"/>
        <w:ind w:firstLine="540"/>
        <w:jc w:val="both"/>
      </w:pPr>
      <w:r>
        <w:rPr>
          <w:sz w:val="20"/>
        </w:rPr>
        <w:t xml:space="preserve">7) категории получателей Субсидий в соответствии с </w:t>
      </w:r>
      <w:hyperlink w:history="0" w:anchor="P4417" w:tooltip="8. К категории получателей Субсидии относятся промышленные предприятия, зарегистрированные на территории Московской области в качестве юридических лиц, осуществляющих промышленное производство на территории Московской области, или поставленные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и ведущие основной вид дея...">
        <w:r>
          <w:rPr>
            <w:sz w:val="20"/>
            <w:color w:val="0000ff"/>
          </w:rPr>
          <w:t xml:space="preserve">пунктом 8</w:t>
        </w:r>
      </w:hyperlink>
      <w:r>
        <w:rPr>
          <w:sz w:val="20"/>
        </w:rPr>
        <w:t xml:space="preserve"> Порядка, критерии оценки и показатели критериев оценки заявок участников Конкурса в соответствии с </w:t>
      </w:r>
      <w:hyperlink w:history="0" w:anchor="P4618" w:tooltip="КРИТЕРИИ">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8) порядок подачи заявок участниками Конкурса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и оценки заявок в соответствии с Порядком;</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показатели критериев оценки и их балльную оценку, необходимая для представления участником Конкурса информация по каждому критерию оценки и показателю критерия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pPr>
        <w:pStyle w:val="0"/>
        <w:spacing w:before="200" w:line-rule="auto"/>
        <w:ind w:firstLine="540"/>
        <w:jc w:val="both"/>
      </w:pPr>
      <w:r>
        <w:rPr>
          <w:sz w:val="20"/>
        </w:rPr>
        <w:t xml:space="preserve">14) объем распределяемой Субсидии в рамках Конкурса, порядок расчета размера Субсидии, установленный Порядком, правила распределения Субсидии по результатам Конкурса, а также предельное количество победителей Конкурса;</w:t>
      </w:r>
    </w:p>
    <w:p>
      <w:pPr>
        <w:pStyle w:val="0"/>
        <w:spacing w:before="200" w:line-rule="auto"/>
        <w:ind w:firstLine="540"/>
        <w:jc w:val="both"/>
      </w:pPr>
      <w:r>
        <w:rPr>
          <w:sz w:val="20"/>
        </w:rPr>
        <w:t xml:space="preserve">15) порядок предоставления участникам Конкурса разъяснений положений объявления,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Конкурса должен (должны) подписать соглашение о предоставлении субсидии из бюджета Московской области (далее - Соглашение);</w:t>
      </w:r>
    </w:p>
    <w:p>
      <w:pPr>
        <w:pStyle w:val="0"/>
        <w:spacing w:before="200" w:line-rule="auto"/>
        <w:ind w:firstLine="540"/>
        <w:jc w:val="both"/>
      </w:pPr>
      <w:r>
        <w:rPr>
          <w:sz w:val="20"/>
        </w:rPr>
        <w:t xml:space="preserve">17) условия признания победителя (победителей) Конкурса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Конкурса на едином портале, которые не могут быть позднее 14-го календарного дня, следующего за днем определения победителя (победителей) Конкурса (с соблюдением сроков, установленных </w:t>
      </w:r>
      <w:hyperlink w:history="0" r:id="rId324"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с изм. и доп., вступ. в силу с 01.01.2025) {КонсультантПлюс}">
        <w:r>
          <w:rPr>
            <w:sz w:val="20"/>
            <w:color w:val="0000ff"/>
          </w:rPr>
          <w:t xml:space="preserve">пунктом 26(2)</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bookmarkStart w:id="4439" w:name="P4439"/>
    <w:bookmarkEnd w:id="4439"/>
    <w:p>
      <w:pPr>
        <w:pStyle w:val="0"/>
        <w:spacing w:before="200" w:line-rule="auto"/>
        <w:ind w:firstLine="540"/>
        <w:jc w:val="both"/>
      </w:pPr>
      <w:r>
        <w:rPr>
          <w:sz w:val="20"/>
        </w:rPr>
        <w:t xml:space="preserve">12. Требования к участникам Конкурса на дату подачи заявки (далее - Требования):</w:t>
      </w:r>
    </w:p>
    <w:bookmarkStart w:id="4440" w:name="P4440"/>
    <w:bookmarkEnd w:id="4440"/>
    <w:p>
      <w:pPr>
        <w:pStyle w:val="0"/>
        <w:spacing w:before="200" w:line-rule="auto"/>
        <w:ind w:firstLine="540"/>
        <w:jc w:val="both"/>
      </w:pPr>
      <w:r>
        <w:rPr>
          <w:sz w:val="20"/>
        </w:rPr>
        <w:t xml:space="preserve">1) участник Конкурса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Конкурса не находится в составляемых в рамках реализации полномочий, предусмотренных </w:t>
      </w:r>
      <w:hyperlink w:history="0" r:id="rId32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Конкурса не получает средства из бюджета Московской области в соответствии с иными нормативными правовыми актами Московской области на цель предоставления Субсидии, указанную в </w:t>
      </w:r>
      <w:hyperlink w:history="0" w:anchor="P4403" w:tooltip="2. Целью предоставления Субсидии является возмещение части затрат промышленных предприятий, связанных с приобретением нового оборудования.">
        <w:r>
          <w:rPr>
            <w:sz w:val="20"/>
            <w:color w:val="0000ff"/>
          </w:rPr>
          <w:t xml:space="preserve">пункте 2</w:t>
        </w:r>
      </w:hyperlink>
      <w:r>
        <w:rPr>
          <w:sz w:val="20"/>
        </w:rPr>
        <w:t xml:space="preserve"> Порядка;</w:t>
      </w:r>
    </w:p>
    <w:bookmarkStart w:id="4444" w:name="P4444"/>
    <w:bookmarkEnd w:id="4444"/>
    <w:p>
      <w:pPr>
        <w:pStyle w:val="0"/>
        <w:spacing w:before="200" w:line-rule="auto"/>
        <w:ind w:firstLine="540"/>
        <w:jc w:val="both"/>
      </w:pPr>
      <w:r>
        <w:rPr>
          <w:sz w:val="20"/>
        </w:rPr>
        <w:t xml:space="preserve">5) участник Конкурса не является иностранным агентом в соответствии с Федеральным </w:t>
      </w:r>
      <w:hyperlink w:history="0" r:id="rId326"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4445" w:name="P4445"/>
    <w:bookmarkEnd w:id="4445"/>
    <w:p>
      <w:pPr>
        <w:pStyle w:val="0"/>
        <w:spacing w:before="200" w:line-rule="auto"/>
        <w:ind w:firstLine="540"/>
        <w:jc w:val="both"/>
      </w:pPr>
      <w:r>
        <w:rPr>
          <w:sz w:val="20"/>
        </w:rPr>
        <w:t xml:space="preserve">6) у участника Конкурса на едином налоговом счете отсутствует или не превышает размер, определенный </w:t>
      </w:r>
      <w:hyperlink w:history="0" r:id="rId327"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Start w:id="4446" w:name="P4446"/>
    <w:bookmarkEnd w:id="4446"/>
    <w:p>
      <w:pPr>
        <w:pStyle w:val="0"/>
        <w:spacing w:before="200" w:line-rule="auto"/>
        <w:ind w:firstLine="540"/>
        <w:jc w:val="both"/>
      </w:pPr>
      <w:r>
        <w:rPr>
          <w:sz w:val="20"/>
        </w:rPr>
        <w:t xml:space="preserve">7) у участника Конкурса отсутствует просроченная задолженность по возврату в бюджет Московской области субсидий, бюджетных инвестиций, предоставленных в том числе в соответствии с иными правовыми актами Московской области, а также иная просроченная (неурегулированная) задолженность по денежным обязательствам перед Московской областью;</w:t>
      </w:r>
    </w:p>
    <w:bookmarkStart w:id="4447" w:name="P4447"/>
    <w:bookmarkEnd w:id="4447"/>
    <w:p>
      <w:pPr>
        <w:pStyle w:val="0"/>
        <w:spacing w:before="200" w:line-rule="auto"/>
        <w:ind w:firstLine="540"/>
        <w:jc w:val="both"/>
      </w:pPr>
      <w:r>
        <w:rPr>
          <w:sz w:val="20"/>
        </w:rPr>
        <w:t xml:space="preserve">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bookmarkStart w:id="4448" w:name="P4448"/>
    <w:bookmarkEnd w:id="4448"/>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w:t>
      </w:r>
    </w:p>
    <w:bookmarkStart w:id="4449" w:name="P4449"/>
    <w:bookmarkEnd w:id="4449"/>
    <w:p>
      <w:pPr>
        <w:pStyle w:val="0"/>
        <w:spacing w:before="200" w:line-rule="auto"/>
        <w:ind w:firstLine="540"/>
        <w:jc w:val="both"/>
      </w:pPr>
      <w:r>
        <w:rPr>
          <w:sz w:val="20"/>
        </w:rPr>
        <w:t xml:space="preserve">10) участник Конкурса достиг значения результатов предоставления Субсидии по Мероприятию, установленные ранее заключенными Соглашениями, и значения результатов предоставления субсидии по мероприятию 07.08 "Возмещение части затрат промышленных предприятий, связанных с приобретением нового оборудования" </w:t>
      </w:r>
      <w:hyperlink w:history="0" r:id="rId328" w:tooltip="Постановление Правительства МО от 25.10.2016 N 788/39 (ред. от 13.12.2022) &quot;Об утверждении государственной программы Московской области &quot;Предпринимательство Подмосковья&quot; на 2017-2024 годы&quot; ------------ Утратил силу или отменен {КонсультантПлюс}">
        <w:r>
          <w:rPr>
            <w:sz w:val="20"/>
            <w:color w:val="0000ff"/>
          </w:rPr>
          <w:t xml:space="preserve">Подпрограммы I</w:t>
        </w:r>
      </w:hyperlink>
      <w:r>
        <w:rPr>
          <w:sz w:val="20"/>
        </w:rPr>
        <w:t xml:space="preserve"> "Инвестиции в Подмосковье" государственной программы Московской области "Предпринимательство Подмосковья" на 2017-2024 годы, утвержденной постановлением Правительства Московской области от 25.10.2016 N 788/39 (далее - мероприятие 07.08), установленные соглашениями о предоставлении субсидий по мероприятию 07.08;</w:t>
      </w:r>
    </w:p>
    <w:p>
      <w:pPr>
        <w:pStyle w:val="0"/>
        <w:spacing w:before="200" w:line-rule="auto"/>
        <w:ind w:firstLine="540"/>
        <w:jc w:val="both"/>
      </w:pPr>
      <w:r>
        <w:rPr>
          <w:sz w:val="20"/>
        </w:rPr>
        <w:t xml:space="preserve">11) участником Конкурса произведены затраты на приобретение оборудования в размере 100 процентов;</w:t>
      </w:r>
    </w:p>
    <w:bookmarkStart w:id="4451" w:name="P4451"/>
    <w:bookmarkEnd w:id="4451"/>
    <w:p>
      <w:pPr>
        <w:pStyle w:val="0"/>
        <w:spacing w:before="200" w:line-rule="auto"/>
        <w:ind w:firstLine="540"/>
        <w:jc w:val="both"/>
      </w:pPr>
      <w:r>
        <w:rPr>
          <w:sz w:val="20"/>
        </w:rPr>
        <w:t xml:space="preserve">12) участник Конкурса поставил на баланс оборудование по договорам на приобретение оборудования;</w:t>
      </w:r>
    </w:p>
    <w:bookmarkStart w:id="4452" w:name="P4452"/>
    <w:bookmarkEnd w:id="4452"/>
    <w:p>
      <w:pPr>
        <w:pStyle w:val="0"/>
        <w:spacing w:before="200" w:line-rule="auto"/>
        <w:ind w:firstLine="540"/>
        <w:jc w:val="both"/>
      </w:pPr>
      <w:r>
        <w:rPr>
          <w:sz w:val="20"/>
        </w:rPr>
        <w:t xml:space="preserve">13) участник Конкурса соответствует категории получателей Субсидии в соответствии с </w:t>
      </w:r>
      <w:hyperlink w:history="0" w:anchor="P4417" w:tooltip="8. К категории получателей Субсидии относятся промышленные предприятия, зарегистрированные на территории Московской области в качестве юридических лиц, осуществляющих промышленное производство на территории Московской области, или поставленные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и ведущие основной вид дея...">
        <w:r>
          <w:rPr>
            <w:sz w:val="20"/>
            <w:color w:val="0000ff"/>
          </w:rPr>
          <w:t xml:space="preserve">пунктом 8</w:t>
        </w:r>
      </w:hyperlink>
      <w:r>
        <w:rPr>
          <w:sz w:val="20"/>
        </w:rPr>
        <w:t xml:space="preserve"> Порядка;</w:t>
      </w:r>
    </w:p>
    <w:bookmarkStart w:id="4453" w:name="P4453"/>
    <w:bookmarkEnd w:id="4453"/>
    <w:p>
      <w:pPr>
        <w:pStyle w:val="0"/>
        <w:spacing w:before="200" w:line-rule="auto"/>
        <w:ind w:firstLine="540"/>
        <w:jc w:val="both"/>
      </w:pPr>
      <w:r>
        <w:rPr>
          <w:sz w:val="20"/>
        </w:rPr>
        <w:t xml:space="preserve">14) произведенные участником Конкурса затраты соответствуют направлениям затрат, установленным в </w:t>
      </w:r>
      <w:hyperlink w:history="0" w:anchor="P4546" w:tooltip="29. Под затратами промышленных предприятий, связанными с приобретением нового оборудования, понимаются подтвержденные затраты по следующим направлениям: на приобретение оборудования согласно договору (контракту) на его приобретение, расходы на монтаж, шеф-монтаж и пусконаладочные работы, если указанные расходы предусмотрены договором (контрактом) на приобретение оборудования.">
        <w:r>
          <w:rPr>
            <w:sz w:val="20"/>
            <w:color w:val="0000ff"/>
          </w:rPr>
          <w:t xml:space="preserve">пункте 29</w:t>
        </w:r>
      </w:hyperlink>
      <w:r>
        <w:rPr>
          <w:sz w:val="20"/>
        </w:rPr>
        <w:t xml:space="preserve"> Порядка.</w:t>
      </w:r>
    </w:p>
    <w:p>
      <w:pPr>
        <w:pStyle w:val="0"/>
        <w:spacing w:before="200" w:line-rule="auto"/>
        <w:ind w:firstLine="540"/>
        <w:jc w:val="both"/>
      </w:pPr>
      <w:r>
        <w:rPr>
          <w:sz w:val="20"/>
        </w:rPr>
        <w:t xml:space="preserve">13. 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pPr>
        <w:pStyle w:val="0"/>
        <w:spacing w:before="200" w:line-rule="auto"/>
        <w:ind w:firstLine="540"/>
        <w:jc w:val="both"/>
      </w:pPr>
      <w:r>
        <w:rPr>
          <w:sz w:val="20"/>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w:t>
      </w:r>
    </w:p>
    <w:p>
      <w:pPr>
        <w:pStyle w:val="0"/>
        <w:spacing w:before="200" w:line-rule="auto"/>
        <w:ind w:firstLine="540"/>
        <w:jc w:val="both"/>
      </w:pPr>
      <w:r>
        <w:rPr>
          <w:sz w:val="20"/>
        </w:rPr>
        <w:t xml:space="preserve">Формируемая заявка должна содержать:</w:t>
      </w:r>
    </w:p>
    <w:p>
      <w:pPr>
        <w:pStyle w:val="0"/>
        <w:spacing w:before="200" w:line-rule="auto"/>
        <w:ind w:firstLine="540"/>
        <w:jc w:val="both"/>
      </w:pPr>
      <w:r>
        <w:rPr>
          <w:sz w:val="20"/>
        </w:rPr>
        <w:t xml:space="preserve">1) информацию об участнике Конкурса;</w:t>
      </w:r>
    </w:p>
    <w:p>
      <w:pPr>
        <w:pStyle w:val="0"/>
        <w:spacing w:before="200" w:line-rule="auto"/>
        <w:ind w:firstLine="540"/>
        <w:jc w:val="both"/>
      </w:pPr>
      <w:r>
        <w:rPr>
          <w:sz w:val="20"/>
        </w:rPr>
        <w:t xml:space="preserve">2) информацию и документы в соответствии с </w:t>
      </w:r>
      <w:hyperlink w:history="0" w:anchor="P4722" w:tooltip="ПЕРЕЧЕНЬ">
        <w:r>
          <w:rPr>
            <w:sz w:val="20"/>
            <w:color w:val="0000ff"/>
          </w:rPr>
          <w:t xml:space="preserve">таблицей 2</w:t>
        </w:r>
      </w:hyperlink>
      <w:r>
        <w:rPr>
          <w:sz w:val="20"/>
        </w:rPr>
        <w:t xml:space="preserve"> к Порядку, подтверждающие соответствие участника Конкурса требованиям, установленным в объявлении в соответствии с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3) предлагаемые участником Конкурса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4) информацию по каждому критерию оценки заявок, показателю критериев оценки, сведения и документы, подтверждающие информацию по каждому критерию оценки, показателю критериев оценки, определенные Порядком.</w:t>
      </w:r>
    </w:p>
    <w:p>
      <w:pPr>
        <w:pStyle w:val="0"/>
        <w:spacing w:before="200" w:line-rule="auto"/>
        <w:ind w:firstLine="540"/>
        <w:jc w:val="both"/>
      </w:pPr>
      <w:r>
        <w:rPr>
          <w:sz w:val="20"/>
        </w:rPr>
        <w:t xml:space="preserve">Участник Конкурса вправе по собственной инициативе помимо документов, предусмотренных </w:t>
      </w:r>
      <w:hyperlink w:history="0" w:anchor="P4722" w:tooltip="ПЕРЕЧЕНЬ">
        <w:r>
          <w:rPr>
            <w:sz w:val="20"/>
            <w:color w:val="0000ff"/>
          </w:rPr>
          <w:t xml:space="preserve">таблицей 2</w:t>
        </w:r>
      </w:hyperlink>
      <w:r>
        <w:rPr>
          <w:sz w:val="20"/>
        </w:rPr>
        <w:t xml:space="preserve"> к Порядку, представить документы, подтверждающие его соответствие требованиям, предусмотренным </w:t>
      </w:r>
      <w:hyperlink w:history="0" w:anchor="P4440" w:tooltip="1) участник Конкурс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
        <w:r>
          <w:rPr>
            <w:sz w:val="20"/>
            <w:color w:val="0000ff"/>
          </w:rPr>
          <w:t xml:space="preserve">подпунктами 1</w:t>
        </w:r>
      </w:hyperlink>
      <w:r>
        <w:rPr>
          <w:sz w:val="20"/>
        </w:rPr>
        <w:t xml:space="preserve"> - </w:t>
      </w:r>
      <w:hyperlink w:history="0" w:anchor="P4448" w:tooltip="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w:r>
          <w:rPr>
            <w:sz w:val="20"/>
            <w:color w:val="0000ff"/>
          </w:rPr>
          <w:t xml:space="preserve">9 пункта 12</w:t>
        </w:r>
      </w:hyperlink>
      <w:r>
        <w:rPr>
          <w:sz w:val="20"/>
        </w:rPr>
        <w:t xml:space="preserve"> Порядка.</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Конкурса или уполномоченного им лица.</w:t>
      </w:r>
    </w:p>
    <w:p>
      <w:pPr>
        <w:pStyle w:val="0"/>
        <w:spacing w:before="200" w:line-rule="auto"/>
        <w:ind w:firstLine="540"/>
        <w:jc w:val="both"/>
      </w:pPr>
      <w:r>
        <w:rPr>
          <w:sz w:val="20"/>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pPr>
        <w:pStyle w:val="0"/>
        <w:spacing w:before="200" w:line-rule="auto"/>
        <w:ind w:firstLine="540"/>
        <w:jc w:val="both"/>
      </w:pPr>
      <w:r>
        <w:rPr>
          <w:sz w:val="20"/>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Мероприятию участником Конкурса может быть подана только 1 заявка.</w:t>
      </w:r>
    </w:p>
    <w:p>
      <w:pPr>
        <w:pStyle w:val="0"/>
        <w:spacing w:before="200" w:line-rule="auto"/>
        <w:ind w:firstLine="540"/>
        <w:jc w:val="both"/>
      </w:pPr>
      <w:r>
        <w:rPr>
          <w:sz w:val="20"/>
        </w:rPr>
        <w:t xml:space="preserve">14. В рамках проведения Конкурса АНО "АИР" осуществляет следующие полномочия, за исключением полномочий по размещению объявления и утверждению протокола подведения итогов Конкурса:</w:t>
      </w:r>
    </w:p>
    <w:p>
      <w:pPr>
        <w:pStyle w:val="0"/>
        <w:spacing w:before="200" w:line-rule="auto"/>
        <w:ind w:firstLine="540"/>
        <w:jc w:val="both"/>
      </w:pPr>
      <w:r>
        <w:rPr>
          <w:sz w:val="20"/>
        </w:rPr>
        <w:t xml:space="preserve">1) проверяет предоставляемые заявки на предмет соблюдения:</w:t>
      </w:r>
    </w:p>
    <w:p>
      <w:pPr>
        <w:pStyle w:val="0"/>
        <w:spacing w:before="200" w:line-rule="auto"/>
        <w:ind w:firstLine="540"/>
        <w:jc w:val="both"/>
      </w:pPr>
      <w:r>
        <w:rPr>
          <w:sz w:val="20"/>
        </w:rPr>
        <w:t xml:space="preserve">сроков подачи заявок, предусмотренных объявлением;</w:t>
      </w:r>
    </w:p>
    <w:p>
      <w:pPr>
        <w:pStyle w:val="0"/>
        <w:spacing w:before="200" w:line-rule="auto"/>
        <w:ind w:firstLine="540"/>
        <w:jc w:val="both"/>
      </w:pPr>
      <w:r>
        <w:rPr>
          <w:sz w:val="20"/>
        </w:rPr>
        <w:t xml:space="preserve">состава заявки и перечня документов, указанных в </w:t>
      </w:r>
      <w:hyperlink w:history="0" w:anchor="P4722" w:tooltip="ПЕРЕЧЕНЬ">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соответствия участника Конкурса категориям получателей Субсидии, установленных </w:t>
      </w:r>
      <w:hyperlink w:history="0" w:anchor="P4417" w:tooltip="8. К категории получателей Субсидии относятся промышленные предприятия, зарегистрированные на территории Московской области в качестве юридических лиц, осуществляющих промышленное производство на территории Московской области, или поставленные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 и ведущие основной вид дея...">
        <w:r>
          <w:rPr>
            <w:sz w:val="20"/>
            <w:color w:val="0000ff"/>
          </w:rPr>
          <w:t xml:space="preserve">пунктом 8</w:t>
        </w:r>
      </w:hyperlink>
      <w:r>
        <w:rPr>
          <w:sz w:val="20"/>
        </w:rPr>
        <w:t xml:space="preserve"> Порядка, и требованиям, установленным в </w:t>
      </w:r>
      <w:hyperlink w:history="0" w:anchor="P4439" w:tooltip="12. Требования к участникам Конкурса на дату подачи заявки (далее - Требова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 запрашивает у ФНС России в порядке межведомственного электронного информационного взаимодействия:</w:t>
      </w:r>
    </w:p>
    <w:p>
      <w:pPr>
        <w:pStyle w:val="0"/>
        <w:spacing w:before="200" w:line-rule="auto"/>
        <w:ind w:firstLine="540"/>
        <w:jc w:val="both"/>
      </w:pPr>
      <w:r>
        <w:rPr>
          <w:sz w:val="20"/>
        </w:rPr>
        <w:t xml:space="preserve">сведения из ЕГРЮЛ;</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о среднесписочной численности работников участников Конкурса;</w:t>
      </w:r>
    </w:p>
    <w:p>
      <w:pPr>
        <w:pStyle w:val="0"/>
        <w:spacing w:before="200" w:line-rule="auto"/>
        <w:ind w:firstLine="540"/>
        <w:jc w:val="both"/>
      </w:pPr>
      <w:r>
        <w:rPr>
          <w:sz w:val="20"/>
        </w:rPr>
        <w:t xml:space="preserve">3) разъясняет положения объявления при поступлении соответствующих запросов от участников Конкурса в соответствии с </w:t>
      </w:r>
      <w:hyperlink w:history="0" w:anchor="P4505" w:tooltip="20. Участник Конкурса со дня размещения объявления на едином портале, но не позднее 3-го рабочего дня до дня окончания подачи заявок, вправе направить не более 5 запросов о разъяснении положений объявления путем формирования в системе &quot;Электронный бюджет&quot; соответствующего запроса.">
        <w:r>
          <w:rPr>
            <w:sz w:val="20"/>
            <w:color w:val="0000ff"/>
          </w:rPr>
          <w:t xml:space="preserve">пунктом 20</w:t>
        </w:r>
      </w:hyperlink>
      <w:r>
        <w:rPr>
          <w:sz w:val="20"/>
        </w:rPr>
        <w:t xml:space="preserve"> Порядка;</w:t>
      </w:r>
    </w:p>
    <w:bookmarkStart w:id="4477" w:name="P4477"/>
    <w:bookmarkEnd w:id="4477"/>
    <w:p>
      <w:pPr>
        <w:pStyle w:val="0"/>
        <w:spacing w:before="200" w:line-rule="auto"/>
        <w:ind w:firstLine="540"/>
        <w:jc w:val="both"/>
      </w:pPr>
      <w:r>
        <w:rPr>
          <w:sz w:val="20"/>
        </w:rPr>
        <w:t xml:space="preserve">4) 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5) направляет заявки участников Конкурса на доработку по результатам рассмотрения на предмет соответствия требованиям, установленным Порядком.</w:t>
      </w:r>
    </w:p>
    <w:p>
      <w:pPr>
        <w:pStyle w:val="0"/>
        <w:spacing w:before="200" w:line-rule="auto"/>
        <w:ind w:firstLine="540"/>
        <w:jc w:val="both"/>
      </w:pPr>
      <w:r>
        <w:rPr>
          <w:sz w:val="20"/>
        </w:rPr>
        <w:t xml:space="preserve">15. АНО "АИР" проводит проверку достоверности сведений, содержащихся в заявке участника Конкурса,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Конкурса,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заявок и проверку сведений в заявках на достоверность способами, установленными в настоящем пункте.</w:t>
      </w:r>
    </w:p>
    <w:p>
      <w:pPr>
        <w:pStyle w:val="0"/>
        <w:spacing w:before="200" w:line-rule="auto"/>
        <w:ind w:firstLine="540"/>
        <w:jc w:val="both"/>
      </w:pPr>
      <w:r>
        <w:rPr>
          <w:sz w:val="20"/>
        </w:rPr>
        <w:t xml:space="preserve">16. Доступ Мининвесту Московской области, АНО "АИР" и Конкурсной комиссии в системе "Электронный бюджет" к поданным участниками Конкурса заявкам для их рассмотрения и оценки открывается со дня начала подачи заявок, установленного в объявлении.</w:t>
      </w:r>
    </w:p>
    <w:p>
      <w:pPr>
        <w:pStyle w:val="0"/>
        <w:spacing w:before="200" w:line-rule="auto"/>
        <w:ind w:firstLine="540"/>
        <w:jc w:val="both"/>
      </w:pPr>
      <w:r>
        <w:rPr>
          <w:sz w:val="20"/>
        </w:rPr>
        <w:t xml:space="preserve">17. Руководитель Мининвеста Московской области не позднее 1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Конкурса;</w:t>
      </w:r>
    </w:p>
    <w:p>
      <w:pPr>
        <w:pStyle w:val="0"/>
        <w:spacing w:before="200" w:line-rule="auto"/>
        <w:ind w:firstLine="540"/>
        <w:jc w:val="both"/>
      </w:pPr>
      <w:r>
        <w:rPr>
          <w:sz w:val="20"/>
        </w:rPr>
        <w:t xml:space="preserve">4) адрес юридического лица;</w:t>
      </w:r>
    </w:p>
    <w:p>
      <w:pPr>
        <w:pStyle w:val="0"/>
        <w:spacing w:before="200" w:line-rule="auto"/>
        <w:ind w:firstLine="540"/>
        <w:jc w:val="both"/>
      </w:pPr>
      <w:r>
        <w:rPr>
          <w:sz w:val="20"/>
        </w:rPr>
        <w:t xml:space="preserve">5) запрашиваемый участником Конкурса размер Субсидии.</w:t>
      </w:r>
    </w:p>
    <w:p>
      <w:pPr>
        <w:pStyle w:val="0"/>
        <w:spacing w:before="200" w:line-rule="auto"/>
        <w:ind w:firstLine="540"/>
        <w:jc w:val="both"/>
      </w:pPr>
      <w:r>
        <w:rPr>
          <w:sz w:val="20"/>
        </w:rPr>
        <w:t xml:space="preserve">Протокол вскрытия заявок формируется на едином портале автоматически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18. АНО "АИР" в течение 20 рабочих 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АНО "АИР" проводит проверку участника Конкурса на соответствие требованиям, определенным в </w:t>
      </w:r>
      <w:hyperlink w:history="0" w:anchor="P4439" w:tooltip="12. Требования к участникам Конкурса на дату подачи заявки (далее - Требования):">
        <w:r>
          <w:rPr>
            <w:sz w:val="20"/>
            <w:color w:val="0000ff"/>
          </w:rPr>
          <w:t xml:space="preserve">пункте 12</w:t>
        </w:r>
      </w:hyperlink>
      <w:r>
        <w:rPr>
          <w:sz w:val="20"/>
        </w:rPr>
        <w:t xml:space="preserve">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w:t>
      </w:r>
    </w:p>
    <w:p>
      <w:pPr>
        <w:pStyle w:val="0"/>
        <w:spacing w:before="200" w:line-rule="auto"/>
        <w:ind w:firstLine="540"/>
        <w:jc w:val="both"/>
      </w:pPr>
      <w:r>
        <w:rPr>
          <w:sz w:val="20"/>
        </w:rPr>
        <w:t xml:space="preserve">1) по требованиям, указанным в </w:t>
      </w:r>
      <w:hyperlink w:history="0" w:anchor="P4440" w:tooltip="1) участник Конкурс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
        <w:r>
          <w:rPr>
            <w:sz w:val="20"/>
            <w:color w:val="0000ff"/>
          </w:rPr>
          <w:t xml:space="preserve">подпунктах 1</w:t>
        </w:r>
      </w:hyperlink>
      <w:r>
        <w:rPr>
          <w:sz w:val="20"/>
        </w:rPr>
        <w:t xml:space="preserve"> - </w:t>
      </w:r>
      <w:hyperlink w:history="0" w:anchor="P4444" w:tooltip="5) участник Конкурса не являет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5</w:t>
        </w:r>
      </w:hyperlink>
      <w:r>
        <w:rPr>
          <w:sz w:val="20"/>
        </w:rPr>
        <w:t xml:space="preserve">, </w:t>
      </w:r>
      <w:hyperlink w:history="0" w:anchor="P4446" w:tooltip="7) у участника Конкурса отсутствует просроченная задолженность по возврату в бюджет Московской области субсидий, бюджетных инвестиций, предоставленных в том числе в соответствии с иными правовыми актами Московской области, а также иная просроченная (неурегулированная) задолженность по денежным обязательствам перед Московской областью;">
        <w:r>
          <w:rPr>
            <w:sz w:val="20"/>
            <w:color w:val="0000ff"/>
          </w:rPr>
          <w:t xml:space="preserve">7</w:t>
        </w:r>
      </w:hyperlink>
      <w:r>
        <w:rPr>
          <w:sz w:val="20"/>
        </w:rPr>
        <w:t xml:space="preserve">, </w:t>
      </w:r>
      <w:hyperlink w:history="0" w:anchor="P4449" w:tooltip="10) участник Конкурса достиг значения результатов предоставления Субсидии по Мероприятию, установленные ранее заключенными Соглашениями, и значения результатов предоставления субсидии по мероприятию 07.08 &quot;Возмещение части затрат промышленных предприятий, связанных с приобретением нового оборудования&quot; Подпрограммы I &quot;Инвестиции в Подмосковье&quot; государственной программы Московской области &quot;Предпринимательство Подмосковья&quot; на 2017-2024 годы, утвержденной постановлением Правительства Московской области от 25...">
        <w:r>
          <w:rPr>
            <w:sz w:val="20"/>
            <w:color w:val="0000ff"/>
          </w:rPr>
          <w:t xml:space="preserve">10</w:t>
        </w:r>
      </w:hyperlink>
      <w:r>
        <w:rPr>
          <w:sz w:val="20"/>
        </w:rPr>
        <w:t xml:space="preserve"> - </w:t>
      </w:r>
      <w:hyperlink w:history="0" w:anchor="P4451" w:tooltip="12) участник Конкурса поставил на баланс оборудование по договорам на приобретение оборудования;">
        <w:r>
          <w:rPr>
            <w:sz w:val="20"/>
            <w:color w:val="0000ff"/>
          </w:rPr>
          <w:t xml:space="preserve">12</w:t>
        </w:r>
      </w:hyperlink>
      <w:r>
        <w:rPr>
          <w:sz w:val="20"/>
        </w:rPr>
        <w:t xml:space="preserve"> и </w:t>
      </w:r>
      <w:hyperlink w:history="0" w:anchor="P4453" w:tooltip="14) произведенные участником Конкурса затраты соответствуют направлениям затрат, установленным в пункте 29 Порядка.">
        <w:r>
          <w:rPr>
            <w:sz w:val="20"/>
            <w:color w:val="0000ff"/>
          </w:rPr>
          <w:t xml:space="preserve">14 пункта 12</w:t>
        </w:r>
      </w:hyperlink>
      <w:r>
        <w:rPr>
          <w:sz w:val="20"/>
        </w:rPr>
        <w:t xml:space="preserve">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по требованиям, указанным в </w:t>
      </w:r>
      <w:hyperlink w:history="0" w:anchor="P4445" w:tooltip="6)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подпунктах 6</w:t>
        </w:r>
      </w:hyperlink>
      <w:r>
        <w:rPr>
          <w:sz w:val="20"/>
        </w:rPr>
        <w:t xml:space="preserve">, </w:t>
      </w:r>
      <w:hyperlink w:history="0" w:anchor="P4447" w:tooltip="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w:r>
          <w:rPr>
            <w:sz w:val="20"/>
            <w:color w:val="0000ff"/>
          </w:rPr>
          <w:t xml:space="preserve">8</w:t>
        </w:r>
      </w:hyperlink>
      <w:r>
        <w:rPr>
          <w:sz w:val="20"/>
        </w:rPr>
        <w:t xml:space="preserve">, </w:t>
      </w:r>
      <w:hyperlink w:history="0" w:anchor="P4448" w:tooltip="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w:r>
          <w:rPr>
            <w:sz w:val="20"/>
            <w:color w:val="0000ff"/>
          </w:rPr>
          <w:t xml:space="preserve">9</w:t>
        </w:r>
      </w:hyperlink>
      <w:r>
        <w:rPr>
          <w:sz w:val="20"/>
        </w:rPr>
        <w:t xml:space="preserve"> и </w:t>
      </w:r>
      <w:hyperlink w:history="0" w:anchor="P4452" w:tooltip="13) участник Конкурса соответствует категории получателей Субсидии в соответствии с пунктом 8 Порядка;">
        <w:r>
          <w:rPr>
            <w:sz w:val="20"/>
            <w:color w:val="0000ff"/>
          </w:rPr>
          <w:t xml:space="preserve">13 пункта 12</w:t>
        </w:r>
      </w:hyperlink>
      <w:r>
        <w:rPr>
          <w:sz w:val="20"/>
        </w:rPr>
        <w:t xml:space="preserve"> Порядка при необходимости, - посредством направления АНО "АИР" с момента регистрации заявки, но не позднее 7 рабочего дня после окончания приема заявок, запросов, указанных в </w:t>
      </w:r>
      <w:hyperlink w:history="0" w:anchor="P4477" w:tooltip="4) направляет в государственные и муниципальные органы запросы, касающиеся сведений и данных, указанных в заявке;">
        <w:r>
          <w:rPr>
            <w:sz w:val="20"/>
            <w:color w:val="0000ff"/>
          </w:rPr>
          <w:t xml:space="preserve">подпункте 4 пункта 14</w:t>
        </w:r>
      </w:hyperlink>
      <w:r>
        <w:rPr>
          <w:sz w:val="20"/>
        </w:rPr>
        <w:t xml:space="preserve"> Порядка.</w:t>
      </w:r>
    </w:p>
    <w:p>
      <w:pPr>
        <w:pStyle w:val="0"/>
        <w:spacing w:before="200" w:line-rule="auto"/>
        <w:ind w:firstLine="540"/>
        <w:jc w:val="both"/>
      </w:pPr>
      <w:r>
        <w:rPr>
          <w:sz w:val="20"/>
        </w:rPr>
        <w:t xml:space="preserve">Мининвест Московской области и АНО "АИР" не вправе требовать представления документов и информации для подтверждения соответствия участника Конкурса требованиям, установленным Порядком,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pPr>
        <w:pStyle w:val="0"/>
        <w:spacing w:before="200" w:line-rule="auto"/>
        <w:ind w:firstLine="540"/>
        <w:jc w:val="both"/>
      </w:pPr>
      <w:r>
        <w:rPr>
          <w:sz w:val="20"/>
        </w:rPr>
        <w:t xml:space="preserve">19. При проведении Конкурса предусмотрен возврат заявок участникам Конкурса на доработку по решению АНО "АИР".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Решения о возврате заявок на доработку доводятся до участников Конкурса с использованием системы "Электронный бюджет" в течение одного рабочего дня со дня 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непредставление (представление не в полном объеме) документов, установленных в </w:t>
      </w:r>
      <w:hyperlink w:history="0" w:anchor="P4722" w:tooltip="ПЕРЕЧЕНЬ">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2) некорректное заполнение обязательных полей заявки;</w:t>
      </w:r>
    </w:p>
    <w:p>
      <w:pPr>
        <w:pStyle w:val="0"/>
        <w:spacing w:before="200" w:line-rule="auto"/>
        <w:ind w:firstLine="540"/>
        <w:jc w:val="both"/>
      </w:pPr>
      <w:r>
        <w:rPr>
          <w:sz w:val="20"/>
        </w:rPr>
        <w:t xml:space="preserve">3) 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4) наличие нечитаемых исправлений в представленных документах;</w:t>
      </w:r>
    </w:p>
    <w:p>
      <w:pPr>
        <w:pStyle w:val="0"/>
        <w:spacing w:before="200" w:line-rule="auto"/>
        <w:ind w:firstLine="540"/>
        <w:jc w:val="both"/>
      </w:pPr>
      <w:r>
        <w:rPr>
          <w:sz w:val="20"/>
        </w:rPr>
        <w:t xml:space="preserve">5) несоответствие значений результатов предоставления Субсидии, указанных в заявке участника Конкурса, </w:t>
      </w:r>
      <w:hyperlink w:history="0" w:anchor="P4580" w:tooltip="39. Перечисление Субсидии Мининвестом Московской области осуществляется не позднее 10 рабочего дня, следующего за днем принятия решения о предоставлении Субсидии в соответствии с пунктом 26 Порядка, на расчетный счет получателя Субсидии, открытый в учреждениях Центрального банка Российской Федерации или кредитных организациях.">
        <w:r>
          <w:rPr>
            <w:sz w:val="20"/>
            <w:color w:val="0000ff"/>
          </w:rPr>
          <w:t xml:space="preserve">пункту 39</w:t>
        </w:r>
      </w:hyperlink>
      <w:r>
        <w:rPr>
          <w:sz w:val="20"/>
        </w:rPr>
        <w:t xml:space="preserve"> Порядка.</w:t>
      </w:r>
    </w:p>
    <w:p>
      <w:pPr>
        <w:pStyle w:val="0"/>
        <w:spacing w:before="200" w:line-rule="auto"/>
        <w:ind w:firstLine="540"/>
        <w:jc w:val="both"/>
      </w:pPr>
      <w:r>
        <w:rPr>
          <w:sz w:val="20"/>
        </w:rPr>
        <w:t xml:space="preserve">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bookmarkStart w:id="4505" w:name="P4505"/>
    <w:bookmarkEnd w:id="4505"/>
    <w:p>
      <w:pPr>
        <w:pStyle w:val="0"/>
        <w:spacing w:before="200" w:line-rule="auto"/>
        <w:ind w:firstLine="540"/>
        <w:jc w:val="both"/>
      </w:pPr>
      <w:r>
        <w:rPr>
          <w:sz w:val="20"/>
        </w:rPr>
        <w:t xml:space="preserve">20. Участник Конкурса со дня размещения объявления на едином портале, но не позднее 3-го рабочего дня до дня окончания подачи заявок, вправе направить не более 5 запросов о разъяснении положений объявления путем формирования в системе "Электронный бюджет" соответствующего запроса.</w:t>
      </w:r>
    </w:p>
    <w:p>
      <w:pPr>
        <w:pStyle w:val="0"/>
        <w:spacing w:before="200" w:line-rule="auto"/>
        <w:ind w:firstLine="540"/>
        <w:jc w:val="both"/>
      </w:pPr>
      <w:r>
        <w:rPr>
          <w:sz w:val="20"/>
        </w:rPr>
        <w:t xml:space="preserve">АНО "АИР" в ответ на запрос, указанный в настоящем пункте, направляет разъяснение положений объявления в срок, установленный указанным объявлением, но не позднее 1 рабочего дня до дня окончания подачи заявок, путем формирования в системе "Электронный бюджет" соответствующего разъяснения. Представленное разъяснение положений объявления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pPr>
        <w:pStyle w:val="0"/>
        <w:spacing w:before="200" w:line-rule="auto"/>
        <w:ind w:firstLine="540"/>
        <w:jc w:val="both"/>
      </w:pPr>
      <w:r>
        <w:rPr>
          <w:sz w:val="20"/>
        </w:rPr>
        <w:t xml:space="preserve">21. Участник Конкурса вправе отозвать заявку в срок не позднее даты окончания срока приема заявок, направив в Мининвест Московской области заявление об отзыве заявки путем формирования в системе "Электронный бюджет" соответствующего заявления.</w:t>
      </w:r>
    </w:p>
    <w:p>
      <w:pPr>
        <w:pStyle w:val="0"/>
        <w:spacing w:before="200" w:line-rule="auto"/>
        <w:ind w:firstLine="540"/>
        <w:jc w:val="both"/>
      </w:pPr>
      <w:r>
        <w:rPr>
          <w:sz w:val="20"/>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объявлении.</w:t>
      </w:r>
    </w:p>
    <w:p>
      <w:pPr>
        <w:pStyle w:val="0"/>
        <w:spacing w:before="200" w:line-rule="auto"/>
        <w:ind w:firstLine="540"/>
        <w:jc w:val="both"/>
      </w:pPr>
      <w:r>
        <w:rPr>
          <w:sz w:val="20"/>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w:t>
      </w:r>
    </w:p>
    <w:p>
      <w:pPr>
        <w:pStyle w:val="0"/>
        <w:spacing w:before="200" w:line-rule="auto"/>
        <w:ind w:firstLine="540"/>
        <w:jc w:val="both"/>
      </w:pPr>
      <w:r>
        <w:rPr>
          <w:sz w:val="20"/>
        </w:rPr>
        <w:t xml:space="preserve">22. Участник Конкурса считается допущенным к Конкурсу, если заявка соответствует требованиям, указанным в объявлении, и отсутствуют основания для отклонения заявки, определенные </w:t>
      </w:r>
      <w:hyperlink w:history="0" w:anchor="P4512" w:tooltip="23. Заявка участника Конкурса подлежит отклонению по следующим основаниям:">
        <w:r>
          <w:rPr>
            <w:sz w:val="20"/>
            <w:color w:val="0000ff"/>
          </w:rPr>
          <w:t xml:space="preserve">пунктом 23</w:t>
        </w:r>
      </w:hyperlink>
      <w:r>
        <w:rPr>
          <w:sz w:val="20"/>
        </w:rPr>
        <w:t xml:space="preserve"> Порядка.</w:t>
      </w:r>
    </w:p>
    <w:bookmarkStart w:id="4512" w:name="P4512"/>
    <w:bookmarkEnd w:id="4512"/>
    <w:p>
      <w:pPr>
        <w:pStyle w:val="0"/>
        <w:spacing w:before="200" w:line-rule="auto"/>
        <w:ind w:firstLine="540"/>
        <w:jc w:val="both"/>
      </w:pPr>
      <w:r>
        <w:rPr>
          <w:sz w:val="20"/>
        </w:rPr>
        <w:t xml:space="preserve">23. Заявка участника Конкурса подлежит отклонению по следующим основаниям:</w:t>
      </w:r>
    </w:p>
    <w:p>
      <w:pPr>
        <w:pStyle w:val="0"/>
        <w:spacing w:before="200" w:line-rule="auto"/>
        <w:ind w:firstLine="540"/>
        <w:jc w:val="both"/>
      </w:pPr>
      <w:r>
        <w:rPr>
          <w:sz w:val="20"/>
        </w:rPr>
        <w:t xml:space="preserve">несоответствие участника Конкурса требованиям, установленным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участником Конкурса документов, указанных в объявлении, предусмотренных в </w:t>
      </w:r>
      <w:hyperlink w:history="0" w:anchor="P4722" w:tooltip="ПЕРЕЧЕНЬ">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несоответствие представленных участником Конкурса заявки и документов требованиям, установленным в объявлении, предусмотренным в </w:t>
      </w:r>
      <w:hyperlink w:history="0" w:anchor="P4774" w:tooltip="ОПИСАНИЕ">
        <w:r>
          <w:rPr>
            <w:sz w:val="20"/>
            <w:color w:val="0000ff"/>
          </w:rPr>
          <w:t xml:space="preserve">таблице 3</w:t>
        </w:r>
      </w:hyperlink>
      <w:r>
        <w:rPr>
          <w:sz w:val="20"/>
        </w:rPr>
        <w:t xml:space="preserve"> к Порядку;</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подача участником Конкурса заявки после даты окончания подачи заявок, определенной в объявлении;</w:t>
      </w:r>
    </w:p>
    <w:p>
      <w:pPr>
        <w:pStyle w:val="0"/>
        <w:spacing w:before="200" w:line-rule="auto"/>
        <w:ind w:firstLine="540"/>
        <w:jc w:val="both"/>
      </w:pPr>
      <w:r>
        <w:rPr>
          <w:sz w:val="20"/>
        </w:rPr>
        <w:t xml:space="preserve">значения результатов предоставления Субсидии, указанные в заявке, ниже достигнутых значений результатов предоставления Субсидии по Мероприятию, установленных ранее заключенными Соглашениями в годы, предшествующие году проведения Конкурса, и значений результатов предоставления субсидии по мероприятию 07.08, установленных соглашениями о предоставлении субсидии по мероприятию 07.08.</w:t>
      </w:r>
    </w:p>
    <w:p>
      <w:pPr>
        <w:pStyle w:val="0"/>
        <w:spacing w:before="200" w:line-rule="auto"/>
        <w:ind w:firstLine="540"/>
        <w:jc w:val="both"/>
      </w:pPr>
      <w:r>
        <w:rPr>
          <w:sz w:val="20"/>
        </w:rPr>
        <w:t xml:space="preserve">24. 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bookmarkStart w:id="4521" w:name="P4521"/>
    <w:bookmarkEnd w:id="4521"/>
    <w:p>
      <w:pPr>
        <w:pStyle w:val="0"/>
        <w:spacing w:before="200" w:line-rule="auto"/>
        <w:ind w:firstLine="540"/>
        <w:jc w:val="both"/>
      </w:pPr>
      <w:r>
        <w:rPr>
          <w:sz w:val="20"/>
        </w:rPr>
        <w:t xml:space="preserve">25. В течение 15 рабочих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hyperlink w:history="0" w:anchor="P4618" w:tooltip="КРИТЕРИИ">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Баллы, выставленные Конкурсной комиссией участнику Конкурса по каждому критерию, суммируются, и определяется итоговая сумма баллов.</w:t>
      </w:r>
    </w:p>
    <w:p>
      <w:pPr>
        <w:pStyle w:val="0"/>
        <w:spacing w:before="200" w:line-rule="auto"/>
        <w:ind w:firstLine="540"/>
        <w:jc w:val="both"/>
      </w:pPr>
      <w:r>
        <w:rPr>
          <w:sz w:val="20"/>
        </w:rPr>
        <w:t xml:space="preserve">Ранжирование заявок участников Конкурса, допущенных к Конкурсу, осуществляется Конкурсной комиссией в срок, указанный в </w:t>
      </w:r>
      <w:hyperlink w:history="0" w:anchor="P4521" w:tooltip="25. В течение 15 рабочих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таблице 1 к Порядку.">
        <w:r>
          <w:rPr>
            <w:sz w:val="20"/>
            <w:color w:val="0000ff"/>
          </w:rPr>
          <w:t xml:space="preserve">абзаце первом</w:t>
        </w:r>
      </w:hyperlink>
      <w:r>
        <w:rPr>
          <w:sz w:val="20"/>
        </w:rPr>
        <w:t xml:space="preserve"> настоящего пункта, по итогам которого составляется рейтинговый список участников Конкурса.</w:t>
      </w:r>
    </w:p>
    <w:p>
      <w:pPr>
        <w:pStyle w:val="0"/>
        <w:spacing w:before="200" w:line-rule="auto"/>
        <w:ind w:firstLine="540"/>
        <w:jc w:val="both"/>
      </w:pPr>
      <w:r>
        <w:rPr>
          <w:sz w:val="20"/>
        </w:rPr>
        <w:t xml:space="preserve">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pPr>
        <w:pStyle w:val="0"/>
        <w:spacing w:before="200" w:line-rule="auto"/>
        <w:ind w:firstLine="540"/>
        <w:jc w:val="both"/>
      </w:pPr>
      <w:r>
        <w:rPr>
          <w:sz w:val="20"/>
        </w:rPr>
        <w:t xml:space="preserve">Победителями Конкурса признаются участники Конкурса, заявки которых расположены первой и последующими в рейтинговом списке, суммарный размер Субсидии по которым не превышает предельного объема средств, предусмотренных на указанные законом Московской области о бюджете цели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доведенными до Мининвеста Московской области на предоставление Субсидии на текущий финансовый год.</w:t>
      </w:r>
    </w:p>
    <w:bookmarkStart w:id="4526" w:name="P4526"/>
    <w:bookmarkEnd w:id="4526"/>
    <w:p>
      <w:pPr>
        <w:pStyle w:val="0"/>
        <w:spacing w:before="200" w:line-rule="auto"/>
        <w:ind w:firstLine="540"/>
        <w:jc w:val="both"/>
      </w:pPr>
      <w:r>
        <w:rPr>
          <w:sz w:val="20"/>
        </w:rPr>
        <w:t xml:space="preserve">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участника Конкурса финансируется в пределах нераспределенного остатка бюджетных ассигнований.</w:t>
      </w:r>
    </w:p>
    <w:bookmarkStart w:id="4527" w:name="P4527"/>
    <w:bookmarkEnd w:id="4527"/>
    <w:p>
      <w:pPr>
        <w:pStyle w:val="0"/>
        <w:spacing w:before="200" w:line-rule="auto"/>
        <w:ind w:firstLine="540"/>
        <w:jc w:val="both"/>
      </w:pPr>
      <w:r>
        <w:rPr>
          <w:sz w:val="20"/>
        </w:rPr>
        <w:t xml:space="preserve">26. На основании результатов ранжирования и определения победителей Конкурса в соответствии с </w:t>
      </w:r>
      <w:hyperlink w:history="0" w:anchor="P4521" w:tooltip="25. В течение 15 рабочих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таблице 1 к Порядку.">
        <w:r>
          <w:rPr>
            <w:sz w:val="20"/>
            <w:color w:val="0000ff"/>
          </w:rPr>
          <w:t xml:space="preserve">пунктом 25</w:t>
        </w:r>
      </w:hyperlink>
      <w:r>
        <w:rPr>
          <w:sz w:val="20"/>
        </w:rPr>
        <w:t xml:space="preserve">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бюджет", а также размещается на едином портале в срок не позднее 1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Конкурса включает в себя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об участниках Конкурса, заявки которых были рассмотрены;</w:t>
      </w:r>
    </w:p>
    <w:p>
      <w:pPr>
        <w:pStyle w:val="0"/>
        <w:spacing w:before="200" w:line-rule="auto"/>
        <w:ind w:firstLine="540"/>
        <w:jc w:val="both"/>
      </w:pPr>
      <w:r>
        <w:rPr>
          <w:sz w:val="20"/>
        </w:rPr>
        <w:t xml:space="preserve">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заявки;</w:t>
      </w:r>
    </w:p>
    <w:p>
      <w:pPr>
        <w:pStyle w:val="0"/>
        <w:spacing w:before="200" w:line-rule="auto"/>
        <w:ind w:firstLine="540"/>
        <w:jc w:val="both"/>
      </w:pPr>
      <w:r>
        <w:rPr>
          <w:sz w:val="20"/>
        </w:rPr>
        <w:t xml:space="preserve">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сумма полученных баллов по итогам оценки заявок по каждому участнику Конкурса;</w:t>
      </w:r>
    </w:p>
    <w:p>
      <w:pPr>
        <w:pStyle w:val="0"/>
        <w:spacing w:before="200" w:line-rule="auto"/>
        <w:ind w:firstLine="540"/>
        <w:jc w:val="both"/>
      </w:pPr>
      <w:r>
        <w:rPr>
          <w:sz w:val="20"/>
        </w:rPr>
        <w:t xml:space="preserve">наименования участников Конкурса, признанных победителями Конкурса, с которыми заключается Соглашение (далее - получатели Субсидии), и размер предоставляемой им Субсидии.</w:t>
      </w:r>
    </w:p>
    <w:p>
      <w:pPr>
        <w:pStyle w:val="0"/>
        <w:spacing w:before="200" w:line-rule="auto"/>
        <w:ind w:firstLine="540"/>
        <w:jc w:val="both"/>
      </w:pPr>
      <w:r>
        <w:rPr>
          <w:sz w:val="20"/>
        </w:rPr>
        <w:t xml:space="preserve">27. Конкурс признается несостоявшимся в случаях, если:</w:t>
      </w:r>
    </w:p>
    <w:p>
      <w:pPr>
        <w:pStyle w:val="0"/>
        <w:spacing w:before="200" w:line-rule="auto"/>
        <w:ind w:firstLine="540"/>
        <w:jc w:val="both"/>
      </w:pPr>
      <w:r>
        <w:rPr>
          <w:sz w:val="20"/>
        </w:rPr>
        <w:t xml:space="preserve">1) по окончании срока подачи заявок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spacing w:before="200" w:line-rule="auto"/>
        <w:ind w:firstLine="540"/>
        <w:jc w:val="both"/>
      </w:pPr>
      <w:r>
        <w:rPr>
          <w:sz w:val="20"/>
        </w:rPr>
        <w:t xml:space="preserve">3) по результатам рассмотрения и оценки заявок принято решение об отказе всем участникам Конкурса в признании победителями Конкурса.</w:t>
      </w:r>
    </w:p>
    <w:p>
      <w:pPr>
        <w:pStyle w:val="0"/>
        <w:spacing w:before="200" w:line-rule="auto"/>
        <w:ind w:firstLine="540"/>
        <w:jc w:val="both"/>
      </w:pPr>
      <w:r>
        <w:rPr>
          <w:sz w:val="20"/>
        </w:rPr>
        <w:t xml:space="preserve">28. В случае внесения изменений в законодательство, требующих внесения изменений в Порядок, Мининвест Московской области принимает решение об отмене Конкурса.</w:t>
      </w:r>
    </w:p>
    <w:p>
      <w:pPr>
        <w:pStyle w:val="0"/>
        <w:spacing w:before="200" w:line-rule="auto"/>
        <w:ind w:firstLine="540"/>
        <w:jc w:val="both"/>
      </w:pPr>
      <w:r>
        <w:rPr>
          <w:sz w:val="20"/>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уполномоченным представителем Мининвеста Московской области,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w:t>
      </w:r>
    </w:p>
    <w:p>
      <w:pPr>
        <w:pStyle w:val="0"/>
        <w:spacing w:before="200" w:line-rule="auto"/>
        <w:ind w:firstLine="540"/>
        <w:jc w:val="both"/>
      </w:pPr>
      <w:r>
        <w:rPr>
          <w:sz w:val="20"/>
        </w:rPr>
        <w:t xml:space="preserve">Участники Конкурса, подавшие заявки, информируются об отмене проведения Конкурса в системе "Электронный бюджет".</w:t>
      </w:r>
    </w:p>
    <w:p>
      <w:pPr>
        <w:pStyle w:val="0"/>
        <w:spacing w:before="200" w:line-rule="auto"/>
        <w:ind w:firstLine="540"/>
        <w:jc w:val="both"/>
      </w:pPr>
      <w:r>
        <w:rPr>
          <w:sz w:val="20"/>
        </w:rPr>
        <w:t xml:space="preserve">Конкурс считается отмененным со дня размещения объявления о его отмене на едином портале.</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4546" w:name="P4546"/>
    <w:bookmarkEnd w:id="4546"/>
    <w:p>
      <w:pPr>
        <w:pStyle w:val="0"/>
        <w:ind w:firstLine="540"/>
        <w:jc w:val="both"/>
      </w:pPr>
      <w:r>
        <w:rPr>
          <w:sz w:val="20"/>
        </w:rPr>
        <w:t xml:space="preserve">29. Под затратами промышленных предприятий, связанными с приобретением нового оборудования, понимаются подтвержденные затраты по следующим направлениям: на приобретение оборудования согласно договору (контракту) на его приобретение, расходы на монтаж, шеф-монтаж и пусконаладочные работы, если указанные расходы предусмотрены договором (контрактом) на приобретение оборудования.</w:t>
      </w:r>
    </w:p>
    <w:p>
      <w:pPr>
        <w:pStyle w:val="0"/>
        <w:spacing w:before="200" w:line-rule="auto"/>
        <w:ind w:firstLine="540"/>
        <w:jc w:val="both"/>
      </w:pPr>
      <w:r>
        <w:rPr>
          <w:sz w:val="20"/>
        </w:rPr>
        <w:t xml:space="preserve">В рамках Субсидии не возмещаются затраты на приобретение оборудования:</w:t>
      </w:r>
    </w:p>
    <w:p>
      <w:pPr>
        <w:pStyle w:val="0"/>
        <w:spacing w:before="200" w:line-rule="auto"/>
        <w:ind w:firstLine="540"/>
        <w:jc w:val="both"/>
      </w:pPr>
      <w:r>
        <w:rPr>
          <w:sz w:val="20"/>
        </w:rPr>
        <w:t xml:space="preserve">ранее находившегося в эксплуатации;</w:t>
      </w:r>
    </w:p>
    <w:p>
      <w:pPr>
        <w:pStyle w:val="0"/>
        <w:spacing w:before="200" w:line-rule="auto"/>
        <w:ind w:firstLine="540"/>
        <w:jc w:val="both"/>
      </w:pPr>
      <w:r>
        <w:rPr>
          <w:sz w:val="20"/>
        </w:rPr>
        <w:t xml:space="preserve">дата изготовления (выпуска) которого превышает 5 лет на дату подачи заявки.</w:t>
      </w:r>
    </w:p>
    <w:p>
      <w:pPr>
        <w:pStyle w:val="0"/>
        <w:spacing w:before="200" w:line-rule="auto"/>
        <w:ind w:firstLine="540"/>
        <w:jc w:val="both"/>
      </w:pPr>
      <w:r>
        <w:rPr>
          <w:sz w:val="20"/>
        </w:rPr>
        <w:t xml:space="preserve">При предоставлении Субсидии в 2024 году возмещению подлежат затраты промышленных предприятий, осуществленные (возникшие) не ранее 1 января 2022 года.</w:t>
      </w:r>
    </w:p>
    <w:p>
      <w:pPr>
        <w:pStyle w:val="0"/>
        <w:spacing w:before="200" w:line-rule="auto"/>
        <w:ind w:firstLine="540"/>
        <w:jc w:val="both"/>
      </w:pPr>
      <w:r>
        <w:rPr>
          <w:sz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pPr>
        <w:pStyle w:val="0"/>
        <w:spacing w:before="200" w:line-rule="auto"/>
        <w:ind w:firstLine="540"/>
        <w:jc w:val="both"/>
      </w:pPr>
      <w:r>
        <w:rPr>
          <w:sz w:val="20"/>
        </w:rPr>
        <w:t xml:space="preserve">30. Субсидии предоставляются промышленным предприятиям в размере не более 50 процентов понесенных промышленным предприятием затрат и в сумме, не превышающей 20 млн. рублей на одного получателя Субсидии.</w:t>
      </w:r>
    </w:p>
    <w:bookmarkStart w:id="4553" w:name="P4553"/>
    <w:bookmarkEnd w:id="4553"/>
    <w:p>
      <w:pPr>
        <w:pStyle w:val="0"/>
        <w:spacing w:before="200" w:line-rule="auto"/>
        <w:ind w:firstLine="540"/>
        <w:jc w:val="both"/>
      </w:pPr>
      <w:r>
        <w:rPr>
          <w:sz w:val="20"/>
        </w:rPr>
        <w:t xml:space="preserve">31. Предоставление Субсидии, источником финансового обеспечения расходных обязательств по предоставлению которой являются субсидия из федерального бюджета на софинансирование расходных обязательств Московской области, возникающих при реализации государственной программы развития промышленности Московской области и (или) подпрограммы государственной программы Московской области в сфере промышленности, содержащие мероприятия по развитию промышленности в Московской области (далее - субсидия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 осуществляется на основании Соглашения, заключаемого между Мининвестом Московской области и победителем Конкурса в системе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pPr>
        <w:pStyle w:val="0"/>
        <w:spacing w:before="200" w:line-rule="auto"/>
        <w:ind w:firstLine="540"/>
        <w:jc w:val="both"/>
      </w:pPr>
      <w:r>
        <w:rPr>
          <w:sz w:val="20"/>
        </w:rPr>
        <w:t xml:space="preserve">Дополнительные соглашения к Соглашению, указанному в </w:t>
      </w:r>
      <w:hyperlink w:history="0" w:anchor="P4553" w:tooltip="31. Предоставление Субсидии, источником финансового обеспечения расходных обязательств по предоставлению которой являются субсидия из федерального бюджета на софинансирование расходных обязательств Московской области, возникающих при реализации государственной программы развития промышленности Московской области и (или) подпрограммы государственной программы Московской области в сфере промышленности, содержащие мероприятия по развитию промышленности в Московской области (далее - субсидия из федерального ...">
        <w:r>
          <w:rPr>
            <w:sz w:val="20"/>
            <w:color w:val="0000ff"/>
          </w:rPr>
          <w:t xml:space="preserve">абзаце первом</w:t>
        </w:r>
      </w:hyperlink>
      <w:r>
        <w:rPr>
          <w:sz w:val="20"/>
        </w:rPr>
        <w:t xml:space="preserve">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в соответствии с типовой формой, установленной Минфином России.</w:t>
      </w:r>
    </w:p>
    <w:bookmarkStart w:id="4555" w:name="P4555"/>
    <w:bookmarkEnd w:id="4555"/>
    <w:p>
      <w:pPr>
        <w:pStyle w:val="0"/>
        <w:spacing w:before="200" w:line-rule="auto"/>
        <w:ind w:firstLine="540"/>
        <w:jc w:val="both"/>
      </w:pPr>
      <w:r>
        <w:rPr>
          <w:sz w:val="20"/>
        </w:rPr>
        <w:t xml:space="preserve">Предоставление Субсидии, источником финансового обеспечения расходных обязательств по предоставлению которой являются собственные доходы бюджета Московской области, осуществляется на основании соглашения о предоставлении Субсидии, заключаемого между Мининвестом Московской области и победителем Конкурса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функционального блока "Реестр соглашений", или в системе "Электронный бюджет" (при наличии технической возможности) в соответствии с типовыми формами, установленными МЭФ Московской области.</w:t>
      </w:r>
    </w:p>
    <w:p>
      <w:pPr>
        <w:pStyle w:val="0"/>
        <w:spacing w:before="200" w:line-rule="auto"/>
        <w:ind w:firstLine="540"/>
        <w:jc w:val="both"/>
      </w:pPr>
      <w:r>
        <w:rPr>
          <w:sz w:val="20"/>
        </w:rPr>
        <w:t xml:space="preserve">Дополнительные соглашения к Соглашению, указанному в </w:t>
      </w:r>
      <w:hyperlink w:history="0" w:anchor="P4555" w:tooltip="Предоставление Субсидии, источником финансового обеспечения расходных обязательств по предоставлению которой являются собственные доходы бюджета Московской области, осуществляется на основании соглашения о предоставлении Субсидии, заключаемого между Мининвестом Московской области и победителем Конкурса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quot;Региональный электронный бюджет Московской о...">
        <w:r>
          <w:rPr>
            <w:sz w:val="20"/>
            <w:color w:val="0000ff"/>
          </w:rPr>
          <w:t xml:space="preserve">абзаце третьем</w:t>
        </w:r>
      </w:hyperlink>
      <w:r>
        <w:rPr>
          <w:sz w:val="20"/>
        </w:rPr>
        <w:t xml:space="preserve"> настоящего пункта, в том числе дополнительное соглашение о расторжении Соглашения (при необходимости), заключаются с получателями Субсидий с использованием подсистемы исполнения бюджета Московской области, бюджетов муниципальных образований Московской области ГИС РЭБ, функционального блока "Реестр соглашений", или в системе "Электронный бюджет" (при наличии технической возможности) в соответствии с типовыми формами, установленными МЭФ Московской области.</w:t>
      </w:r>
    </w:p>
    <w:p>
      <w:pPr>
        <w:pStyle w:val="0"/>
        <w:spacing w:before="200" w:line-rule="auto"/>
        <w:ind w:firstLine="540"/>
        <w:jc w:val="both"/>
      </w:pPr>
      <w:r>
        <w:rPr>
          <w:sz w:val="20"/>
        </w:rPr>
        <w:t xml:space="preserve">32. На даты рассмотрения заявки и заключения Соглашения победитель Конкурса должен соответствовать требованиям, установленным </w:t>
      </w:r>
      <w:hyperlink w:history="0" w:anchor="P4439" w:tooltip="12. Требования к участникам Конкурса на дату подачи заявки (далее - Требования):">
        <w:r>
          <w:rPr>
            <w:sz w:val="20"/>
            <w:color w:val="0000ff"/>
          </w:rPr>
          <w:t xml:space="preserve">пунктом 12</w:t>
        </w:r>
      </w:hyperlink>
      <w:r>
        <w:rPr>
          <w:sz w:val="20"/>
        </w:rPr>
        <w:t xml:space="preserve"> Порядка.</w:t>
      </w:r>
    </w:p>
    <w:bookmarkStart w:id="4558" w:name="P4558"/>
    <w:bookmarkEnd w:id="4558"/>
    <w:p>
      <w:pPr>
        <w:pStyle w:val="0"/>
        <w:spacing w:before="200" w:line-rule="auto"/>
        <w:ind w:firstLine="540"/>
        <w:jc w:val="both"/>
      </w:pPr>
      <w:r>
        <w:rPr>
          <w:sz w:val="20"/>
        </w:rPr>
        <w:t xml:space="preserve">33. При предоставлении Субсидии, источником финансового обеспечения расходных обязательств по предоставлению которой являются субсидия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 Мининвест Московской области в течение 10 рабочих дней со дня, следующего за днем подписания Конкурсной комиссией протокола подведения итогов Конкурса (принятия решения о предоставлении Субсидии) в соответствии с </w:t>
      </w:r>
      <w:hyperlink w:history="0" w:anchor="P4527" w:tooltip="26.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quot;Электронный бюджет&quot;, а также размещается на едином портале в срок не позднее 1 рабочего дня, следующего за днем его подписания.">
        <w:r>
          <w:rPr>
            <w:sz w:val="20"/>
            <w:color w:val="0000ff"/>
          </w:rPr>
          <w:t xml:space="preserve">пунктом 26</w:t>
        </w:r>
      </w:hyperlink>
      <w:r>
        <w:rPr>
          <w:sz w:val="20"/>
        </w:rPr>
        <w:t xml:space="preserve"> Порядка, формирует проекты Соглашений 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 указанные в заявках.</w:t>
      </w:r>
    </w:p>
    <w:bookmarkStart w:id="4559" w:name="P4559"/>
    <w:bookmarkEnd w:id="4559"/>
    <w:p>
      <w:pPr>
        <w:pStyle w:val="0"/>
        <w:spacing w:before="200" w:line-rule="auto"/>
        <w:ind w:firstLine="540"/>
        <w:jc w:val="both"/>
      </w:pPr>
      <w:r>
        <w:rPr>
          <w:sz w:val="20"/>
        </w:rPr>
        <w:t xml:space="preserve">Победители Конкурса в течение 3 рабочих дней с даты отправления уведомлений рассматривают и подписывают проекты Соглашений в системе "Электронный бюджет" усиленной квалифицированной электронной подписью лица, имеющего право действовать от имени победителя Конкурса.</w:t>
      </w:r>
    </w:p>
    <w:p>
      <w:pPr>
        <w:pStyle w:val="0"/>
        <w:spacing w:before="200" w:line-rule="auto"/>
        <w:ind w:firstLine="540"/>
        <w:jc w:val="both"/>
      </w:pPr>
      <w:r>
        <w:rPr>
          <w:sz w:val="20"/>
        </w:rPr>
        <w:t xml:space="preserve">В случае неподписания победителем Конкурса Соглашения в системе "Электронный бюджет" в срок, установленный </w:t>
      </w:r>
      <w:hyperlink w:history="0" w:anchor="P4559" w:tooltip="Победители Конкурса в течение 3 рабочих дней с даты отправления уведомлений рассматривают и подписывают проекты Соглашений в системе &quot;Электронный бюджет&quot; усиленной квалифицированной электронной подписью лица, имеющего право действовать от имени победителя Конкурса.">
        <w:r>
          <w:rPr>
            <w:sz w:val="20"/>
            <w:color w:val="0000ff"/>
          </w:rPr>
          <w:t xml:space="preserve">абзацем вторым</w:t>
        </w:r>
      </w:hyperlink>
      <w:r>
        <w:rPr>
          <w:sz w:val="20"/>
        </w:rPr>
        <w:t xml:space="preserve">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Мининвестом Московской области в письменной форме в течение 2 рабочих дней со дня, следующего за днем окончания срока, установленного вторым абзацем настоящего пункта.</w:t>
      </w:r>
    </w:p>
    <w:p>
      <w:pPr>
        <w:pStyle w:val="0"/>
        <w:spacing w:before="200" w:line-rule="auto"/>
        <w:ind w:firstLine="540"/>
        <w:jc w:val="both"/>
      </w:pPr>
      <w:r>
        <w:rPr>
          <w:sz w:val="20"/>
        </w:rPr>
        <w:t xml:space="preserve">В случае подписания победителем Конкурса проекта Соглашения в системе "Электронный бюджет" в срок, установленный </w:t>
      </w:r>
      <w:hyperlink w:history="0" w:anchor="P4559" w:tooltip="Победители Конкурса в течение 3 рабочих дней с даты отправления уведомлений рассматривают и подписывают проекты Соглашений в системе &quot;Электронный бюджет&quot; усиленной квалифицированной электронной подписью лица, имеющего право действовать от имени победителя Конкурса.">
        <w:r>
          <w:rPr>
            <w:sz w:val="20"/>
            <w:color w:val="0000ff"/>
          </w:rPr>
          <w:t xml:space="preserve">вторым абзацем</w:t>
        </w:r>
      </w:hyperlink>
      <w:r>
        <w:rPr>
          <w:sz w:val="20"/>
        </w:rPr>
        <w:t xml:space="preserve"> настоящего пункта, Соглашение подписывается Мининвестом Московской области в течение 5 рабочих дней со дня направления победителю Конкурса уведомления о размещении проекта Соглашения в системе "Электронный бюджет".</w:t>
      </w:r>
    </w:p>
    <w:p>
      <w:pPr>
        <w:pStyle w:val="0"/>
        <w:spacing w:before="200" w:line-rule="auto"/>
        <w:ind w:firstLine="540"/>
        <w:jc w:val="both"/>
      </w:pPr>
      <w:r>
        <w:rPr>
          <w:sz w:val="20"/>
        </w:rPr>
        <w:t xml:space="preserve">34. При предоставлении Субсидии, источником финансового обеспечения расходных обязательств по предоставлению которой являются собственные доходы бюджета Московской области, Соглашение заключается с победителем Конкурса в срок, указанный в </w:t>
      </w:r>
      <w:hyperlink w:history="0" w:anchor="P4558" w:tooltip="33. При предоставлении Субсидии, источником финансового обеспечения расходных обязательств по предоставлению которой являются субсидия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 Мининвест Московской области в течение 10 рабочих дней со дня, следующего за днем подписания Конкурсной комиссией протокола подведения итогов Конкурса (принятия решения о предоставлении ...">
        <w:r>
          <w:rPr>
            <w:sz w:val="20"/>
            <w:color w:val="0000ff"/>
          </w:rPr>
          <w:t xml:space="preserve">абзаце первом пункта 33</w:t>
        </w:r>
      </w:hyperlink>
      <w:r>
        <w:rPr>
          <w:sz w:val="20"/>
        </w:rPr>
        <w:t xml:space="preserve"> Порядка.</w:t>
      </w:r>
    </w:p>
    <w:p>
      <w:pPr>
        <w:pStyle w:val="0"/>
        <w:spacing w:before="200" w:line-rule="auto"/>
        <w:ind w:firstLine="540"/>
        <w:jc w:val="both"/>
      </w:pPr>
      <w:r>
        <w:rPr>
          <w:sz w:val="20"/>
        </w:rPr>
        <w:t xml:space="preserve">В случае неподписания победителем Конкурса Соглашения победитель Конкурса признается уклонившимся от заключения Соглашения и Субсидия не предоставляется, о чем победитель Конкурса уведомляется Мининвестом Московской области в письменной форме в течение 2 рабочих дней со дня окончания срока, указанного в </w:t>
      </w:r>
      <w:hyperlink w:history="0" w:anchor="P4558" w:tooltip="33. При предоставлении Субсидии, источником финансового обеспечения расходных обязательств по предоставлению которой являются субсидия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 Мининвест Московской области в течение 10 рабочих дней со дня, следующего за днем подписания Конкурсной комиссией протокола подведения итогов Конкурса (принятия решения о предоставлении ...">
        <w:r>
          <w:rPr>
            <w:sz w:val="20"/>
            <w:color w:val="0000ff"/>
          </w:rPr>
          <w:t xml:space="preserve">абзаце первом пункта 33</w:t>
        </w:r>
      </w:hyperlink>
      <w:r>
        <w:rPr>
          <w:sz w:val="20"/>
        </w:rPr>
        <w:t xml:space="preserve"> Порядка.</w:t>
      </w:r>
    </w:p>
    <w:p>
      <w:pPr>
        <w:pStyle w:val="0"/>
        <w:spacing w:before="200" w:line-rule="auto"/>
        <w:ind w:firstLine="540"/>
        <w:jc w:val="both"/>
      </w:pPr>
      <w:r>
        <w:rPr>
          <w:sz w:val="20"/>
        </w:rPr>
        <w:t xml:space="preserve">35. В случае недостаточности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распределяемых в рамках Конкурса, Мининвест Московской области принимает решение о приостановлении рассмотрения заявок участников Конкурса в связи с недостаточностью размера бюджетных ассигнований, предусмотренных Мининвесту Московской области на текущий финансовый год.</w:t>
      </w:r>
    </w:p>
    <w:p>
      <w:pPr>
        <w:pStyle w:val="0"/>
        <w:spacing w:before="200" w:line-rule="auto"/>
        <w:ind w:firstLine="540"/>
        <w:jc w:val="both"/>
      </w:pPr>
      <w:r>
        <w:rPr>
          <w:sz w:val="20"/>
        </w:rPr>
        <w:t xml:space="preserve">Рассмотрение заявок в связи с недостаточностью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распределяемых в рамках Конкурса, приостанавливается до полного распределения бюджетных ассигнований.</w:t>
      </w:r>
    </w:p>
    <w:p>
      <w:pPr>
        <w:pStyle w:val="0"/>
        <w:spacing w:before="200" w:line-rule="auto"/>
        <w:ind w:firstLine="540"/>
        <w:jc w:val="both"/>
      </w:pPr>
      <w:r>
        <w:rPr>
          <w:sz w:val="20"/>
        </w:rPr>
        <w:t xml:space="preserve">После полного распределения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на плановый период в рамках Мероприятия, распределяемых в рамках Конкурса, Мининвест Московской области в срок не более 10-ти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w:t>
      </w:r>
    </w:p>
    <w:p>
      <w:pPr>
        <w:pStyle w:val="0"/>
        <w:spacing w:before="200" w:line-rule="auto"/>
        <w:ind w:firstLine="540"/>
        <w:jc w:val="both"/>
      </w:pPr>
      <w:r>
        <w:rPr>
          <w:sz w:val="20"/>
        </w:rPr>
        <w:t xml:space="preserve">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Субсидии предоставляются в следующей очередности:</w:t>
      </w:r>
    </w:p>
    <w:p>
      <w:pPr>
        <w:pStyle w:val="0"/>
        <w:spacing w:before="200" w:line-rule="auto"/>
        <w:ind w:firstLine="540"/>
        <w:jc w:val="both"/>
      </w:pPr>
      <w:r>
        <w:rPr>
          <w:sz w:val="20"/>
        </w:rPr>
        <w:t xml:space="preserve">победителю Конкурса, по заявке которого размер Субсидии снижен в связи с недостаточностью бюджетных ассигнований в соответствии с </w:t>
      </w:r>
      <w:hyperlink w:history="0" w:anchor="P4526" w:tooltip="В случае превышения подтвержденных сумм Субсидий над бюджетными ассигнованиями заявка, зарегистрированная в системе &quot;Электронный бюджет&quot; под очередным порядковым номером, которая не может быть принята к финансированию в полном объеме, при наличии письменного согласия участника Конкурса финансируется в пределах нераспределенного остатка бюджетных ассигнований.">
        <w:r>
          <w:rPr>
            <w:sz w:val="20"/>
            <w:color w:val="0000ff"/>
          </w:rPr>
          <w:t xml:space="preserve">абзацем шестым пункта 25</w:t>
        </w:r>
      </w:hyperlink>
      <w:r>
        <w:rPr>
          <w:sz w:val="20"/>
        </w:rPr>
        <w:t xml:space="preserve"> Порядка;</w:t>
      </w:r>
    </w:p>
    <w:p>
      <w:pPr>
        <w:pStyle w:val="0"/>
        <w:spacing w:before="200" w:line-rule="auto"/>
        <w:ind w:firstLine="540"/>
        <w:jc w:val="both"/>
      </w:pPr>
      <w:r>
        <w:rPr>
          <w:sz w:val="20"/>
        </w:rPr>
        <w:t xml:space="preserve">победителям Конкурса, которым отказано в предоставлении Субсидии по основанию, указанному в </w:t>
      </w:r>
      <w:hyperlink w:history="0" w:anchor="P4578" w:tooltip="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абзаце четвертом пункта 38</w:t>
        </w:r>
      </w:hyperlink>
      <w:r>
        <w:rPr>
          <w:sz w:val="20"/>
        </w:rPr>
        <w:t xml:space="preserve"> Порядка, в порядке очередности их заявок согласно рейтинговому списку в случае проведения одного Конкурса в течение календарного года.</w:t>
      </w:r>
    </w:p>
    <w:p>
      <w:pPr>
        <w:pStyle w:val="0"/>
        <w:spacing w:before="200" w:line-rule="auto"/>
        <w:ind w:firstLine="540"/>
        <w:jc w:val="both"/>
      </w:pPr>
      <w:r>
        <w:rPr>
          <w:sz w:val="20"/>
        </w:rPr>
        <w:t xml:space="preserve">36. В Соглашение в обязательном порядке включаются следующие условия:</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3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по Мероприятию,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37.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38. Основаниями для отказа победителю Конкурса в предоставлении Субсидии являются:</w:t>
      </w:r>
    </w:p>
    <w:p>
      <w:pPr>
        <w:pStyle w:val="0"/>
        <w:spacing w:before="200" w:line-rule="auto"/>
        <w:ind w:firstLine="540"/>
        <w:jc w:val="both"/>
      </w:pPr>
      <w:r>
        <w:rPr>
          <w:sz w:val="20"/>
        </w:rPr>
        <w:t xml:space="preserve">несоответствие представленных победителем Конкурса документов требованиям, указанным в </w:t>
      </w:r>
      <w:hyperlink w:history="0" w:anchor="P4774" w:tooltip="ОПИСАНИЕ">
        <w:r>
          <w:rPr>
            <w:sz w:val="20"/>
            <w:color w:val="0000ff"/>
          </w:rPr>
          <w:t xml:space="preserve">таблице 3</w:t>
        </w:r>
      </w:hyperlink>
      <w:r>
        <w:rPr>
          <w:sz w:val="20"/>
        </w:rPr>
        <w:t xml:space="preserve"> к Порядку, или их непредставление (представление не в полном объеме);</w:t>
      </w:r>
    </w:p>
    <w:p>
      <w:pPr>
        <w:pStyle w:val="0"/>
        <w:spacing w:before="200" w:line-rule="auto"/>
        <w:ind w:firstLine="540"/>
        <w:jc w:val="both"/>
      </w:pPr>
      <w:r>
        <w:rPr>
          <w:sz w:val="20"/>
        </w:rPr>
        <w:t xml:space="preserve">установление факта недостоверности представленной победителем Конкурса информации;</w:t>
      </w:r>
    </w:p>
    <w:bookmarkStart w:id="4578" w:name="P4578"/>
    <w:bookmarkEnd w:id="4578"/>
    <w:p>
      <w:pPr>
        <w:pStyle w:val="0"/>
        <w:spacing w:before="200" w:line-rule="auto"/>
        <w:ind w:firstLine="540"/>
        <w:jc w:val="both"/>
      </w:pPr>
      <w:r>
        <w:rPr>
          <w:sz w:val="20"/>
        </w:rP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p>
      <w:pPr>
        <w:pStyle w:val="0"/>
        <w:spacing w:before="200" w:line-rule="auto"/>
        <w:ind w:firstLine="540"/>
        <w:jc w:val="both"/>
      </w:pPr>
      <w:r>
        <w:rPr>
          <w:sz w:val="20"/>
        </w:rPr>
        <w:t xml:space="preserve">уклонение от подписания Соглашения.</w:t>
      </w:r>
    </w:p>
    <w:bookmarkStart w:id="4580" w:name="P4580"/>
    <w:bookmarkEnd w:id="4580"/>
    <w:p>
      <w:pPr>
        <w:pStyle w:val="0"/>
        <w:spacing w:before="200" w:line-rule="auto"/>
        <w:ind w:firstLine="540"/>
        <w:jc w:val="both"/>
      </w:pPr>
      <w:r>
        <w:rPr>
          <w:sz w:val="20"/>
        </w:rPr>
        <w:t xml:space="preserve">39. Перечисление Субсидии Мининвестом Московской области осуществляется не позднее 10 рабочего дня, следующего за днем принятия решения о предоставлении Субсидии в соответствии с </w:t>
      </w:r>
      <w:hyperlink w:history="0" w:anchor="P4527" w:tooltip="26.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quot;Электронный бюджет&quot;, а также размещается на едином портале в срок не позднее 1 рабочего дня, следующего за днем его подписания.">
        <w:r>
          <w:rPr>
            <w:sz w:val="20"/>
            <w:color w:val="0000ff"/>
          </w:rPr>
          <w:t xml:space="preserve">пунктом 26</w:t>
        </w:r>
      </w:hyperlink>
      <w:r>
        <w:rPr>
          <w:sz w:val="20"/>
        </w:rPr>
        <w:t xml:space="preserve"> Порядка, на расчетный счет получателя Субсидии, открытый в учреждениях Центрального банка Российской Федерации или кредитных организациях.</w:t>
      </w:r>
    </w:p>
    <w:bookmarkStart w:id="4581" w:name="P4581"/>
    <w:bookmarkEnd w:id="4581"/>
    <w:p>
      <w:pPr>
        <w:pStyle w:val="0"/>
        <w:spacing w:before="200" w:line-rule="auto"/>
        <w:ind w:firstLine="540"/>
        <w:jc w:val="both"/>
      </w:pPr>
      <w:r>
        <w:rPr>
          <w:sz w:val="20"/>
        </w:rPr>
        <w:t xml:space="preserve">40. Результатами предоставления Субсидии являются:</w:t>
      </w:r>
    </w:p>
    <w:bookmarkStart w:id="4582" w:name="P4582"/>
    <w:bookmarkEnd w:id="4582"/>
    <w:p>
      <w:pPr>
        <w:pStyle w:val="0"/>
        <w:spacing w:before="200" w:line-rule="auto"/>
        <w:ind w:firstLine="540"/>
        <w:jc w:val="both"/>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w:history="0" r:id="rId33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w:t>
      </w:r>
    </w:p>
    <w:bookmarkStart w:id="4583" w:name="P4583"/>
    <w:bookmarkEnd w:id="4583"/>
    <w:p>
      <w:pPr>
        <w:pStyle w:val="0"/>
        <w:spacing w:before="200" w:line-rule="auto"/>
        <w:ind w:firstLine="540"/>
        <w:jc w:val="both"/>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33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bookmarkStart w:id="4584" w:name="P4584"/>
    <w:bookmarkEnd w:id="4584"/>
    <w:p>
      <w:pPr>
        <w:pStyle w:val="0"/>
        <w:spacing w:before="200" w:line-rule="auto"/>
        <w:ind w:firstLine="540"/>
        <w:jc w:val="both"/>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w:t>
      </w:r>
      <w:hyperlink w:history="0" r:id="rId33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pPr>
        <w:pStyle w:val="0"/>
        <w:spacing w:before="200" w:line-rule="auto"/>
        <w:ind w:firstLine="540"/>
        <w:jc w:val="both"/>
      </w:pPr>
      <w:r>
        <w:rPr>
          <w:sz w:val="20"/>
        </w:rPr>
        <w:t xml:space="preserve">Результат предоставления Субсидии, указанный в </w:t>
      </w:r>
      <w:hyperlink w:history="0" w:anchor="P4582" w:tooltip="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quot;Обрабатывающие производства&quot;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
        <w:r>
          <w:rPr>
            <w:sz w:val="20"/>
            <w:color w:val="0000ff"/>
          </w:rPr>
          <w:t xml:space="preserve">абзаце втором</w:t>
        </w:r>
      </w:hyperlink>
      <w:r>
        <w:rPr>
          <w:sz w:val="20"/>
        </w:rPr>
        <w:t xml:space="preserve"> настоящего пункта, рассчитывается как размер увеличения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33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классов видов деятельности, не относящихся к сфере ведения Министерства промышленности и торговли Российской Федерации (далее - Минпромторг России)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накопленным итогом за 3 года, начиная с года предоставления Субсидии.</w:t>
      </w:r>
    </w:p>
    <w:p>
      <w:pPr>
        <w:pStyle w:val="0"/>
        <w:spacing w:before="200" w:line-rule="auto"/>
        <w:ind w:firstLine="540"/>
        <w:jc w:val="both"/>
      </w:pPr>
      <w:r>
        <w:rPr>
          <w:sz w:val="20"/>
        </w:rPr>
        <w:t xml:space="preserve">Результат предоставления Субсидии, указанный в </w:t>
      </w:r>
      <w:hyperlink w:history="0" w:anchor="P4583" w:tooltip="объем инвестиций в основной капитал по видам экономической деятельности раздела &quot;Обрабатывающие производства&quot;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r>
          <w:rPr>
            <w:sz w:val="20"/>
            <w:color w:val="0000ff"/>
          </w:rPr>
          <w:t xml:space="preserve">абзаце третьем</w:t>
        </w:r>
      </w:hyperlink>
      <w:r>
        <w:rPr>
          <w:sz w:val="20"/>
        </w:rPr>
        <w:t xml:space="preserve"> настоящего пункта, рассчитывается как объем инвестиций в основной капитал по видам экономической деятельности </w:t>
      </w:r>
      <w:hyperlink w:history="0" r:id="rId33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видов деятельности, не относящихся к сфере ведения Минпромторга России) накопленным итогом за 3 года, начиная с года предоставления Субсидии.</w:t>
      </w:r>
    </w:p>
    <w:p>
      <w:pPr>
        <w:pStyle w:val="0"/>
        <w:spacing w:before="200" w:line-rule="auto"/>
        <w:ind w:firstLine="540"/>
        <w:jc w:val="both"/>
      </w:pPr>
      <w:r>
        <w:rPr>
          <w:sz w:val="20"/>
        </w:rPr>
        <w:t xml:space="preserve">Результат предоставления Субсидии, указанный в </w:t>
      </w:r>
      <w:hyperlink w:history="0" w:anchor="P4584" w:tooltip="объем отгруженных товаров собственного производства, выполненных собственными силами работ и услуг по видам экономической деятельности раздела &quot;Обрабатывающие производства&quot;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r>
          <w:rPr>
            <w:sz w:val="20"/>
            <w:color w:val="0000ff"/>
          </w:rPr>
          <w:t xml:space="preserve">абзаце четвертом</w:t>
        </w:r>
      </w:hyperlink>
      <w:r>
        <w:rPr>
          <w:sz w:val="20"/>
        </w:rPr>
        <w:t xml:space="preserve"> настоящего пункта, рассчитывается как объем отгруженных товаров собственного производства, выполненных работ и услуг собственными силами по видам экономической деятельности </w:t>
      </w:r>
      <w:hyperlink w:history="0" r:id="rId33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видов деятельности, не относящихся к сфере ведения Минпромторга России) накопленным итогом за 3 года, начиная с года предоставления Субсидии.</w:t>
      </w:r>
    </w:p>
    <w:p>
      <w:pPr>
        <w:pStyle w:val="0"/>
        <w:jc w:val="both"/>
      </w:pPr>
      <w:r>
        <w:rPr>
          <w:sz w:val="20"/>
        </w:rPr>
      </w:r>
    </w:p>
    <w:p>
      <w:pPr>
        <w:pStyle w:val="2"/>
        <w:outlineLvl w:val="4"/>
        <w:jc w:val="center"/>
      </w:pPr>
      <w:r>
        <w:rPr>
          <w:sz w:val="20"/>
        </w:rPr>
        <w:t xml:space="preserve">III. Требования к предоставлению отчетности 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4593" w:name="P4593"/>
    <w:bookmarkEnd w:id="4593"/>
    <w:p>
      <w:pPr>
        <w:pStyle w:val="0"/>
        <w:ind w:firstLine="540"/>
        <w:jc w:val="both"/>
      </w:pPr>
      <w:r>
        <w:rPr>
          <w:sz w:val="20"/>
        </w:rPr>
        <w:t xml:space="preserve">41. Получатели Субсидии представляют в Мининвест Московской области:</w:t>
      </w:r>
    </w:p>
    <w:bookmarkStart w:id="4594" w:name="P4594"/>
    <w:bookmarkEnd w:id="4594"/>
    <w:p>
      <w:pPr>
        <w:pStyle w:val="0"/>
        <w:spacing w:before="200" w:line-rule="auto"/>
        <w:ind w:firstLine="540"/>
        <w:jc w:val="both"/>
      </w:pPr>
      <w:r>
        <w:rPr>
          <w:sz w:val="20"/>
        </w:rPr>
        <w:t xml:space="preserve">ежеквартально не позднее 10-го рабочего дня месяца, следующего за отчетным кварталом, - отчет о достижении значений результатов предоставления Субсидии;</w:t>
      </w:r>
    </w:p>
    <w:bookmarkStart w:id="4595" w:name="P4595"/>
    <w:bookmarkEnd w:id="4595"/>
    <w:p>
      <w:pPr>
        <w:pStyle w:val="0"/>
        <w:spacing w:before="200" w:line-rule="auto"/>
        <w:ind w:firstLine="540"/>
        <w:jc w:val="both"/>
      </w:pPr>
      <w:r>
        <w:rPr>
          <w:sz w:val="20"/>
        </w:rPr>
        <w:t xml:space="preserve">ежемесячно не позднее 10-го рабочего дня месяца, следующего за отчетным месяцем, - отчет о реализации плана мероприятий по достижению результатов предоставления Субсидии (контрольные точки).</w:t>
      </w:r>
    </w:p>
    <w:p>
      <w:pPr>
        <w:pStyle w:val="0"/>
        <w:spacing w:before="200" w:line-rule="auto"/>
        <w:ind w:firstLine="540"/>
        <w:jc w:val="both"/>
      </w:pPr>
      <w:r>
        <w:rPr>
          <w:sz w:val="20"/>
        </w:rPr>
        <w:t xml:space="preserve">Указанные отчеты представляются в соответствии с формами, предусмотренными типовыми формами, установленными Минфином России для соглашений, в системе "Электронный бюджет" (для получателей Субсидий, источником финансового обеспечения расходных обязательств по предоставлению которых являются субсидия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w:t>
      </w:r>
    </w:p>
    <w:p>
      <w:pPr>
        <w:pStyle w:val="0"/>
        <w:spacing w:before="200" w:line-rule="auto"/>
        <w:ind w:firstLine="540"/>
        <w:jc w:val="both"/>
      </w:pPr>
      <w:r>
        <w:rPr>
          <w:sz w:val="20"/>
        </w:rPr>
        <w:t xml:space="preserve">Отчеты, указанные в </w:t>
      </w:r>
      <w:hyperlink w:history="0" w:anchor="P4594" w:tooltip="ежеквартально не позднее 10-го рабочего дня месяца, следующего за отчетным кварталом, - отчет о достижении значений результатов предоставления Субсидии;">
        <w:r>
          <w:rPr>
            <w:sz w:val="20"/>
            <w:color w:val="0000ff"/>
          </w:rPr>
          <w:t xml:space="preserve">абзацах втором</w:t>
        </w:r>
      </w:hyperlink>
      <w:r>
        <w:rPr>
          <w:sz w:val="20"/>
        </w:rPr>
        <w:t xml:space="preserve"> и </w:t>
      </w:r>
      <w:hyperlink w:history="0" w:anchor="P4595" w:tooltip="ежемесячно не позднее 10-го рабочего дня месяца, следующего за отчетным месяцем, - отчет о реализации плана мероприятий по достижению результатов предоставления Субсидии (контрольные точки).">
        <w:r>
          <w:rPr>
            <w:sz w:val="20"/>
            <w:color w:val="0000ff"/>
          </w:rPr>
          <w:t xml:space="preserve">третьем</w:t>
        </w:r>
      </w:hyperlink>
      <w:r>
        <w:rPr>
          <w:sz w:val="20"/>
        </w:rPr>
        <w:t xml:space="preserve"> настоящего пункта, представляются в соответствии с формами, предусмотренными типовыми формами для соглашений, установленными МЭФ Московской области (для получателей Субсидий, источником финансового обеспечения расходных обязательств по предоставлению которых являются собственные доходы бюджета Московской области).</w:t>
      </w:r>
    </w:p>
    <w:p>
      <w:pPr>
        <w:pStyle w:val="0"/>
        <w:spacing w:before="200" w:line-rule="auto"/>
        <w:ind w:firstLine="540"/>
        <w:jc w:val="both"/>
      </w:pPr>
      <w:r>
        <w:rPr>
          <w:sz w:val="20"/>
        </w:rPr>
        <w:t xml:space="preserve">Отчеты представляются получателями Субсидии в течение трех лет, следующих за годом получения Субсидии. В случае если получателем Субсидии достигнуты значения результатов предоставления Субсидии ранее указанного срока, то отчеты за следующий(ие) год(ы) не представляются.</w:t>
      </w:r>
    </w:p>
    <w:p>
      <w:pPr>
        <w:pStyle w:val="0"/>
        <w:spacing w:before="200" w:line-rule="auto"/>
        <w:ind w:firstLine="540"/>
        <w:jc w:val="both"/>
      </w:pPr>
      <w:r>
        <w:rPr>
          <w:sz w:val="20"/>
        </w:rPr>
        <w:t xml:space="preserve">42. Мининвест Московской области в течение 15 рабочих дней со дня предоставления получателем Субсидии отчетности, предусмотренной </w:t>
      </w:r>
      <w:hyperlink w:history="0" w:anchor="P4593" w:tooltip="41. Получатели Субсидии представляют в Мининвест Московской области:">
        <w:r>
          <w:rPr>
            <w:sz w:val="20"/>
            <w:color w:val="0000ff"/>
          </w:rPr>
          <w:t xml:space="preserve">пунктом 41</w:t>
        </w:r>
      </w:hyperlink>
      <w:r>
        <w:rPr>
          <w:sz w:val="20"/>
        </w:rPr>
        <w:t xml:space="preserve"> Порядка, осуществляет ее проверку и принятие.</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их повторном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43.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проводится в порядке и по формам, которые утверждены </w:t>
      </w:r>
      <w:hyperlink w:history="0" r:id="rId33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bookmarkStart w:id="4603" w:name="P4603"/>
    <w:bookmarkEnd w:id="4603"/>
    <w:p>
      <w:pPr>
        <w:pStyle w:val="0"/>
        <w:spacing w:before="200" w:line-rule="auto"/>
        <w:ind w:firstLine="540"/>
        <w:jc w:val="both"/>
      </w:pPr>
      <w:r>
        <w:rPr>
          <w:sz w:val="20"/>
        </w:rPr>
        <w:t xml:space="preserve">44. Мининвест Московской области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3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bookmarkStart w:id="4604" w:name="P4604"/>
    <w:bookmarkEnd w:id="4604"/>
    <w:p>
      <w:pPr>
        <w:pStyle w:val="0"/>
        <w:spacing w:before="200" w:line-rule="auto"/>
        <w:ind w:firstLine="540"/>
        <w:jc w:val="both"/>
      </w:pPr>
      <w:r>
        <w:rPr>
          <w:sz w:val="20"/>
        </w:rPr>
        <w:t xml:space="preserve">45. Субсидия подлежит возврату в бюджет Московской области в сроки и порядке, установленные в Соглашении, в случаях:</w:t>
      </w:r>
    </w:p>
    <w:bookmarkStart w:id="4605" w:name="P4605"/>
    <w:bookmarkEnd w:id="4605"/>
    <w:p>
      <w:pPr>
        <w:pStyle w:val="0"/>
        <w:spacing w:before="200" w:line-rule="auto"/>
        <w:ind w:firstLine="540"/>
        <w:jc w:val="both"/>
      </w:pPr>
      <w:r>
        <w:rPr>
          <w:sz w:val="20"/>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органами государственного финансового контроля;</w:t>
      </w:r>
    </w:p>
    <w:bookmarkStart w:id="4606" w:name="P4606"/>
    <w:bookmarkEnd w:id="4606"/>
    <w:p>
      <w:pPr>
        <w:pStyle w:val="0"/>
        <w:spacing w:before="200" w:line-rule="auto"/>
        <w:ind w:firstLine="540"/>
        <w:jc w:val="both"/>
      </w:pPr>
      <w:r>
        <w:rPr>
          <w:sz w:val="20"/>
        </w:rPr>
        <w:t xml:space="preserve">недостижения получателем Субсидии значений результатов предоставления Субсидии.</w:t>
      </w:r>
    </w:p>
    <w:p>
      <w:pPr>
        <w:pStyle w:val="0"/>
        <w:spacing w:before="200" w:line-rule="auto"/>
        <w:ind w:firstLine="540"/>
        <w:jc w:val="both"/>
      </w:pPr>
      <w:r>
        <w:rPr>
          <w:sz w:val="20"/>
        </w:rPr>
        <w:t xml:space="preserve">46. В случае, определенном в </w:t>
      </w:r>
      <w:hyperlink w:history="0" w:anchor="P4605" w:tooltip="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ами государственного финансового контроля;">
        <w:r>
          <w:rPr>
            <w:sz w:val="20"/>
            <w:color w:val="0000ff"/>
          </w:rPr>
          <w:t xml:space="preserve">абзаце втором пункта 45</w:t>
        </w:r>
      </w:hyperlink>
      <w:r>
        <w:rPr>
          <w:sz w:val="20"/>
        </w:rPr>
        <w:t xml:space="preserve"> Порядка, Субсидия подлежат возврату в доход бюджета Московской области в соответствии с бюджетным законодательством Российской Федерации в полном объеме.</w:t>
      </w:r>
    </w:p>
    <w:p>
      <w:pPr>
        <w:pStyle w:val="0"/>
        <w:spacing w:before="200" w:line-rule="auto"/>
        <w:ind w:firstLine="540"/>
        <w:jc w:val="both"/>
      </w:pPr>
      <w:r>
        <w:rPr>
          <w:sz w:val="20"/>
        </w:rPr>
        <w:t xml:space="preserve">В случае, определенном в </w:t>
      </w:r>
      <w:hyperlink w:history="0" w:anchor="P4606" w:tooltip="недостижения получателем Субсидии значений результатов предоставления Субсидии.">
        <w:r>
          <w:rPr>
            <w:sz w:val="20"/>
            <w:color w:val="0000ff"/>
          </w:rPr>
          <w:t xml:space="preserve">абзаце третьем пункта 45</w:t>
        </w:r>
      </w:hyperlink>
      <w:r>
        <w:rPr>
          <w:sz w:val="20"/>
        </w:rPr>
        <w:t xml:space="preserve"> Порядка, возврат Субсидии производится в размере, рассчитанном пропорционально недостигнутым значениям результатов предоставления Субсидии, установленным Соглашением. Порядок расчета размера Субсидии, подлежащей возврату в бюджет Московской области, устанавливается в Соглашении.</w:t>
      </w:r>
    </w:p>
    <w:p>
      <w:pPr>
        <w:pStyle w:val="0"/>
        <w:spacing w:before="200" w:line-rule="auto"/>
        <w:ind w:firstLine="540"/>
        <w:jc w:val="both"/>
      </w:pPr>
      <w:r>
        <w:rPr>
          <w:sz w:val="20"/>
        </w:rPr>
        <w:t xml:space="preserve">47. При выявлении Мининвестом Московской области, органом государственного финансового контроля фактов, в том числе по результатам проверок, установленных </w:t>
      </w:r>
      <w:hyperlink w:history="0" w:anchor="P4603" w:tooltip="44. Мининвест Московской области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пунктом 44</w:t>
        </w:r>
      </w:hyperlink>
      <w:r>
        <w:rPr>
          <w:sz w:val="20"/>
        </w:rPr>
        <w:t xml:space="preserve"> Порядка, Мининвест Московской области принимает решение о возврате в бюджет Московской области предоставленной Субсидии и в течение 5 рабочих дней со дня установления факта наступления случаев, определенных в </w:t>
      </w:r>
      <w:hyperlink w:history="0" w:anchor="P4604" w:tooltip="45. Субсидия подлежит возврату в бюджет Московской области в сроки и порядке, установленные в Соглашении, в случаях:">
        <w:r>
          <w:rPr>
            <w:sz w:val="20"/>
            <w:color w:val="0000ff"/>
          </w:rPr>
          <w:t xml:space="preserve">пункте 45</w:t>
        </w:r>
      </w:hyperlink>
      <w:r>
        <w:rPr>
          <w:sz w:val="20"/>
        </w:rPr>
        <w:t xml:space="preserve"> Порядка, Мининвест Московской области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pPr>
        <w:pStyle w:val="0"/>
        <w:spacing w:before="200" w:line-rule="auto"/>
        <w:ind w:firstLine="540"/>
        <w:jc w:val="both"/>
      </w:pPr>
      <w:r>
        <w:rPr>
          <w:sz w:val="20"/>
        </w:rPr>
        <w:t xml:space="preserve">Акт направляется получателю Субсидии в течение 5 календарных дней с даты его составления.</w:t>
      </w:r>
    </w:p>
    <w:p>
      <w:pPr>
        <w:pStyle w:val="0"/>
        <w:spacing w:before="200" w:line-rule="auto"/>
        <w:ind w:firstLine="540"/>
        <w:jc w:val="both"/>
      </w:pPr>
      <w:r>
        <w:rPr>
          <w:sz w:val="20"/>
        </w:rPr>
        <w:t xml:space="preserve">48.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рабочих дней со дня подписания требование о возврате направляется получателю Субсидии.</w:t>
      </w:r>
    </w:p>
    <w:p>
      <w:pPr>
        <w:pStyle w:val="0"/>
        <w:spacing w:before="200" w:line-rule="auto"/>
        <w:ind w:firstLine="540"/>
        <w:jc w:val="both"/>
      </w:pPr>
      <w:r>
        <w:rPr>
          <w:sz w:val="20"/>
        </w:rPr>
        <w:t xml:space="preserve">Получатель Субсидии обязан осуществить возврат Субсидии в срок, установленный в требовании о возврате.</w:t>
      </w:r>
    </w:p>
    <w:p>
      <w:pPr>
        <w:pStyle w:val="0"/>
        <w:spacing w:before="200" w:line-rule="auto"/>
        <w:ind w:firstLine="540"/>
        <w:jc w:val="both"/>
      </w:pPr>
      <w:r>
        <w:rPr>
          <w:sz w:val="20"/>
        </w:rPr>
        <w:t xml:space="preserve">49. 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4618" w:name="P4618"/>
    <w:bookmarkEnd w:id="4618"/>
    <w:p>
      <w:pPr>
        <w:pStyle w:val="2"/>
        <w:jc w:val="center"/>
      </w:pPr>
      <w:r>
        <w:rPr>
          <w:sz w:val="20"/>
        </w:rPr>
        <w:t xml:space="preserve">КРИТЕРИИ</w:t>
      </w:r>
    </w:p>
    <w:p>
      <w:pPr>
        <w:pStyle w:val="2"/>
        <w:jc w:val="center"/>
      </w:pPr>
      <w:r>
        <w:rPr>
          <w:sz w:val="20"/>
        </w:rPr>
        <w:t xml:space="preserve">ОЦЕНКИ ЗАЯВОК, ПОДАВАЕМЫХ УЧАСТНИКАМИ КОНКУРСА</w:t>
      </w:r>
    </w:p>
    <w:p>
      <w:pPr>
        <w:pStyle w:val="0"/>
        <w:jc w:val="center"/>
      </w:pPr>
      <w:r>
        <w:rPr>
          <w:sz w:val="20"/>
        </w:rPr>
      </w:r>
    </w:p>
    <w:p>
      <w:pPr>
        <w:pStyle w:val="0"/>
        <w:jc w:val="center"/>
      </w:pPr>
      <w:r>
        <w:rPr>
          <w:sz w:val="20"/>
        </w:rPr>
        <w:t xml:space="preserve">(в ред. </w:t>
      </w:r>
      <w:hyperlink w:history="0" r:id="rId340" w:tooltip="Постановление Правительства МО от 31.07.2024 N 782-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31.07.2024 N 782-ПП)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798"/>
        <w:gridCol w:w="5529"/>
        <w:gridCol w:w="1247"/>
      </w:tblGrid>
      <w:tr>
        <w:tc>
          <w:tcPr>
            <w:tcW w:w="567" w:type="dxa"/>
          </w:tcPr>
          <w:p>
            <w:pPr>
              <w:pStyle w:val="0"/>
              <w:jc w:val="center"/>
            </w:pPr>
            <w:r>
              <w:rPr>
                <w:sz w:val="20"/>
              </w:rPr>
              <w:t xml:space="preserve">N п/п</w:t>
            </w:r>
          </w:p>
        </w:tc>
        <w:tc>
          <w:tcPr>
            <w:tcW w:w="3798" w:type="dxa"/>
          </w:tcPr>
          <w:p>
            <w:pPr>
              <w:pStyle w:val="0"/>
              <w:jc w:val="center"/>
            </w:pPr>
            <w:r>
              <w:rPr>
                <w:sz w:val="20"/>
              </w:rPr>
              <w:t xml:space="preserve">Критерий оценки</w:t>
            </w:r>
          </w:p>
        </w:tc>
        <w:tc>
          <w:tcPr>
            <w:tcW w:w="5529" w:type="dxa"/>
          </w:tcPr>
          <w:p>
            <w:pPr>
              <w:pStyle w:val="0"/>
              <w:jc w:val="center"/>
            </w:pPr>
            <w:r>
              <w:rPr>
                <w:sz w:val="20"/>
              </w:rPr>
              <w:t xml:space="preserve">Показатель критерия оценки</w:t>
            </w:r>
          </w:p>
        </w:tc>
        <w:tc>
          <w:tcPr>
            <w:tcW w:w="1247" w:type="dxa"/>
          </w:tcPr>
          <w:p>
            <w:pPr>
              <w:pStyle w:val="0"/>
              <w:jc w:val="center"/>
            </w:pPr>
            <w:r>
              <w:rPr>
                <w:sz w:val="20"/>
              </w:rPr>
              <w:t xml:space="preserve">Балльная оценка</w:t>
            </w:r>
          </w:p>
        </w:tc>
      </w:tr>
      <w:tr>
        <w:tc>
          <w:tcPr>
            <w:tcW w:w="567" w:type="dxa"/>
          </w:tcPr>
          <w:p>
            <w:pPr>
              <w:pStyle w:val="0"/>
              <w:jc w:val="center"/>
            </w:pPr>
            <w:r>
              <w:rPr>
                <w:sz w:val="20"/>
              </w:rPr>
              <w:t xml:space="preserve">1</w:t>
            </w:r>
          </w:p>
        </w:tc>
        <w:tc>
          <w:tcPr>
            <w:tcW w:w="3798" w:type="dxa"/>
          </w:tcPr>
          <w:p>
            <w:pPr>
              <w:pStyle w:val="0"/>
              <w:jc w:val="center"/>
            </w:pPr>
            <w:r>
              <w:rPr>
                <w:sz w:val="20"/>
              </w:rPr>
              <w:t xml:space="preserve">2</w:t>
            </w:r>
          </w:p>
        </w:tc>
        <w:tc>
          <w:tcPr>
            <w:tcW w:w="5529" w:type="dxa"/>
          </w:tcPr>
          <w:p>
            <w:pPr>
              <w:pStyle w:val="0"/>
              <w:jc w:val="center"/>
            </w:pPr>
            <w:r>
              <w:rPr>
                <w:sz w:val="20"/>
              </w:rPr>
              <w:t xml:space="preserve">3</w:t>
            </w:r>
          </w:p>
        </w:tc>
        <w:tc>
          <w:tcPr>
            <w:tcW w:w="1247" w:type="dxa"/>
          </w:tcPr>
          <w:p>
            <w:pPr>
              <w:pStyle w:val="0"/>
              <w:jc w:val="center"/>
            </w:pPr>
            <w:r>
              <w:rPr>
                <w:sz w:val="20"/>
              </w:rPr>
              <w:t xml:space="preserve">4</w:t>
            </w:r>
          </w:p>
        </w:tc>
      </w:tr>
      <w:tr>
        <w:tc>
          <w:tcPr>
            <w:tcW w:w="567" w:type="dxa"/>
            <w:vMerge w:val="restart"/>
          </w:tcPr>
          <w:p>
            <w:pPr>
              <w:pStyle w:val="0"/>
            </w:pPr>
            <w:r>
              <w:rPr>
                <w:sz w:val="20"/>
              </w:rPr>
              <w:t xml:space="preserve">1</w:t>
            </w:r>
          </w:p>
        </w:tc>
        <w:tc>
          <w:tcPr>
            <w:tcW w:w="3798" w:type="dxa"/>
            <w:vMerge w:val="restart"/>
          </w:tcPr>
          <w:p>
            <w:pPr>
              <w:pStyle w:val="0"/>
            </w:pPr>
            <w:r>
              <w:rPr>
                <w:sz w:val="20"/>
              </w:rPr>
              <w:t xml:space="preserve">Увеличение полной учетной стоимости основных фондов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34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видов деятельности, не относящихся к сфере ведения Минпромторга России)</w:t>
            </w:r>
          </w:p>
        </w:tc>
        <w:tc>
          <w:tcPr>
            <w:tcW w:w="5529" w:type="dxa"/>
          </w:tcPr>
          <w:p>
            <w:pPr>
              <w:pStyle w:val="0"/>
            </w:pPr>
            <w:r>
              <w:rPr>
                <w:sz w:val="20"/>
              </w:rPr>
              <w:t xml:space="preserve">Коэффициент: отношение увеличения полной учетной стоимости основных фондов (поступление) за 3 года (год получения Субсидии, год, следующий за годом получения Субсидии, и второй год, следующий за годом получения Субсидии) к максимальному размеру Субсидии (20 млн руб. в 2024 году)</w:t>
            </w:r>
          </w:p>
        </w:tc>
        <w:tc>
          <w:tcPr>
            <w:tcW w:w="1247" w:type="dxa"/>
          </w:tcPr>
          <w:p>
            <w:pPr>
              <w:pStyle w:val="0"/>
            </w:pPr>
            <w:r>
              <w:rPr>
                <w:sz w:val="20"/>
              </w:rPr>
              <w:t xml:space="preserve">баллы</w:t>
            </w:r>
          </w:p>
        </w:tc>
      </w:tr>
      <w:tr>
        <w:tc>
          <w:tcPr>
            <w:vMerge w:val="continue"/>
          </w:tcPr>
          <w:p/>
        </w:tc>
        <w:tc>
          <w:tcPr>
            <w:vMerge w:val="continue"/>
          </w:tcPr>
          <w:p/>
        </w:tc>
        <w:tc>
          <w:tcPr>
            <w:tcW w:w="5529" w:type="dxa"/>
          </w:tcPr>
          <w:p>
            <w:pPr>
              <w:pStyle w:val="0"/>
            </w:pPr>
            <w:r>
              <w:rPr>
                <w:sz w:val="20"/>
              </w:rPr>
              <w:t xml:space="preserve">&gt;= 0 - &lt; 5</w:t>
            </w:r>
          </w:p>
        </w:tc>
        <w:tc>
          <w:tcPr>
            <w:tcW w:w="1247" w:type="dxa"/>
          </w:tcPr>
          <w:p>
            <w:pPr>
              <w:pStyle w:val="0"/>
            </w:pPr>
            <w:r>
              <w:rPr>
                <w:sz w:val="20"/>
              </w:rPr>
              <w:t xml:space="preserve">0</w:t>
            </w:r>
          </w:p>
        </w:tc>
      </w:tr>
      <w:tr>
        <w:tc>
          <w:tcPr>
            <w:vMerge w:val="continue"/>
          </w:tcPr>
          <w:p/>
        </w:tc>
        <w:tc>
          <w:tcPr>
            <w:vMerge w:val="continue"/>
          </w:tcPr>
          <w:p/>
        </w:tc>
        <w:tc>
          <w:tcPr>
            <w:tcW w:w="5529" w:type="dxa"/>
          </w:tcPr>
          <w:p>
            <w:pPr>
              <w:pStyle w:val="0"/>
            </w:pPr>
            <w:r>
              <w:rPr>
                <w:sz w:val="20"/>
              </w:rPr>
              <w:t xml:space="preserve">&gt;= 5 - &lt; 10</w:t>
            </w:r>
          </w:p>
        </w:tc>
        <w:tc>
          <w:tcPr>
            <w:tcW w:w="1247" w:type="dxa"/>
          </w:tcPr>
          <w:p>
            <w:pPr>
              <w:pStyle w:val="0"/>
            </w:pPr>
            <w:r>
              <w:rPr>
                <w:sz w:val="20"/>
              </w:rPr>
              <w:t xml:space="preserve">3</w:t>
            </w:r>
          </w:p>
        </w:tc>
      </w:tr>
      <w:tr>
        <w:tc>
          <w:tcPr>
            <w:vMerge w:val="continue"/>
          </w:tcPr>
          <w:p/>
        </w:tc>
        <w:tc>
          <w:tcPr>
            <w:vMerge w:val="continue"/>
          </w:tcPr>
          <w:p/>
        </w:tc>
        <w:tc>
          <w:tcPr>
            <w:tcW w:w="5529" w:type="dxa"/>
          </w:tcPr>
          <w:p>
            <w:pPr>
              <w:pStyle w:val="0"/>
            </w:pPr>
            <w:r>
              <w:rPr>
                <w:sz w:val="20"/>
              </w:rPr>
              <w:t xml:space="preserve">&gt;= 10 - &lt; 15</w:t>
            </w:r>
          </w:p>
        </w:tc>
        <w:tc>
          <w:tcPr>
            <w:tcW w:w="1247" w:type="dxa"/>
          </w:tcPr>
          <w:p>
            <w:pPr>
              <w:pStyle w:val="0"/>
            </w:pPr>
            <w:r>
              <w:rPr>
                <w:sz w:val="20"/>
              </w:rPr>
              <w:t xml:space="preserve">6</w:t>
            </w:r>
          </w:p>
        </w:tc>
      </w:tr>
      <w:tr>
        <w:tc>
          <w:tcPr>
            <w:vMerge w:val="continue"/>
          </w:tcPr>
          <w:p/>
        </w:tc>
        <w:tc>
          <w:tcPr>
            <w:vMerge w:val="continue"/>
          </w:tcPr>
          <w:p/>
        </w:tc>
        <w:tc>
          <w:tcPr>
            <w:tcW w:w="5529" w:type="dxa"/>
          </w:tcPr>
          <w:p>
            <w:pPr>
              <w:pStyle w:val="0"/>
            </w:pPr>
            <w:r>
              <w:rPr>
                <w:sz w:val="20"/>
              </w:rPr>
              <w:t xml:space="preserve">&gt;= 15 - &lt; 20</w:t>
            </w:r>
          </w:p>
        </w:tc>
        <w:tc>
          <w:tcPr>
            <w:tcW w:w="1247" w:type="dxa"/>
          </w:tcPr>
          <w:p>
            <w:pPr>
              <w:pStyle w:val="0"/>
            </w:pPr>
            <w:r>
              <w:rPr>
                <w:sz w:val="20"/>
              </w:rPr>
              <w:t xml:space="preserve">9</w:t>
            </w:r>
          </w:p>
        </w:tc>
      </w:tr>
      <w:tr>
        <w:tc>
          <w:tcPr>
            <w:vMerge w:val="continue"/>
          </w:tcPr>
          <w:p/>
        </w:tc>
        <w:tc>
          <w:tcPr>
            <w:vMerge w:val="continue"/>
          </w:tcPr>
          <w:p/>
        </w:tc>
        <w:tc>
          <w:tcPr>
            <w:tcW w:w="5529" w:type="dxa"/>
          </w:tcPr>
          <w:p>
            <w:pPr>
              <w:pStyle w:val="0"/>
            </w:pPr>
            <w:r>
              <w:rPr>
                <w:sz w:val="20"/>
              </w:rPr>
              <w:t xml:space="preserve">&gt;= 20 - &lt; 25</w:t>
            </w:r>
          </w:p>
        </w:tc>
        <w:tc>
          <w:tcPr>
            <w:tcW w:w="1247" w:type="dxa"/>
          </w:tcPr>
          <w:p>
            <w:pPr>
              <w:pStyle w:val="0"/>
            </w:pPr>
            <w:r>
              <w:rPr>
                <w:sz w:val="20"/>
              </w:rPr>
              <w:t xml:space="preserve">12</w:t>
            </w:r>
          </w:p>
        </w:tc>
      </w:tr>
      <w:tr>
        <w:tc>
          <w:tcPr>
            <w:vMerge w:val="continue"/>
          </w:tcPr>
          <w:p/>
        </w:tc>
        <w:tc>
          <w:tcPr>
            <w:vMerge w:val="continue"/>
          </w:tcPr>
          <w:p/>
        </w:tc>
        <w:tc>
          <w:tcPr>
            <w:tcW w:w="5529" w:type="dxa"/>
          </w:tcPr>
          <w:p>
            <w:pPr>
              <w:pStyle w:val="0"/>
            </w:pPr>
            <w:r>
              <w:rPr>
                <w:sz w:val="20"/>
              </w:rPr>
              <w:t xml:space="preserve">&gt;= 25 - &lt; 30</w:t>
            </w:r>
          </w:p>
        </w:tc>
        <w:tc>
          <w:tcPr>
            <w:tcW w:w="1247" w:type="dxa"/>
          </w:tcPr>
          <w:p>
            <w:pPr>
              <w:pStyle w:val="0"/>
            </w:pPr>
            <w:r>
              <w:rPr>
                <w:sz w:val="20"/>
              </w:rPr>
              <w:t xml:space="preserve">15</w:t>
            </w:r>
          </w:p>
        </w:tc>
      </w:tr>
      <w:tr>
        <w:tc>
          <w:tcPr>
            <w:vMerge w:val="continue"/>
          </w:tcPr>
          <w:p/>
        </w:tc>
        <w:tc>
          <w:tcPr>
            <w:vMerge w:val="continue"/>
          </w:tcPr>
          <w:p/>
        </w:tc>
        <w:tc>
          <w:tcPr>
            <w:tcW w:w="5529" w:type="dxa"/>
          </w:tcPr>
          <w:p>
            <w:pPr>
              <w:pStyle w:val="0"/>
            </w:pPr>
            <w:r>
              <w:rPr>
                <w:sz w:val="20"/>
              </w:rPr>
              <w:t xml:space="preserve">&gt;= 30 - &lt; 35</w:t>
            </w:r>
          </w:p>
        </w:tc>
        <w:tc>
          <w:tcPr>
            <w:tcW w:w="1247" w:type="dxa"/>
          </w:tcPr>
          <w:p>
            <w:pPr>
              <w:pStyle w:val="0"/>
            </w:pPr>
            <w:r>
              <w:rPr>
                <w:sz w:val="20"/>
              </w:rPr>
              <w:t xml:space="preserve">18</w:t>
            </w:r>
          </w:p>
        </w:tc>
      </w:tr>
      <w:tr>
        <w:tc>
          <w:tcPr>
            <w:vMerge w:val="continue"/>
          </w:tcPr>
          <w:p/>
        </w:tc>
        <w:tc>
          <w:tcPr>
            <w:vMerge w:val="continue"/>
          </w:tcPr>
          <w:p/>
        </w:tc>
        <w:tc>
          <w:tcPr>
            <w:tcW w:w="5529" w:type="dxa"/>
          </w:tcPr>
          <w:p>
            <w:pPr>
              <w:pStyle w:val="0"/>
            </w:pPr>
            <w:r>
              <w:rPr>
                <w:sz w:val="20"/>
              </w:rPr>
              <w:t xml:space="preserve">&gt;= 35 - &lt; 40</w:t>
            </w:r>
          </w:p>
        </w:tc>
        <w:tc>
          <w:tcPr>
            <w:tcW w:w="1247" w:type="dxa"/>
          </w:tcPr>
          <w:p>
            <w:pPr>
              <w:pStyle w:val="0"/>
            </w:pPr>
            <w:r>
              <w:rPr>
                <w:sz w:val="20"/>
              </w:rPr>
              <w:t xml:space="preserve">21</w:t>
            </w:r>
          </w:p>
        </w:tc>
      </w:tr>
      <w:tr>
        <w:tc>
          <w:tcPr>
            <w:vMerge w:val="continue"/>
          </w:tcPr>
          <w:p/>
        </w:tc>
        <w:tc>
          <w:tcPr>
            <w:vMerge w:val="continue"/>
          </w:tcPr>
          <w:p/>
        </w:tc>
        <w:tc>
          <w:tcPr>
            <w:tcW w:w="5529" w:type="dxa"/>
          </w:tcPr>
          <w:p>
            <w:pPr>
              <w:pStyle w:val="0"/>
            </w:pPr>
            <w:r>
              <w:rPr>
                <w:sz w:val="20"/>
              </w:rPr>
              <w:t xml:space="preserve">&gt;= 40 - &lt; 45</w:t>
            </w:r>
          </w:p>
        </w:tc>
        <w:tc>
          <w:tcPr>
            <w:tcW w:w="1247" w:type="dxa"/>
          </w:tcPr>
          <w:p>
            <w:pPr>
              <w:pStyle w:val="0"/>
            </w:pPr>
            <w:r>
              <w:rPr>
                <w:sz w:val="20"/>
              </w:rPr>
              <w:t xml:space="preserve">24</w:t>
            </w:r>
          </w:p>
        </w:tc>
      </w:tr>
      <w:tr>
        <w:tc>
          <w:tcPr>
            <w:vMerge w:val="continue"/>
          </w:tcPr>
          <w:p/>
        </w:tc>
        <w:tc>
          <w:tcPr>
            <w:vMerge w:val="continue"/>
          </w:tcPr>
          <w:p/>
        </w:tc>
        <w:tc>
          <w:tcPr>
            <w:tcW w:w="5529" w:type="dxa"/>
          </w:tcPr>
          <w:p>
            <w:pPr>
              <w:pStyle w:val="0"/>
            </w:pPr>
            <w:r>
              <w:rPr>
                <w:sz w:val="20"/>
              </w:rPr>
              <w:t xml:space="preserve">&gt;= 45 - &lt; 50</w:t>
            </w:r>
          </w:p>
        </w:tc>
        <w:tc>
          <w:tcPr>
            <w:tcW w:w="1247" w:type="dxa"/>
          </w:tcPr>
          <w:p>
            <w:pPr>
              <w:pStyle w:val="0"/>
            </w:pPr>
            <w:r>
              <w:rPr>
                <w:sz w:val="20"/>
              </w:rPr>
              <w:t xml:space="preserve">27</w:t>
            </w:r>
          </w:p>
        </w:tc>
      </w:tr>
      <w:tr>
        <w:tc>
          <w:tcPr>
            <w:vMerge w:val="continue"/>
          </w:tcPr>
          <w:p/>
        </w:tc>
        <w:tc>
          <w:tcPr>
            <w:vMerge w:val="continue"/>
          </w:tcPr>
          <w:p/>
        </w:tc>
        <w:tc>
          <w:tcPr>
            <w:tcW w:w="5529" w:type="dxa"/>
          </w:tcPr>
          <w:p>
            <w:pPr>
              <w:pStyle w:val="0"/>
            </w:pPr>
            <w:r>
              <w:rPr>
                <w:sz w:val="20"/>
              </w:rPr>
              <w:t xml:space="preserve">&gt;= 50</w:t>
            </w:r>
          </w:p>
        </w:tc>
        <w:tc>
          <w:tcPr>
            <w:tcW w:w="1247" w:type="dxa"/>
          </w:tcPr>
          <w:p>
            <w:pPr>
              <w:pStyle w:val="0"/>
            </w:pPr>
            <w:r>
              <w:rPr>
                <w:sz w:val="20"/>
              </w:rPr>
              <w:t xml:space="preserve">30</w:t>
            </w:r>
          </w:p>
        </w:tc>
      </w:tr>
      <w:tr>
        <w:tc>
          <w:tcPr>
            <w:tcW w:w="567" w:type="dxa"/>
            <w:vMerge w:val="restart"/>
          </w:tcPr>
          <w:p>
            <w:pPr>
              <w:pStyle w:val="0"/>
            </w:pPr>
            <w:r>
              <w:rPr>
                <w:sz w:val="20"/>
              </w:rPr>
              <w:t xml:space="preserve">2</w:t>
            </w:r>
          </w:p>
        </w:tc>
        <w:tc>
          <w:tcPr>
            <w:tcW w:w="3798" w:type="dxa"/>
            <w:vMerge w:val="restart"/>
          </w:tcPr>
          <w:p>
            <w:pPr>
              <w:pStyle w:val="0"/>
            </w:pPr>
            <w:r>
              <w:rPr>
                <w:sz w:val="20"/>
              </w:rPr>
              <w:t xml:space="preserve">Объем инвестиций в основной капитал по видам экономической деятельности </w:t>
            </w:r>
            <w:hyperlink w:history="0" r:id="rId34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видов деятельности, не относящихся к сфере ведения Минпромторга России)</w:t>
            </w:r>
          </w:p>
        </w:tc>
        <w:tc>
          <w:tcPr>
            <w:tcW w:w="5529" w:type="dxa"/>
          </w:tcPr>
          <w:p>
            <w:pPr>
              <w:pStyle w:val="0"/>
            </w:pPr>
            <w:r>
              <w:rPr>
                <w:sz w:val="20"/>
              </w:rPr>
              <w:t xml:space="preserve">Коэффициент: отношение объема инвестиций за 3 года (год получения Субсидии, год, следующий за годом получения Субсидии, и второй год, следующий за годом получения Субсидии) к максимальному размеру Субсидии (20 млн руб. в 2024 году)</w:t>
            </w:r>
          </w:p>
        </w:tc>
        <w:tc>
          <w:tcPr>
            <w:tcW w:w="1247" w:type="dxa"/>
          </w:tcPr>
          <w:p>
            <w:pPr>
              <w:pStyle w:val="0"/>
            </w:pPr>
            <w:r>
              <w:rPr>
                <w:sz w:val="20"/>
              </w:rPr>
              <w:t xml:space="preserve">баллы</w:t>
            </w:r>
          </w:p>
        </w:tc>
      </w:tr>
      <w:tr>
        <w:tc>
          <w:tcPr>
            <w:vMerge w:val="continue"/>
          </w:tcPr>
          <w:p/>
        </w:tc>
        <w:tc>
          <w:tcPr>
            <w:vMerge w:val="continue"/>
          </w:tcPr>
          <w:p/>
        </w:tc>
        <w:tc>
          <w:tcPr>
            <w:tcW w:w="5529" w:type="dxa"/>
          </w:tcPr>
          <w:p>
            <w:pPr>
              <w:pStyle w:val="0"/>
            </w:pPr>
            <w:r>
              <w:rPr>
                <w:sz w:val="20"/>
              </w:rPr>
              <w:t xml:space="preserve">&gt;= 0 - &lt; 5</w:t>
            </w:r>
          </w:p>
        </w:tc>
        <w:tc>
          <w:tcPr>
            <w:tcW w:w="1247" w:type="dxa"/>
          </w:tcPr>
          <w:p>
            <w:pPr>
              <w:pStyle w:val="0"/>
            </w:pPr>
            <w:r>
              <w:rPr>
                <w:sz w:val="20"/>
              </w:rPr>
              <w:t xml:space="preserve">0</w:t>
            </w:r>
          </w:p>
        </w:tc>
      </w:tr>
      <w:tr>
        <w:tc>
          <w:tcPr>
            <w:vMerge w:val="continue"/>
          </w:tcPr>
          <w:p/>
        </w:tc>
        <w:tc>
          <w:tcPr>
            <w:vMerge w:val="continue"/>
          </w:tcPr>
          <w:p/>
        </w:tc>
        <w:tc>
          <w:tcPr>
            <w:tcW w:w="5529" w:type="dxa"/>
          </w:tcPr>
          <w:p>
            <w:pPr>
              <w:pStyle w:val="0"/>
            </w:pPr>
            <w:r>
              <w:rPr>
                <w:sz w:val="20"/>
              </w:rPr>
              <w:t xml:space="preserve">&gt;= 5 - &lt; 10</w:t>
            </w:r>
          </w:p>
        </w:tc>
        <w:tc>
          <w:tcPr>
            <w:tcW w:w="1247" w:type="dxa"/>
          </w:tcPr>
          <w:p>
            <w:pPr>
              <w:pStyle w:val="0"/>
            </w:pPr>
            <w:r>
              <w:rPr>
                <w:sz w:val="20"/>
              </w:rPr>
              <w:t xml:space="preserve">3</w:t>
            </w:r>
          </w:p>
        </w:tc>
      </w:tr>
      <w:tr>
        <w:tc>
          <w:tcPr>
            <w:vMerge w:val="continue"/>
          </w:tcPr>
          <w:p/>
        </w:tc>
        <w:tc>
          <w:tcPr>
            <w:vMerge w:val="continue"/>
          </w:tcPr>
          <w:p/>
        </w:tc>
        <w:tc>
          <w:tcPr>
            <w:tcW w:w="5529" w:type="dxa"/>
          </w:tcPr>
          <w:p>
            <w:pPr>
              <w:pStyle w:val="0"/>
            </w:pPr>
            <w:r>
              <w:rPr>
                <w:sz w:val="20"/>
              </w:rPr>
              <w:t xml:space="preserve">&gt;= 10 - &lt; 15</w:t>
            </w:r>
          </w:p>
        </w:tc>
        <w:tc>
          <w:tcPr>
            <w:tcW w:w="1247" w:type="dxa"/>
          </w:tcPr>
          <w:p>
            <w:pPr>
              <w:pStyle w:val="0"/>
            </w:pPr>
            <w:r>
              <w:rPr>
                <w:sz w:val="20"/>
              </w:rPr>
              <w:t xml:space="preserve">6</w:t>
            </w:r>
          </w:p>
        </w:tc>
      </w:tr>
      <w:tr>
        <w:tc>
          <w:tcPr>
            <w:vMerge w:val="continue"/>
          </w:tcPr>
          <w:p/>
        </w:tc>
        <w:tc>
          <w:tcPr>
            <w:vMerge w:val="continue"/>
          </w:tcPr>
          <w:p/>
        </w:tc>
        <w:tc>
          <w:tcPr>
            <w:tcW w:w="5529" w:type="dxa"/>
          </w:tcPr>
          <w:p>
            <w:pPr>
              <w:pStyle w:val="0"/>
            </w:pPr>
            <w:r>
              <w:rPr>
                <w:sz w:val="20"/>
              </w:rPr>
              <w:t xml:space="preserve">&gt;= 15 - &lt; 20</w:t>
            </w:r>
          </w:p>
        </w:tc>
        <w:tc>
          <w:tcPr>
            <w:tcW w:w="1247" w:type="dxa"/>
          </w:tcPr>
          <w:p>
            <w:pPr>
              <w:pStyle w:val="0"/>
            </w:pPr>
            <w:r>
              <w:rPr>
                <w:sz w:val="20"/>
              </w:rPr>
              <w:t xml:space="preserve">9</w:t>
            </w:r>
          </w:p>
        </w:tc>
      </w:tr>
      <w:tr>
        <w:tc>
          <w:tcPr>
            <w:vMerge w:val="continue"/>
          </w:tcPr>
          <w:p/>
        </w:tc>
        <w:tc>
          <w:tcPr>
            <w:vMerge w:val="continue"/>
          </w:tcPr>
          <w:p/>
        </w:tc>
        <w:tc>
          <w:tcPr>
            <w:tcW w:w="5529" w:type="dxa"/>
          </w:tcPr>
          <w:p>
            <w:pPr>
              <w:pStyle w:val="0"/>
            </w:pPr>
            <w:r>
              <w:rPr>
                <w:sz w:val="20"/>
              </w:rPr>
              <w:t xml:space="preserve">&gt;= 20 - &lt; 25</w:t>
            </w:r>
          </w:p>
        </w:tc>
        <w:tc>
          <w:tcPr>
            <w:tcW w:w="1247" w:type="dxa"/>
          </w:tcPr>
          <w:p>
            <w:pPr>
              <w:pStyle w:val="0"/>
            </w:pPr>
            <w:r>
              <w:rPr>
                <w:sz w:val="20"/>
              </w:rPr>
              <w:t xml:space="preserve">12</w:t>
            </w:r>
          </w:p>
        </w:tc>
      </w:tr>
      <w:tr>
        <w:tc>
          <w:tcPr>
            <w:vMerge w:val="continue"/>
          </w:tcPr>
          <w:p/>
        </w:tc>
        <w:tc>
          <w:tcPr>
            <w:vMerge w:val="continue"/>
          </w:tcPr>
          <w:p/>
        </w:tc>
        <w:tc>
          <w:tcPr>
            <w:tcW w:w="5529" w:type="dxa"/>
          </w:tcPr>
          <w:p>
            <w:pPr>
              <w:pStyle w:val="0"/>
            </w:pPr>
            <w:r>
              <w:rPr>
                <w:sz w:val="20"/>
              </w:rPr>
              <w:t xml:space="preserve">&gt;= 25 - &lt; 30</w:t>
            </w:r>
          </w:p>
        </w:tc>
        <w:tc>
          <w:tcPr>
            <w:tcW w:w="1247" w:type="dxa"/>
          </w:tcPr>
          <w:p>
            <w:pPr>
              <w:pStyle w:val="0"/>
            </w:pPr>
            <w:r>
              <w:rPr>
                <w:sz w:val="20"/>
              </w:rPr>
              <w:t xml:space="preserve">15</w:t>
            </w:r>
          </w:p>
        </w:tc>
      </w:tr>
      <w:tr>
        <w:tc>
          <w:tcPr>
            <w:vMerge w:val="continue"/>
          </w:tcPr>
          <w:p/>
        </w:tc>
        <w:tc>
          <w:tcPr>
            <w:vMerge w:val="continue"/>
          </w:tcPr>
          <w:p/>
        </w:tc>
        <w:tc>
          <w:tcPr>
            <w:tcW w:w="5529" w:type="dxa"/>
          </w:tcPr>
          <w:p>
            <w:pPr>
              <w:pStyle w:val="0"/>
            </w:pPr>
            <w:r>
              <w:rPr>
                <w:sz w:val="20"/>
              </w:rPr>
              <w:t xml:space="preserve">&gt;= 30 - &lt; 35</w:t>
            </w:r>
          </w:p>
        </w:tc>
        <w:tc>
          <w:tcPr>
            <w:tcW w:w="1247" w:type="dxa"/>
          </w:tcPr>
          <w:p>
            <w:pPr>
              <w:pStyle w:val="0"/>
            </w:pPr>
            <w:r>
              <w:rPr>
                <w:sz w:val="20"/>
              </w:rPr>
              <w:t xml:space="preserve">18</w:t>
            </w:r>
          </w:p>
        </w:tc>
      </w:tr>
      <w:tr>
        <w:tc>
          <w:tcPr>
            <w:vMerge w:val="continue"/>
          </w:tcPr>
          <w:p/>
        </w:tc>
        <w:tc>
          <w:tcPr>
            <w:vMerge w:val="continue"/>
          </w:tcPr>
          <w:p/>
        </w:tc>
        <w:tc>
          <w:tcPr>
            <w:tcW w:w="5529" w:type="dxa"/>
          </w:tcPr>
          <w:p>
            <w:pPr>
              <w:pStyle w:val="0"/>
            </w:pPr>
            <w:r>
              <w:rPr>
                <w:sz w:val="20"/>
              </w:rPr>
              <w:t xml:space="preserve">&gt;= 35 - &lt; 40</w:t>
            </w:r>
          </w:p>
        </w:tc>
        <w:tc>
          <w:tcPr>
            <w:tcW w:w="1247" w:type="dxa"/>
          </w:tcPr>
          <w:p>
            <w:pPr>
              <w:pStyle w:val="0"/>
            </w:pPr>
            <w:r>
              <w:rPr>
                <w:sz w:val="20"/>
              </w:rPr>
              <w:t xml:space="preserve">21</w:t>
            </w:r>
          </w:p>
        </w:tc>
      </w:tr>
      <w:tr>
        <w:tc>
          <w:tcPr>
            <w:vMerge w:val="continue"/>
          </w:tcPr>
          <w:p/>
        </w:tc>
        <w:tc>
          <w:tcPr>
            <w:vMerge w:val="continue"/>
          </w:tcPr>
          <w:p/>
        </w:tc>
        <w:tc>
          <w:tcPr>
            <w:tcW w:w="5529" w:type="dxa"/>
          </w:tcPr>
          <w:p>
            <w:pPr>
              <w:pStyle w:val="0"/>
            </w:pPr>
            <w:r>
              <w:rPr>
                <w:sz w:val="20"/>
              </w:rPr>
              <w:t xml:space="preserve">&gt;= 40 - &lt; 45</w:t>
            </w:r>
          </w:p>
        </w:tc>
        <w:tc>
          <w:tcPr>
            <w:tcW w:w="1247" w:type="dxa"/>
          </w:tcPr>
          <w:p>
            <w:pPr>
              <w:pStyle w:val="0"/>
            </w:pPr>
            <w:r>
              <w:rPr>
                <w:sz w:val="20"/>
              </w:rPr>
              <w:t xml:space="preserve">24</w:t>
            </w:r>
          </w:p>
        </w:tc>
      </w:tr>
      <w:tr>
        <w:tc>
          <w:tcPr>
            <w:vMerge w:val="continue"/>
          </w:tcPr>
          <w:p/>
        </w:tc>
        <w:tc>
          <w:tcPr>
            <w:vMerge w:val="continue"/>
          </w:tcPr>
          <w:p/>
        </w:tc>
        <w:tc>
          <w:tcPr>
            <w:tcW w:w="5529" w:type="dxa"/>
          </w:tcPr>
          <w:p>
            <w:pPr>
              <w:pStyle w:val="0"/>
            </w:pPr>
            <w:r>
              <w:rPr>
                <w:sz w:val="20"/>
              </w:rPr>
              <w:t xml:space="preserve">&gt;= 45 - &lt; 50</w:t>
            </w:r>
          </w:p>
        </w:tc>
        <w:tc>
          <w:tcPr>
            <w:tcW w:w="1247" w:type="dxa"/>
          </w:tcPr>
          <w:p>
            <w:pPr>
              <w:pStyle w:val="0"/>
            </w:pPr>
            <w:r>
              <w:rPr>
                <w:sz w:val="20"/>
              </w:rPr>
              <w:t xml:space="preserve">27</w:t>
            </w:r>
          </w:p>
        </w:tc>
      </w:tr>
      <w:tr>
        <w:tc>
          <w:tcPr>
            <w:vMerge w:val="continue"/>
          </w:tcPr>
          <w:p/>
        </w:tc>
        <w:tc>
          <w:tcPr>
            <w:vMerge w:val="continue"/>
          </w:tcPr>
          <w:p/>
        </w:tc>
        <w:tc>
          <w:tcPr>
            <w:tcW w:w="5529" w:type="dxa"/>
          </w:tcPr>
          <w:p>
            <w:pPr>
              <w:pStyle w:val="0"/>
            </w:pPr>
            <w:r>
              <w:rPr>
                <w:sz w:val="20"/>
              </w:rPr>
              <w:t xml:space="preserve">&gt;= 50</w:t>
            </w:r>
          </w:p>
        </w:tc>
        <w:tc>
          <w:tcPr>
            <w:tcW w:w="1247" w:type="dxa"/>
          </w:tcPr>
          <w:p>
            <w:pPr>
              <w:pStyle w:val="0"/>
            </w:pPr>
            <w:r>
              <w:rPr>
                <w:sz w:val="20"/>
              </w:rPr>
              <w:t xml:space="preserve">30</w:t>
            </w:r>
          </w:p>
        </w:tc>
      </w:tr>
      <w:tr>
        <w:tc>
          <w:tcPr>
            <w:tcW w:w="567" w:type="dxa"/>
            <w:vMerge w:val="restart"/>
          </w:tcPr>
          <w:p>
            <w:pPr>
              <w:pStyle w:val="0"/>
            </w:pPr>
            <w:r>
              <w:rPr>
                <w:sz w:val="20"/>
              </w:rPr>
              <w:t xml:space="preserve">3</w:t>
            </w:r>
          </w:p>
        </w:tc>
        <w:tc>
          <w:tcPr>
            <w:tcW w:w="3798" w:type="dxa"/>
            <w:vMerge w:val="restart"/>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hyperlink w:history="0" r:id="rId34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 "C"</w:t>
              </w:r>
            </w:hyperlink>
            <w:r>
              <w:rPr>
                <w:sz w:val="20"/>
              </w:rPr>
              <w:t xml:space="preserve"> ОКВЭД (за исключением видов деятельности, не относящихся к сфере ведения Минпромторга России)</w:t>
            </w:r>
          </w:p>
        </w:tc>
        <w:tc>
          <w:tcPr>
            <w:tcW w:w="5529" w:type="dxa"/>
          </w:tcPr>
          <w:p>
            <w:pPr>
              <w:pStyle w:val="0"/>
            </w:pPr>
            <w:r>
              <w:rPr>
                <w:sz w:val="20"/>
              </w:rPr>
              <w:t xml:space="preserve">Коэффициент: отношение объема отгруженных товаров собственного производства, выполненных работ и услуг собственными силами (год получения Субсидии, год, следующий за годом получения Субсидии, и второй год, следующий за годом получения Субсидии) к максимальному размеру Субсидии (20 млн руб. в 2024 году)</w:t>
            </w:r>
          </w:p>
        </w:tc>
        <w:tc>
          <w:tcPr>
            <w:tcW w:w="1247" w:type="dxa"/>
          </w:tcPr>
          <w:p>
            <w:pPr>
              <w:pStyle w:val="0"/>
            </w:pPr>
            <w:r>
              <w:rPr>
                <w:sz w:val="20"/>
              </w:rPr>
              <w:t xml:space="preserve">баллы</w:t>
            </w:r>
          </w:p>
        </w:tc>
      </w:tr>
      <w:tr>
        <w:tc>
          <w:tcPr>
            <w:vMerge w:val="continue"/>
          </w:tcPr>
          <w:p/>
        </w:tc>
        <w:tc>
          <w:tcPr>
            <w:vMerge w:val="continue"/>
          </w:tcPr>
          <w:p/>
        </w:tc>
        <w:tc>
          <w:tcPr>
            <w:tcW w:w="5529" w:type="dxa"/>
          </w:tcPr>
          <w:p>
            <w:pPr>
              <w:pStyle w:val="0"/>
            </w:pPr>
            <w:r>
              <w:rPr>
                <w:sz w:val="20"/>
              </w:rPr>
              <w:t xml:space="preserve">&gt;= 0 - &lt; 5</w:t>
            </w:r>
          </w:p>
        </w:tc>
        <w:tc>
          <w:tcPr>
            <w:tcW w:w="1247" w:type="dxa"/>
          </w:tcPr>
          <w:p>
            <w:pPr>
              <w:pStyle w:val="0"/>
            </w:pPr>
            <w:r>
              <w:rPr>
                <w:sz w:val="20"/>
              </w:rPr>
              <w:t xml:space="preserve">0</w:t>
            </w:r>
          </w:p>
        </w:tc>
      </w:tr>
      <w:tr>
        <w:tc>
          <w:tcPr>
            <w:vMerge w:val="continue"/>
          </w:tcPr>
          <w:p/>
        </w:tc>
        <w:tc>
          <w:tcPr>
            <w:vMerge w:val="continue"/>
          </w:tcPr>
          <w:p/>
        </w:tc>
        <w:tc>
          <w:tcPr>
            <w:tcW w:w="5529" w:type="dxa"/>
          </w:tcPr>
          <w:p>
            <w:pPr>
              <w:pStyle w:val="0"/>
            </w:pPr>
            <w:r>
              <w:rPr>
                <w:sz w:val="20"/>
              </w:rPr>
              <w:t xml:space="preserve">&gt;= 5 - &lt; 10</w:t>
            </w:r>
          </w:p>
        </w:tc>
        <w:tc>
          <w:tcPr>
            <w:tcW w:w="1247" w:type="dxa"/>
          </w:tcPr>
          <w:p>
            <w:pPr>
              <w:pStyle w:val="0"/>
            </w:pPr>
            <w:r>
              <w:rPr>
                <w:sz w:val="20"/>
              </w:rPr>
              <w:t xml:space="preserve">3</w:t>
            </w:r>
          </w:p>
        </w:tc>
      </w:tr>
      <w:tr>
        <w:tc>
          <w:tcPr>
            <w:vMerge w:val="continue"/>
          </w:tcPr>
          <w:p/>
        </w:tc>
        <w:tc>
          <w:tcPr>
            <w:vMerge w:val="continue"/>
          </w:tcPr>
          <w:p/>
        </w:tc>
        <w:tc>
          <w:tcPr>
            <w:tcW w:w="5529" w:type="dxa"/>
          </w:tcPr>
          <w:p>
            <w:pPr>
              <w:pStyle w:val="0"/>
            </w:pPr>
            <w:r>
              <w:rPr>
                <w:sz w:val="20"/>
              </w:rPr>
              <w:t xml:space="preserve">&gt;= 10 - &lt; 15</w:t>
            </w:r>
          </w:p>
        </w:tc>
        <w:tc>
          <w:tcPr>
            <w:tcW w:w="1247" w:type="dxa"/>
          </w:tcPr>
          <w:p>
            <w:pPr>
              <w:pStyle w:val="0"/>
            </w:pPr>
            <w:r>
              <w:rPr>
                <w:sz w:val="20"/>
              </w:rPr>
              <w:t xml:space="preserve">6</w:t>
            </w:r>
          </w:p>
        </w:tc>
      </w:tr>
      <w:tr>
        <w:tc>
          <w:tcPr>
            <w:vMerge w:val="continue"/>
          </w:tcPr>
          <w:p/>
        </w:tc>
        <w:tc>
          <w:tcPr>
            <w:vMerge w:val="continue"/>
          </w:tcPr>
          <w:p/>
        </w:tc>
        <w:tc>
          <w:tcPr>
            <w:tcW w:w="5529" w:type="dxa"/>
          </w:tcPr>
          <w:p>
            <w:pPr>
              <w:pStyle w:val="0"/>
            </w:pPr>
            <w:r>
              <w:rPr>
                <w:sz w:val="20"/>
              </w:rPr>
              <w:t xml:space="preserve">&gt;= 15 - &lt; 20</w:t>
            </w:r>
          </w:p>
        </w:tc>
        <w:tc>
          <w:tcPr>
            <w:tcW w:w="1247" w:type="dxa"/>
          </w:tcPr>
          <w:p>
            <w:pPr>
              <w:pStyle w:val="0"/>
            </w:pPr>
            <w:r>
              <w:rPr>
                <w:sz w:val="20"/>
              </w:rPr>
              <w:t xml:space="preserve">9</w:t>
            </w:r>
          </w:p>
        </w:tc>
      </w:tr>
      <w:tr>
        <w:tc>
          <w:tcPr>
            <w:vMerge w:val="continue"/>
          </w:tcPr>
          <w:p/>
        </w:tc>
        <w:tc>
          <w:tcPr>
            <w:vMerge w:val="continue"/>
          </w:tcPr>
          <w:p/>
        </w:tc>
        <w:tc>
          <w:tcPr>
            <w:tcW w:w="5529" w:type="dxa"/>
          </w:tcPr>
          <w:p>
            <w:pPr>
              <w:pStyle w:val="0"/>
            </w:pPr>
            <w:r>
              <w:rPr>
                <w:sz w:val="20"/>
              </w:rPr>
              <w:t xml:space="preserve">&gt;= 20 - &lt; 25</w:t>
            </w:r>
          </w:p>
        </w:tc>
        <w:tc>
          <w:tcPr>
            <w:tcW w:w="1247" w:type="dxa"/>
          </w:tcPr>
          <w:p>
            <w:pPr>
              <w:pStyle w:val="0"/>
            </w:pPr>
            <w:r>
              <w:rPr>
                <w:sz w:val="20"/>
              </w:rPr>
              <w:t xml:space="preserve">12</w:t>
            </w:r>
          </w:p>
        </w:tc>
      </w:tr>
      <w:tr>
        <w:tc>
          <w:tcPr>
            <w:vMerge w:val="continue"/>
          </w:tcPr>
          <w:p/>
        </w:tc>
        <w:tc>
          <w:tcPr>
            <w:vMerge w:val="continue"/>
          </w:tcPr>
          <w:p/>
        </w:tc>
        <w:tc>
          <w:tcPr>
            <w:tcW w:w="5529" w:type="dxa"/>
          </w:tcPr>
          <w:p>
            <w:pPr>
              <w:pStyle w:val="0"/>
            </w:pPr>
            <w:r>
              <w:rPr>
                <w:sz w:val="20"/>
              </w:rPr>
              <w:t xml:space="preserve">&gt;= 25 - &lt; 30</w:t>
            </w:r>
          </w:p>
        </w:tc>
        <w:tc>
          <w:tcPr>
            <w:tcW w:w="1247" w:type="dxa"/>
          </w:tcPr>
          <w:p>
            <w:pPr>
              <w:pStyle w:val="0"/>
            </w:pPr>
            <w:r>
              <w:rPr>
                <w:sz w:val="20"/>
              </w:rPr>
              <w:t xml:space="preserve">15</w:t>
            </w:r>
          </w:p>
        </w:tc>
      </w:tr>
      <w:tr>
        <w:tc>
          <w:tcPr>
            <w:vMerge w:val="continue"/>
          </w:tcPr>
          <w:p/>
        </w:tc>
        <w:tc>
          <w:tcPr>
            <w:vMerge w:val="continue"/>
          </w:tcPr>
          <w:p/>
        </w:tc>
        <w:tc>
          <w:tcPr>
            <w:tcW w:w="5529" w:type="dxa"/>
          </w:tcPr>
          <w:p>
            <w:pPr>
              <w:pStyle w:val="0"/>
            </w:pPr>
            <w:r>
              <w:rPr>
                <w:sz w:val="20"/>
              </w:rPr>
              <w:t xml:space="preserve">&gt;= 30 - &lt; 35</w:t>
            </w:r>
          </w:p>
        </w:tc>
        <w:tc>
          <w:tcPr>
            <w:tcW w:w="1247" w:type="dxa"/>
          </w:tcPr>
          <w:p>
            <w:pPr>
              <w:pStyle w:val="0"/>
            </w:pPr>
            <w:r>
              <w:rPr>
                <w:sz w:val="20"/>
              </w:rPr>
              <w:t xml:space="preserve">18</w:t>
            </w:r>
          </w:p>
        </w:tc>
      </w:tr>
      <w:tr>
        <w:tc>
          <w:tcPr>
            <w:vMerge w:val="continue"/>
          </w:tcPr>
          <w:p/>
        </w:tc>
        <w:tc>
          <w:tcPr>
            <w:vMerge w:val="continue"/>
          </w:tcPr>
          <w:p/>
        </w:tc>
        <w:tc>
          <w:tcPr>
            <w:tcW w:w="5529" w:type="dxa"/>
          </w:tcPr>
          <w:p>
            <w:pPr>
              <w:pStyle w:val="0"/>
            </w:pPr>
            <w:r>
              <w:rPr>
                <w:sz w:val="20"/>
              </w:rPr>
              <w:t xml:space="preserve">&gt;= 35 - &lt; 40</w:t>
            </w:r>
          </w:p>
        </w:tc>
        <w:tc>
          <w:tcPr>
            <w:tcW w:w="1247" w:type="dxa"/>
          </w:tcPr>
          <w:p>
            <w:pPr>
              <w:pStyle w:val="0"/>
            </w:pPr>
            <w:r>
              <w:rPr>
                <w:sz w:val="20"/>
              </w:rPr>
              <w:t xml:space="preserve">21</w:t>
            </w:r>
          </w:p>
        </w:tc>
      </w:tr>
      <w:tr>
        <w:tc>
          <w:tcPr>
            <w:vMerge w:val="continue"/>
          </w:tcPr>
          <w:p/>
        </w:tc>
        <w:tc>
          <w:tcPr>
            <w:vMerge w:val="continue"/>
          </w:tcPr>
          <w:p/>
        </w:tc>
        <w:tc>
          <w:tcPr>
            <w:tcW w:w="5529" w:type="dxa"/>
          </w:tcPr>
          <w:p>
            <w:pPr>
              <w:pStyle w:val="0"/>
            </w:pPr>
            <w:r>
              <w:rPr>
                <w:sz w:val="20"/>
              </w:rPr>
              <w:t xml:space="preserve">&gt;= 40 - &lt; 45</w:t>
            </w:r>
          </w:p>
        </w:tc>
        <w:tc>
          <w:tcPr>
            <w:tcW w:w="1247" w:type="dxa"/>
          </w:tcPr>
          <w:p>
            <w:pPr>
              <w:pStyle w:val="0"/>
            </w:pPr>
            <w:r>
              <w:rPr>
                <w:sz w:val="20"/>
              </w:rPr>
              <w:t xml:space="preserve">24</w:t>
            </w:r>
          </w:p>
        </w:tc>
      </w:tr>
      <w:tr>
        <w:tc>
          <w:tcPr>
            <w:vMerge w:val="continue"/>
          </w:tcPr>
          <w:p/>
        </w:tc>
        <w:tc>
          <w:tcPr>
            <w:vMerge w:val="continue"/>
          </w:tcPr>
          <w:p/>
        </w:tc>
        <w:tc>
          <w:tcPr>
            <w:tcW w:w="5529" w:type="dxa"/>
          </w:tcPr>
          <w:p>
            <w:pPr>
              <w:pStyle w:val="0"/>
            </w:pPr>
            <w:r>
              <w:rPr>
                <w:sz w:val="20"/>
              </w:rPr>
              <w:t xml:space="preserve">&gt;= 45 - &lt; 50</w:t>
            </w:r>
          </w:p>
        </w:tc>
        <w:tc>
          <w:tcPr>
            <w:tcW w:w="1247" w:type="dxa"/>
          </w:tcPr>
          <w:p>
            <w:pPr>
              <w:pStyle w:val="0"/>
            </w:pPr>
            <w:r>
              <w:rPr>
                <w:sz w:val="20"/>
              </w:rPr>
              <w:t xml:space="preserve">27</w:t>
            </w:r>
          </w:p>
        </w:tc>
      </w:tr>
      <w:tr>
        <w:tc>
          <w:tcPr>
            <w:vMerge w:val="continue"/>
          </w:tcPr>
          <w:p/>
        </w:tc>
        <w:tc>
          <w:tcPr>
            <w:vMerge w:val="continue"/>
          </w:tcPr>
          <w:p/>
        </w:tc>
        <w:tc>
          <w:tcPr>
            <w:tcW w:w="5529" w:type="dxa"/>
          </w:tcPr>
          <w:p>
            <w:pPr>
              <w:pStyle w:val="0"/>
            </w:pPr>
            <w:r>
              <w:rPr>
                <w:sz w:val="20"/>
              </w:rPr>
              <w:t xml:space="preserve">&gt;= 50</w:t>
            </w:r>
          </w:p>
        </w:tc>
        <w:tc>
          <w:tcPr>
            <w:tcW w:w="1247" w:type="dxa"/>
          </w:tcPr>
          <w:p>
            <w:pPr>
              <w:pStyle w:val="0"/>
            </w:pPr>
            <w:r>
              <w:rPr>
                <w:sz w:val="20"/>
              </w:rPr>
              <w:t xml:space="preserve">30</w:t>
            </w:r>
          </w:p>
        </w:tc>
      </w:tr>
      <w:tr>
        <w:tc>
          <w:tcPr>
            <w:tcW w:w="567" w:type="dxa"/>
          </w:tcPr>
          <w:p>
            <w:pPr>
              <w:pStyle w:val="0"/>
            </w:pPr>
            <w:r>
              <w:rPr>
                <w:sz w:val="20"/>
              </w:rPr>
              <w:t xml:space="preserve">4</w:t>
            </w:r>
          </w:p>
        </w:tc>
        <w:tc>
          <w:tcPr>
            <w:tcW w:w="3798" w:type="dxa"/>
          </w:tcPr>
          <w:p>
            <w:pPr>
              <w:pStyle w:val="0"/>
            </w:pPr>
            <w:r>
              <w:rPr>
                <w:sz w:val="20"/>
              </w:rPr>
              <w:t xml:space="preserve">Обеспечение импортозамещения на территории Московской области</w:t>
            </w:r>
          </w:p>
        </w:tc>
        <w:tc>
          <w:tcPr>
            <w:gridSpan w:val="2"/>
            <w:tcW w:w="6776" w:type="dxa"/>
          </w:tcPr>
          <w:p>
            <w:pPr>
              <w:pStyle w:val="0"/>
            </w:pPr>
            <w:r>
              <w:rPr>
                <w:sz w:val="20"/>
              </w:rPr>
              <w:t xml:space="preserve">5 баллов - Оборудование приобретается для осуществления видов деятельности, включенных в </w:t>
            </w:r>
            <w:hyperlink w:history="0" r:id="rId344"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Перечень</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N 32/2022-ОЗ</w:t>
            </w:r>
          </w:p>
        </w:tc>
      </w:tr>
      <w:tr>
        <w:tc>
          <w:tcPr>
            <w:tcW w:w="567" w:type="dxa"/>
          </w:tcPr>
          <w:p>
            <w:pPr>
              <w:pStyle w:val="0"/>
            </w:pPr>
            <w:r>
              <w:rPr>
                <w:sz w:val="20"/>
              </w:rPr>
              <w:t xml:space="preserve">5</w:t>
            </w:r>
          </w:p>
        </w:tc>
        <w:tc>
          <w:tcPr>
            <w:tcW w:w="3798" w:type="dxa"/>
          </w:tcPr>
          <w:p>
            <w:pPr>
              <w:pStyle w:val="0"/>
            </w:pPr>
            <w:r>
              <w:rPr>
                <w:sz w:val="20"/>
              </w:rPr>
              <w:t xml:space="preserve">Местонахождение и/или место ведения деятельности участника Конкурса</w:t>
            </w:r>
          </w:p>
        </w:tc>
        <w:tc>
          <w:tcPr>
            <w:gridSpan w:val="2"/>
            <w:tcW w:w="6776" w:type="dxa"/>
          </w:tcPr>
          <w:p>
            <w:pPr>
              <w:pStyle w:val="0"/>
            </w:pPr>
            <w:r>
              <w:rPr>
                <w:sz w:val="20"/>
              </w:rPr>
              <w:t xml:space="preserve">20 баллов - местонахождение и (или) место ведения деятельности участника Конкурса на территории отдаленных городских округов: Волоколамский, Зарайск, Лосино-Петровский, Лотошино, Луховицы, Орехово-Зуевский, Серебряные Пруды, Талдомский, Шатура, Шаховская</w:t>
            </w:r>
          </w:p>
        </w:tc>
      </w:tr>
      <w:tr>
        <w:tc>
          <w:tcPr>
            <w:tcW w:w="567" w:type="dxa"/>
          </w:tcPr>
          <w:p>
            <w:pPr>
              <w:pStyle w:val="0"/>
            </w:pPr>
            <w:r>
              <w:rPr>
                <w:sz w:val="20"/>
              </w:rPr>
              <w:t xml:space="preserve">6</w:t>
            </w:r>
          </w:p>
        </w:tc>
        <w:tc>
          <w:tcPr>
            <w:tcW w:w="3798" w:type="dxa"/>
          </w:tcPr>
          <w:p>
            <w:pPr>
              <w:pStyle w:val="0"/>
            </w:pPr>
            <w:r>
              <w:rPr>
                <w:sz w:val="20"/>
              </w:rPr>
              <w:t xml:space="preserve">Наличие участника Конкурса в реестре подмосковных производителей, предусмотренном Региональной </w:t>
            </w:r>
            <w:hyperlink w:history="0" r:id="rId345"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 {КонсультантПлюс}">
              <w:r>
                <w:rPr>
                  <w:sz w:val="20"/>
                  <w:color w:val="0000ff"/>
                </w:rPr>
                <w:t xml:space="preserve">программой</w:t>
              </w:r>
            </w:hyperlink>
            <w:r>
              <w:rPr>
                <w:sz w:val="20"/>
              </w:rPr>
              <w:t xml:space="preserve"> по поддержке и продвижению брендов Московской области "100% Подмосковье", утвержденной распоряжением Правительства Московской области от 30.10.2023 N 780-РП (далее - Реестр "100% Подмосковье")</w:t>
            </w:r>
          </w:p>
        </w:tc>
        <w:tc>
          <w:tcPr>
            <w:gridSpan w:val="2"/>
            <w:tcW w:w="6776" w:type="dxa"/>
          </w:tcPr>
          <w:p>
            <w:pPr>
              <w:pStyle w:val="0"/>
            </w:pPr>
            <w:r>
              <w:rPr>
                <w:sz w:val="20"/>
              </w:rPr>
              <w:t xml:space="preserve">10 баллов - наличие участника Конкурса в Реестре "100% Подмосковье"</w:t>
            </w:r>
          </w:p>
        </w:tc>
      </w:tr>
    </w:tbl>
    <w:p>
      <w:pPr>
        <w:sectPr>
          <w:headerReference w:type="default" r:id="rId148"/>
          <w:headerReference w:type="first" r:id="rId148"/>
          <w:footerReference w:type="default" r:id="rId149"/>
          <w:footerReference w:type="first" r:id="rId149"/>
          <w:pgSz w:w="16838" w:h="11906" w:orient="landscape"/>
          <w:pgMar w:top="1133" w:right="1440" w:bottom="566" w:left="1440" w:header="0" w:footer="0" w:gutter="0"/>
          <w:titlePg/>
        </w:sectPr>
      </w:pPr>
    </w:p>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4722" w:name="P4722"/>
    <w:bookmarkEnd w:id="4722"/>
    <w:p>
      <w:pPr>
        <w:pStyle w:val="2"/>
        <w:jc w:val="center"/>
      </w:pPr>
      <w:r>
        <w:rPr>
          <w:sz w:val="20"/>
        </w:rPr>
        <w:t xml:space="preserve">ПЕРЕЧЕНЬ</w:t>
      </w:r>
    </w:p>
    <w:p>
      <w:pPr>
        <w:pStyle w:val="2"/>
        <w:jc w:val="center"/>
      </w:pPr>
      <w:r>
        <w:rPr>
          <w:sz w:val="20"/>
        </w:rPr>
        <w:t xml:space="preserve">ДОКУМЕНТОВ, ПРЕДСТАВЛЯЕМЫХ УЧАСТНИКАМИ КОНКУРСА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Описание требований к документам и форма их представления участниками Конкурса установлены в </w:t>
      </w:r>
      <w:hyperlink w:history="0" w:anchor="P4774" w:tooltip="ОПИСАНИЕ">
        <w:r>
          <w:rPr>
            <w:sz w:val="20"/>
            <w:color w:val="0000ff"/>
          </w:rPr>
          <w:t xml:space="preserve">таблице 3</w:t>
        </w:r>
      </w:hyperlink>
      <w:r>
        <w:rPr>
          <w:sz w:val="20"/>
        </w:rPr>
        <w:t xml:space="preserve"> к Порядку.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 п/п</w:t>
            </w:r>
          </w:p>
        </w:tc>
        <w:tc>
          <w:tcPr>
            <w:tcW w:w="8504" w:type="dxa"/>
          </w:tcPr>
          <w:p>
            <w:pPr>
              <w:pStyle w:val="0"/>
              <w:jc w:val="center"/>
            </w:pPr>
            <w:r>
              <w:rPr>
                <w:sz w:val="20"/>
              </w:rPr>
              <w:t xml:space="preserve">Наименование документа</w:t>
            </w:r>
          </w:p>
        </w:tc>
      </w:tr>
      <w:tr>
        <w:tc>
          <w:tcPr>
            <w:tcW w:w="567" w:type="dxa"/>
          </w:tcPr>
          <w:p>
            <w:pPr>
              <w:pStyle w:val="0"/>
              <w:jc w:val="center"/>
            </w:pPr>
            <w:r>
              <w:rPr>
                <w:sz w:val="20"/>
              </w:rPr>
              <w:t xml:space="preserve">1</w:t>
            </w:r>
          </w:p>
        </w:tc>
        <w:tc>
          <w:tcPr>
            <w:tcW w:w="8504" w:type="dxa"/>
          </w:tcPr>
          <w:p>
            <w:pPr>
              <w:pStyle w:val="0"/>
              <w:jc w:val="center"/>
            </w:pPr>
            <w:r>
              <w:rPr>
                <w:sz w:val="20"/>
              </w:rPr>
              <w:t xml:space="preserve">2</w:t>
            </w:r>
          </w:p>
        </w:tc>
      </w:tr>
      <w:tr>
        <w:tc>
          <w:tcPr>
            <w:tcW w:w="567" w:type="dxa"/>
          </w:tcPr>
          <w:p>
            <w:pPr>
              <w:pStyle w:val="0"/>
            </w:pPr>
            <w:r>
              <w:rPr>
                <w:sz w:val="20"/>
              </w:rPr>
              <w:t xml:space="preserve">1</w:t>
            </w:r>
          </w:p>
        </w:tc>
        <w:tc>
          <w:tcPr>
            <w:tcW w:w="8504" w:type="dxa"/>
          </w:tcPr>
          <w:p>
            <w:pPr>
              <w:pStyle w:val="0"/>
            </w:pPr>
            <w:r>
              <w:rPr>
                <w:sz w:val="20"/>
              </w:rPr>
              <w:t xml:space="preserve">Заявление/заявка на предоставление Субсидии, форма которой утверждается Мининвестом Московской области</w:t>
            </w:r>
          </w:p>
        </w:tc>
      </w:tr>
      <w:tr>
        <w:tc>
          <w:tcPr>
            <w:tcW w:w="567" w:type="dxa"/>
          </w:tcPr>
          <w:p>
            <w:pPr>
              <w:pStyle w:val="0"/>
            </w:pPr>
            <w:r>
              <w:rPr>
                <w:sz w:val="20"/>
              </w:rPr>
              <w:t xml:space="preserve">2</w:t>
            </w:r>
          </w:p>
        </w:tc>
        <w:tc>
          <w:tcPr>
            <w:tcW w:w="8504" w:type="dxa"/>
          </w:tcPr>
          <w:p>
            <w:pPr>
              <w:pStyle w:val="0"/>
            </w:pPr>
            <w:r>
              <w:rPr>
                <w:sz w:val="20"/>
              </w:rPr>
              <w:t xml:space="preserve">Документ, удостоверяющий личность руководителя участника Конкурса</w:t>
            </w:r>
          </w:p>
        </w:tc>
      </w:tr>
      <w:tr>
        <w:tc>
          <w:tcPr>
            <w:tcW w:w="567" w:type="dxa"/>
          </w:tcPr>
          <w:p>
            <w:pPr>
              <w:pStyle w:val="0"/>
            </w:pPr>
            <w:r>
              <w:rPr>
                <w:sz w:val="20"/>
              </w:rPr>
              <w:t xml:space="preserve">3</w:t>
            </w:r>
          </w:p>
        </w:tc>
        <w:tc>
          <w:tcPr>
            <w:tcW w:w="8504" w:type="dxa"/>
          </w:tcPr>
          <w:p>
            <w:pPr>
              <w:pStyle w:val="0"/>
            </w:pPr>
            <w:r>
              <w:rPr>
                <w:sz w:val="20"/>
              </w:rPr>
              <w:t xml:space="preserve">Документы, представляемые в случае подачи заявки иным представителем, чем руководитель участника Конкурса:</w:t>
            </w:r>
          </w:p>
        </w:tc>
      </w:tr>
      <w:tr>
        <w:tc>
          <w:tcPr>
            <w:tcW w:w="567" w:type="dxa"/>
          </w:tcPr>
          <w:p>
            <w:pPr>
              <w:pStyle w:val="0"/>
            </w:pPr>
            <w:r>
              <w:rPr>
                <w:sz w:val="20"/>
              </w:rPr>
              <w:t xml:space="preserve">3.1</w:t>
            </w:r>
          </w:p>
        </w:tc>
        <w:tc>
          <w:tcPr>
            <w:tcW w:w="8504" w:type="dxa"/>
          </w:tcPr>
          <w:p>
            <w:pPr>
              <w:pStyle w:val="0"/>
            </w:pPr>
            <w:r>
              <w:rPr>
                <w:sz w:val="20"/>
              </w:rPr>
              <w:t xml:space="preserve">Доверенность, подтверждающая полномочия представителя участника Конкурса</w:t>
            </w:r>
          </w:p>
        </w:tc>
      </w:tr>
      <w:tr>
        <w:tc>
          <w:tcPr>
            <w:tcW w:w="567" w:type="dxa"/>
          </w:tcPr>
          <w:p>
            <w:pPr>
              <w:pStyle w:val="0"/>
            </w:pPr>
            <w:r>
              <w:rPr>
                <w:sz w:val="20"/>
              </w:rPr>
              <w:t xml:space="preserve">3.2</w:t>
            </w:r>
          </w:p>
        </w:tc>
        <w:tc>
          <w:tcPr>
            <w:tcW w:w="8504" w:type="dxa"/>
          </w:tcPr>
          <w:p>
            <w:pPr>
              <w:pStyle w:val="0"/>
            </w:pPr>
            <w:r>
              <w:rPr>
                <w:sz w:val="20"/>
              </w:rPr>
              <w:t xml:space="preserve">Документ, удостоверяющий личность представителя участника Конкурса</w:t>
            </w:r>
          </w:p>
        </w:tc>
      </w:tr>
      <w:tr>
        <w:tc>
          <w:tcPr>
            <w:tcW w:w="567" w:type="dxa"/>
          </w:tcPr>
          <w:p>
            <w:pPr>
              <w:pStyle w:val="0"/>
            </w:pPr>
            <w:r>
              <w:rPr>
                <w:sz w:val="20"/>
              </w:rPr>
              <w:t xml:space="preserve">4</w:t>
            </w:r>
          </w:p>
        </w:tc>
        <w:tc>
          <w:tcPr>
            <w:tcW w:w="8504" w:type="dxa"/>
          </w:tcPr>
          <w:p>
            <w:pPr>
              <w:pStyle w:val="0"/>
            </w:pPr>
            <w:r>
              <w:rPr>
                <w:sz w:val="20"/>
              </w:rPr>
              <w:t xml:space="preserve">Договор (в том числе счет-договор) на приобретение основных средств</w:t>
            </w:r>
          </w:p>
        </w:tc>
      </w:tr>
      <w:tr>
        <w:tc>
          <w:tcPr>
            <w:tcW w:w="567" w:type="dxa"/>
          </w:tcPr>
          <w:p>
            <w:pPr>
              <w:pStyle w:val="0"/>
            </w:pPr>
            <w:r>
              <w:rPr>
                <w:sz w:val="20"/>
              </w:rPr>
              <w:t xml:space="preserve">5</w:t>
            </w:r>
          </w:p>
        </w:tc>
        <w:tc>
          <w:tcPr>
            <w:tcW w:w="8504" w:type="dxa"/>
          </w:tcPr>
          <w:p>
            <w:pPr>
              <w:pStyle w:val="0"/>
            </w:pPr>
            <w:r>
              <w:rPr>
                <w:sz w:val="20"/>
              </w:rPr>
              <w:t xml:space="preserve">Платежное(ые) поручение(я) и (или) Банковский ордер</w:t>
            </w:r>
          </w:p>
        </w:tc>
      </w:tr>
      <w:tr>
        <w:tc>
          <w:tcPr>
            <w:tcW w:w="567" w:type="dxa"/>
          </w:tcPr>
          <w:p>
            <w:pPr>
              <w:pStyle w:val="0"/>
            </w:pPr>
            <w:r>
              <w:rPr>
                <w:sz w:val="20"/>
              </w:rPr>
              <w:t xml:space="preserve">6</w:t>
            </w:r>
          </w:p>
        </w:tc>
        <w:tc>
          <w:tcPr>
            <w:tcW w:w="8504" w:type="dxa"/>
          </w:tcPr>
          <w:p>
            <w:pPr>
              <w:pStyle w:val="0"/>
            </w:pPr>
            <w:r>
              <w:rPr>
                <w:sz w:val="20"/>
              </w:rPr>
              <w:t xml:space="preserve">Выписка банка, подтверждающая оплату по договору</w:t>
            </w:r>
          </w:p>
        </w:tc>
      </w:tr>
      <w:tr>
        <w:tc>
          <w:tcPr>
            <w:tcW w:w="567" w:type="dxa"/>
          </w:tcPr>
          <w:p>
            <w:pPr>
              <w:pStyle w:val="0"/>
            </w:pPr>
            <w:r>
              <w:rPr>
                <w:sz w:val="20"/>
              </w:rPr>
              <w:t xml:space="preserve">7</w:t>
            </w:r>
          </w:p>
        </w:tc>
        <w:tc>
          <w:tcPr>
            <w:tcW w:w="8504" w:type="dxa"/>
          </w:tcPr>
          <w:p>
            <w:pPr>
              <w:pStyle w:val="0"/>
            </w:pPr>
            <w:r>
              <w:rPr>
                <w:sz w:val="2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tc>
          <w:tcPr>
            <w:tcW w:w="567" w:type="dxa"/>
          </w:tcPr>
          <w:p>
            <w:pPr>
              <w:pStyle w:val="0"/>
            </w:pPr>
            <w:r>
              <w:rPr>
                <w:sz w:val="20"/>
              </w:rPr>
              <w:t xml:space="preserve">8</w:t>
            </w:r>
          </w:p>
        </w:tc>
        <w:tc>
          <w:tcPr>
            <w:tcW w:w="8504" w:type="dxa"/>
          </w:tcPr>
          <w:p>
            <w:pPr>
              <w:pStyle w:val="0"/>
            </w:pPr>
            <w:r>
              <w:rPr>
                <w:sz w:val="20"/>
              </w:rPr>
              <w:t xml:space="preserve">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tc>
      </w:tr>
      <w:tr>
        <w:tc>
          <w:tcPr>
            <w:tcW w:w="567" w:type="dxa"/>
          </w:tcPr>
          <w:p>
            <w:pPr>
              <w:pStyle w:val="0"/>
            </w:pPr>
            <w:r>
              <w:rPr>
                <w:sz w:val="20"/>
              </w:rPr>
              <w:t xml:space="preserve">9</w:t>
            </w:r>
          </w:p>
        </w:tc>
        <w:tc>
          <w:tcPr>
            <w:tcW w:w="8504" w:type="dxa"/>
          </w:tcPr>
          <w:p>
            <w:pPr>
              <w:pStyle w:val="0"/>
            </w:pPr>
            <w:r>
              <w:rPr>
                <w:sz w:val="20"/>
              </w:rPr>
              <w:t xml:space="preserve">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r>
      <w:tr>
        <w:tc>
          <w:tcPr>
            <w:tcW w:w="567" w:type="dxa"/>
          </w:tcPr>
          <w:p>
            <w:pPr>
              <w:pStyle w:val="0"/>
            </w:pPr>
            <w:r>
              <w:rPr>
                <w:sz w:val="20"/>
              </w:rPr>
              <w:t xml:space="preserve">10</w:t>
            </w:r>
          </w:p>
        </w:tc>
        <w:tc>
          <w:tcPr>
            <w:tcW w:w="8504" w:type="dxa"/>
          </w:tcPr>
          <w:p>
            <w:pPr>
              <w:pStyle w:val="0"/>
            </w:pPr>
            <w:r>
              <w:rPr>
                <w:sz w:val="20"/>
              </w:rPr>
              <w:t xml:space="preserve">Товарная накладная (форма ТОРГ-12) либо универсальный передаточный документ (УПД)</w:t>
            </w:r>
          </w:p>
        </w:tc>
      </w:tr>
      <w:tr>
        <w:tc>
          <w:tcPr>
            <w:tcW w:w="567" w:type="dxa"/>
          </w:tcPr>
          <w:p>
            <w:pPr>
              <w:pStyle w:val="0"/>
            </w:pPr>
            <w:r>
              <w:rPr>
                <w:sz w:val="20"/>
              </w:rPr>
              <w:t xml:space="preserve">11</w:t>
            </w:r>
          </w:p>
        </w:tc>
        <w:tc>
          <w:tcPr>
            <w:tcW w:w="8504" w:type="dxa"/>
          </w:tcPr>
          <w:p>
            <w:pPr>
              <w:pStyle w:val="0"/>
            </w:pPr>
            <w:r>
              <w:rPr>
                <w:sz w:val="20"/>
              </w:rPr>
              <w:t xml:space="preserve">Бухгалтерские документы о постановке основных средств на баланс (ОС-1 или ОС-1б)</w:t>
            </w:r>
          </w:p>
        </w:tc>
      </w:tr>
      <w:tr>
        <w:tc>
          <w:tcPr>
            <w:tcW w:w="567" w:type="dxa"/>
          </w:tcPr>
          <w:p>
            <w:pPr>
              <w:pStyle w:val="0"/>
            </w:pPr>
            <w:r>
              <w:rPr>
                <w:sz w:val="20"/>
              </w:rPr>
              <w:t xml:space="preserve">12</w:t>
            </w:r>
          </w:p>
        </w:tc>
        <w:tc>
          <w:tcPr>
            <w:tcW w:w="8504" w:type="dxa"/>
          </w:tcPr>
          <w:p>
            <w:pPr>
              <w:pStyle w:val="0"/>
            </w:pPr>
            <w:r>
              <w:rPr>
                <w:sz w:val="20"/>
              </w:rPr>
              <w:t xml:space="preserve">Для транспортных средств и самоходных машин:</w:t>
            </w:r>
          </w:p>
          <w:p>
            <w:pPr>
              <w:pStyle w:val="0"/>
            </w:pPr>
            <w:r>
              <w:rPr>
                <w:sz w:val="20"/>
              </w:rPr>
              <w:t xml:space="preserve">паспорт транспортного средства/самоходной машины;</w:t>
            </w:r>
          </w:p>
          <w:p>
            <w:pPr>
              <w:pStyle w:val="0"/>
            </w:pPr>
            <w:r>
              <w:rPr>
                <w:sz w:val="20"/>
              </w:rPr>
              <w:t xml:space="preserve">свидетельство о регистрации транспортного средства/самоходной машины</w:t>
            </w:r>
          </w:p>
        </w:tc>
      </w:tr>
      <w:tr>
        <w:tc>
          <w:tcPr>
            <w:tcW w:w="567" w:type="dxa"/>
          </w:tcPr>
          <w:p>
            <w:pPr>
              <w:pStyle w:val="0"/>
            </w:pPr>
            <w:r>
              <w:rPr>
                <w:sz w:val="20"/>
              </w:rPr>
              <w:t xml:space="preserve">13</w:t>
            </w:r>
          </w:p>
        </w:tc>
        <w:tc>
          <w:tcPr>
            <w:tcW w:w="8504" w:type="dxa"/>
          </w:tcPr>
          <w:p>
            <w:pPr>
              <w:pStyle w:val="0"/>
            </w:pPr>
            <w:r>
              <w:rPr>
                <w:sz w:val="20"/>
              </w:rPr>
              <w:t xml:space="preserve">Для Оборудования, приобретенного за пределами территории Российской Федерации, представляются:</w:t>
            </w:r>
          </w:p>
          <w:p>
            <w:pPr>
              <w:pStyle w:val="0"/>
            </w:pPr>
            <w:r>
              <w:rPr>
                <w:sz w:val="20"/>
              </w:rPr>
              <w:t xml:space="preserve">заявление на перевод валюты (платежное поручение не представляется);</w:t>
            </w:r>
          </w:p>
          <w:p>
            <w:pPr>
              <w:pStyle w:val="0"/>
            </w:pPr>
            <w:r>
              <w:rPr>
                <w:sz w:val="20"/>
              </w:rPr>
              <w:t xml:space="preserve">инвойс на оплату (счет не представляется);</w:t>
            </w:r>
          </w:p>
          <w:p>
            <w:pPr>
              <w:pStyle w:val="0"/>
            </w:pPr>
            <w:r>
              <w:rPr>
                <w:sz w:val="20"/>
              </w:rPr>
              <w:t xml:space="preserve">декларация на товары (акт приема-передачи, ТОРГ-12 и УПД не представляются)</w:t>
            </w:r>
          </w:p>
        </w:tc>
      </w:tr>
      <w:tr>
        <w:tc>
          <w:tcPr>
            <w:tcW w:w="567" w:type="dxa"/>
          </w:tcPr>
          <w:p>
            <w:pPr>
              <w:pStyle w:val="0"/>
            </w:pPr>
            <w:r>
              <w:rPr>
                <w:sz w:val="20"/>
              </w:rPr>
              <w:t xml:space="preserve">14</w:t>
            </w:r>
          </w:p>
        </w:tc>
        <w:tc>
          <w:tcPr>
            <w:tcW w:w="8504" w:type="dxa"/>
          </w:tcPr>
          <w:p>
            <w:pPr>
              <w:pStyle w:val="0"/>
            </w:pPr>
            <w:r>
              <w:rPr>
                <w:sz w:val="20"/>
              </w:rPr>
              <w:t xml:space="preserve">Фотографии Оборудования</w:t>
            </w:r>
          </w:p>
        </w:tc>
      </w:tr>
      <w:tr>
        <w:tc>
          <w:tcPr>
            <w:tcW w:w="567" w:type="dxa"/>
          </w:tcPr>
          <w:p>
            <w:pPr>
              <w:pStyle w:val="0"/>
            </w:pPr>
            <w:r>
              <w:rPr>
                <w:sz w:val="20"/>
              </w:rPr>
              <w:t xml:space="preserve">15</w:t>
            </w:r>
          </w:p>
        </w:tc>
        <w:tc>
          <w:tcPr>
            <w:tcW w:w="8504" w:type="dxa"/>
          </w:tcPr>
          <w:p>
            <w:pPr>
              <w:pStyle w:val="0"/>
            </w:pPr>
            <w:r>
              <w:rPr>
                <w:sz w:val="20"/>
              </w:rPr>
              <w:t xml:space="preserve">Видеоматериалы со съемкой места ведения деятельности, которые включают съемку входной группы, помещения(ий), где установлено Оборудование, и самого Оборудования</w:t>
            </w:r>
          </w:p>
        </w:tc>
      </w:tr>
    </w:tbl>
    <w:p>
      <w:pPr>
        <w:pStyle w:val="0"/>
        <w:jc w:val="both"/>
      </w:pPr>
      <w:r>
        <w:rPr>
          <w:sz w:val="20"/>
        </w:rPr>
      </w:r>
    </w:p>
    <w:p>
      <w:pPr>
        <w:pStyle w:val="0"/>
        <w:outlineLvl w:val="4"/>
        <w:jc w:val="right"/>
      </w:pPr>
      <w:r>
        <w:rPr>
          <w:sz w:val="20"/>
        </w:rPr>
        <w:t xml:space="preserve">Таблица 3</w:t>
      </w:r>
    </w:p>
    <w:p>
      <w:pPr>
        <w:pStyle w:val="0"/>
        <w:jc w:val="both"/>
      </w:pPr>
      <w:r>
        <w:rPr>
          <w:sz w:val="20"/>
        </w:rPr>
      </w:r>
    </w:p>
    <w:bookmarkStart w:id="4774" w:name="P4774"/>
    <w:bookmarkEnd w:id="4774"/>
    <w:p>
      <w:pPr>
        <w:pStyle w:val="2"/>
        <w:jc w:val="center"/>
      </w:pPr>
      <w:r>
        <w:rPr>
          <w:sz w:val="20"/>
        </w:rPr>
        <w:t xml:space="preserve">ОПИСАНИЕ</w:t>
      </w:r>
    </w:p>
    <w:p>
      <w:pPr>
        <w:pStyle w:val="2"/>
        <w:jc w:val="center"/>
      </w:pPr>
      <w:r>
        <w:rPr>
          <w:sz w:val="20"/>
        </w:rPr>
        <w:t xml:space="preserve">ТРЕБОВАНИЙ К ДОКУМЕНТАМ</w:t>
      </w:r>
    </w:p>
    <w:p>
      <w:pPr>
        <w:pStyle w:val="2"/>
        <w:jc w:val="center"/>
      </w:pPr>
      <w:r>
        <w:rPr>
          <w:sz w:val="20"/>
        </w:rPr>
        <w:t xml:space="preserve">И ФОРМА ИХ ПРЕДСТАВЛЕНИЯ УЧАСТНИКАМИ КОНКУРСА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Общие требования к документам:</w:t>
      </w:r>
    </w:p>
    <w:p>
      <w:pPr>
        <w:pStyle w:val="0"/>
        <w:spacing w:before="200" w:line-rule="auto"/>
        <w:ind w:firstLine="540"/>
        <w:jc w:val="both"/>
      </w:pPr>
      <w:r>
        <w:rPr>
          <w:sz w:val="20"/>
        </w:rPr>
        <w:t xml:space="preserve">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2. Все исправления в документах должны быть заверены подписью руководителя заявителя и печатью (при наличии печати).</w:t>
      </w:r>
    </w:p>
    <w:p>
      <w:pPr>
        <w:pStyle w:val="0"/>
        <w:spacing w:before="200" w:line-rule="auto"/>
        <w:ind w:firstLine="540"/>
        <w:jc w:val="both"/>
      </w:pPr>
      <w:r>
        <w:rPr>
          <w:sz w:val="20"/>
        </w:rPr>
        <w:t xml:space="preserve">3. Электронные образы документов подписываются ЭП.</w:t>
      </w:r>
    </w:p>
    <w:p>
      <w:pPr>
        <w:pStyle w:val="0"/>
        <w:spacing w:before="200" w:line-rule="auto"/>
        <w:ind w:firstLine="540"/>
        <w:jc w:val="both"/>
      </w:pPr>
      <w:r>
        <w:rPr>
          <w:sz w:val="20"/>
        </w:rPr>
        <w:t xml:space="preserve">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Порядком), которое осуществляется с сохранением ориентации оригинала документа в разрешении 300-500 dpi (масштаб 1:1) с использованием следующих режимов:</w:t>
      </w:r>
    </w:p>
    <w:p>
      <w:pPr>
        <w:pStyle w:val="0"/>
        <w:spacing w:before="200" w:line-rule="auto"/>
        <w:ind w:firstLine="540"/>
        <w:jc w:val="both"/>
      </w:pPr>
      <w:r>
        <w:rPr>
          <w:sz w:val="20"/>
        </w:rPr>
        <w:t xml:space="preserve">1)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2)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3) сохранение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4) 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5) "цветной" или "режим полной цветопередачи" (при наличии в документе цветных графических изображений либо цветного текста).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05"/>
        <w:gridCol w:w="5386"/>
      </w:tblGrid>
      <w:tr>
        <w:tc>
          <w:tcPr>
            <w:tcW w:w="680" w:type="dxa"/>
          </w:tcPr>
          <w:p>
            <w:pPr>
              <w:pStyle w:val="0"/>
              <w:jc w:val="center"/>
            </w:pPr>
            <w:r>
              <w:rPr>
                <w:sz w:val="20"/>
              </w:rPr>
              <w:t xml:space="preserve">N</w:t>
            </w:r>
          </w:p>
        </w:tc>
        <w:tc>
          <w:tcPr>
            <w:tcW w:w="3005" w:type="dxa"/>
          </w:tcPr>
          <w:p>
            <w:pPr>
              <w:pStyle w:val="0"/>
              <w:jc w:val="center"/>
            </w:pPr>
            <w:r>
              <w:rPr>
                <w:sz w:val="20"/>
              </w:rPr>
              <w:t xml:space="preserve">Вид документа</w:t>
            </w:r>
          </w:p>
        </w:tc>
        <w:tc>
          <w:tcPr>
            <w:tcW w:w="5386" w:type="dxa"/>
          </w:tcPr>
          <w:p>
            <w:pPr>
              <w:pStyle w:val="0"/>
              <w:jc w:val="center"/>
            </w:pPr>
            <w:r>
              <w:rPr>
                <w:sz w:val="20"/>
              </w:rPr>
              <w:t xml:space="preserve">Общее описание документов, требования к документам</w:t>
            </w:r>
          </w:p>
        </w:tc>
      </w:tr>
      <w:tr>
        <w:tc>
          <w:tcPr>
            <w:tcW w:w="680" w:type="dxa"/>
          </w:tcPr>
          <w:p>
            <w:pPr>
              <w:pStyle w:val="0"/>
              <w:jc w:val="center"/>
            </w:pPr>
            <w:r>
              <w:rPr>
                <w:sz w:val="20"/>
              </w:rPr>
              <w:t xml:space="preserve">1</w:t>
            </w:r>
          </w:p>
        </w:tc>
        <w:tc>
          <w:tcPr>
            <w:tcW w:w="3005" w:type="dxa"/>
          </w:tcPr>
          <w:p>
            <w:pPr>
              <w:pStyle w:val="0"/>
              <w:jc w:val="center"/>
            </w:pPr>
            <w:r>
              <w:rPr>
                <w:sz w:val="20"/>
              </w:rPr>
              <w:t xml:space="preserve">2</w:t>
            </w:r>
          </w:p>
        </w:tc>
        <w:tc>
          <w:tcPr>
            <w:tcW w:w="5386" w:type="dxa"/>
          </w:tcPr>
          <w:p>
            <w:pPr>
              <w:pStyle w:val="0"/>
              <w:jc w:val="center"/>
            </w:pPr>
            <w:r>
              <w:rPr>
                <w:sz w:val="20"/>
              </w:rPr>
              <w:t xml:space="preserve">3</w:t>
            </w:r>
          </w:p>
        </w:tc>
      </w:tr>
      <w:tr>
        <w:tc>
          <w:tcPr>
            <w:tcW w:w="680" w:type="dxa"/>
          </w:tcPr>
          <w:p>
            <w:pPr>
              <w:pStyle w:val="0"/>
            </w:pPr>
            <w:r>
              <w:rPr>
                <w:sz w:val="20"/>
              </w:rPr>
              <w:t xml:space="preserve">1</w:t>
            </w:r>
          </w:p>
        </w:tc>
        <w:tc>
          <w:tcPr>
            <w:gridSpan w:val="2"/>
            <w:tcW w:w="8391" w:type="dxa"/>
          </w:tcPr>
          <w:p>
            <w:pPr>
              <w:pStyle w:val="0"/>
            </w:pPr>
            <w:r>
              <w:rPr>
                <w:sz w:val="20"/>
              </w:rPr>
              <w:t xml:space="preserve">Документ, удостоверяющий личность руководителя участника Конкурса</w:t>
            </w:r>
          </w:p>
        </w:tc>
      </w:tr>
      <w:tr>
        <w:tc>
          <w:tcPr>
            <w:tcW w:w="680" w:type="dxa"/>
          </w:tcPr>
          <w:p>
            <w:pPr>
              <w:pStyle w:val="0"/>
            </w:pPr>
            <w:r>
              <w:rPr>
                <w:sz w:val="20"/>
              </w:rPr>
              <w:t xml:space="preserve">1.1</w:t>
            </w:r>
          </w:p>
        </w:tc>
        <w:tc>
          <w:tcPr>
            <w:tcW w:w="3005" w:type="dxa"/>
          </w:tcPr>
          <w:p>
            <w:pPr>
              <w:pStyle w:val="0"/>
            </w:pPr>
            <w:r>
              <w:rPr>
                <w:sz w:val="20"/>
              </w:rPr>
              <w:t xml:space="preserve">Паспорт гражданина Российской Федерации</w:t>
            </w:r>
          </w:p>
        </w:tc>
        <w:tc>
          <w:tcPr>
            <w:tcW w:w="5386" w:type="dxa"/>
          </w:tcPr>
          <w:p>
            <w:pPr>
              <w:pStyle w:val="0"/>
            </w:pPr>
            <w:r>
              <w:rPr>
                <w:sz w:val="20"/>
              </w:rPr>
              <w:t xml:space="preserve">Страницы вторая и третья, подтверждающие личность руководителя</w:t>
            </w:r>
          </w:p>
        </w:tc>
      </w:tr>
      <w:tr>
        <w:tc>
          <w:tcPr>
            <w:tcW w:w="680" w:type="dxa"/>
          </w:tcPr>
          <w:p>
            <w:pPr>
              <w:pStyle w:val="0"/>
            </w:pPr>
            <w:r>
              <w:rPr>
                <w:sz w:val="20"/>
              </w:rPr>
              <w:t xml:space="preserve">1.2</w:t>
            </w:r>
          </w:p>
        </w:tc>
        <w:tc>
          <w:tcPr>
            <w:tcW w:w="3005" w:type="dxa"/>
          </w:tcPr>
          <w:p>
            <w:pPr>
              <w:pStyle w:val="0"/>
            </w:pPr>
            <w:r>
              <w:rPr>
                <w:sz w:val="20"/>
              </w:rPr>
              <w:t xml:space="preserve">Временное удостоверение личности гражданина Российской Федерации</w:t>
            </w:r>
          </w:p>
        </w:tc>
        <w:tc>
          <w:tcPr>
            <w:tcW w:w="5386" w:type="dxa"/>
            <w:vMerge w:val="restart"/>
          </w:tcPr>
          <w:p>
            <w:pPr>
              <w:pStyle w:val="0"/>
            </w:pPr>
            <w:r>
              <w:rPr>
                <w:sz w:val="20"/>
              </w:rPr>
              <w:t xml:space="preserve">Страницы, подтверждающие личность руководителя заявителя</w:t>
            </w:r>
          </w:p>
        </w:tc>
      </w:tr>
      <w:tr>
        <w:tc>
          <w:tcPr>
            <w:tcW w:w="680" w:type="dxa"/>
          </w:tcPr>
          <w:p>
            <w:pPr>
              <w:pStyle w:val="0"/>
            </w:pPr>
            <w:r>
              <w:rPr>
                <w:sz w:val="20"/>
              </w:rPr>
              <w:t xml:space="preserve">1.3</w:t>
            </w:r>
          </w:p>
        </w:tc>
        <w:tc>
          <w:tcPr>
            <w:tcW w:w="3005" w:type="dxa"/>
          </w:tcPr>
          <w:p>
            <w:pPr>
              <w:pStyle w:val="0"/>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vMerge w:val="continue"/>
          </w:tcPr>
          <w:p/>
        </w:tc>
      </w:tr>
      <w:tr>
        <w:tc>
          <w:tcPr>
            <w:tcW w:w="680" w:type="dxa"/>
          </w:tcPr>
          <w:p>
            <w:pPr>
              <w:pStyle w:val="0"/>
            </w:pPr>
            <w:r>
              <w:rPr>
                <w:sz w:val="20"/>
              </w:rPr>
              <w:t xml:space="preserve">2</w:t>
            </w:r>
          </w:p>
        </w:tc>
        <w:tc>
          <w:tcPr>
            <w:gridSpan w:val="2"/>
            <w:tcW w:w="8391" w:type="dxa"/>
          </w:tcPr>
          <w:p>
            <w:pPr>
              <w:pStyle w:val="0"/>
            </w:pPr>
            <w:r>
              <w:rPr>
                <w:sz w:val="20"/>
              </w:rPr>
              <w:t xml:space="preserve">Документы, представляемые в случае подачи заявки через иного представителя, чем руководитель участника Конкурса</w:t>
            </w:r>
          </w:p>
        </w:tc>
      </w:tr>
      <w:tr>
        <w:tc>
          <w:tcPr>
            <w:tcW w:w="680" w:type="dxa"/>
          </w:tcPr>
          <w:p>
            <w:pPr>
              <w:pStyle w:val="0"/>
            </w:pPr>
            <w:r>
              <w:rPr>
                <w:sz w:val="20"/>
              </w:rPr>
              <w:t xml:space="preserve">2.1</w:t>
            </w:r>
          </w:p>
        </w:tc>
        <w:tc>
          <w:tcPr>
            <w:tcW w:w="3005" w:type="dxa"/>
          </w:tcPr>
          <w:p>
            <w:pPr>
              <w:pStyle w:val="0"/>
            </w:pPr>
            <w:r>
              <w:rPr>
                <w:sz w:val="20"/>
              </w:rPr>
              <w:t xml:space="preserve">Доверенность, подтверждающая полномочия представителя участника Конкурса</w:t>
            </w:r>
          </w:p>
        </w:tc>
        <w:tc>
          <w:tcPr>
            <w:tcW w:w="5386" w:type="dxa"/>
          </w:tcPr>
          <w:p>
            <w:pPr>
              <w:pStyle w:val="0"/>
            </w:pPr>
            <w:r>
              <w:rPr>
                <w:sz w:val="20"/>
              </w:rPr>
              <w:t xml:space="preserve">В соответствии с требованиями, установленными </w:t>
            </w:r>
            <w:hyperlink w:history="0" r:id="rId3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680" w:type="dxa"/>
          </w:tcPr>
          <w:p>
            <w:pPr>
              <w:pStyle w:val="0"/>
            </w:pPr>
            <w:r>
              <w:rPr>
                <w:sz w:val="20"/>
              </w:rPr>
              <w:t xml:space="preserve">2.2</w:t>
            </w:r>
          </w:p>
        </w:tc>
        <w:tc>
          <w:tcPr>
            <w:tcW w:w="3005" w:type="dxa"/>
          </w:tcPr>
          <w:p>
            <w:pPr>
              <w:pStyle w:val="0"/>
            </w:pPr>
            <w:r>
              <w:rPr>
                <w:sz w:val="20"/>
              </w:rPr>
              <w:t xml:space="preserve">Паспорт, удостоверяющий личность представителя участника Конкурса</w:t>
            </w:r>
          </w:p>
        </w:tc>
        <w:tc>
          <w:tcPr>
            <w:tcW w:w="5386" w:type="dxa"/>
          </w:tcPr>
          <w:p>
            <w:pPr>
              <w:pStyle w:val="0"/>
            </w:pPr>
            <w:r>
              <w:rPr>
                <w:sz w:val="20"/>
              </w:rPr>
              <w:t xml:space="preserve">Страницы вторая и третья, подтверждающие личность представителя</w:t>
            </w:r>
          </w:p>
        </w:tc>
      </w:tr>
      <w:tr>
        <w:tc>
          <w:tcPr>
            <w:tcW w:w="680" w:type="dxa"/>
          </w:tcPr>
          <w:p>
            <w:pPr>
              <w:pStyle w:val="0"/>
            </w:pPr>
            <w:r>
              <w:rPr>
                <w:sz w:val="20"/>
              </w:rPr>
              <w:t xml:space="preserve">3</w:t>
            </w:r>
          </w:p>
        </w:tc>
        <w:tc>
          <w:tcPr>
            <w:gridSpan w:val="2"/>
            <w:tcW w:w="8391" w:type="dxa"/>
          </w:tcPr>
          <w:p>
            <w:pPr>
              <w:pStyle w:val="0"/>
            </w:pPr>
            <w:r>
              <w:rPr>
                <w:sz w:val="20"/>
              </w:rPr>
              <w:t xml:space="preserve">Договор</w:t>
            </w:r>
          </w:p>
        </w:tc>
      </w:tr>
      <w:tr>
        <w:tc>
          <w:tcPr>
            <w:tcW w:w="680" w:type="dxa"/>
          </w:tcPr>
          <w:p>
            <w:pPr>
              <w:pStyle w:val="0"/>
            </w:pPr>
            <w:r>
              <w:rPr>
                <w:sz w:val="20"/>
              </w:rPr>
              <w:t xml:space="preserve">3.1</w:t>
            </w:r>
          </w:p>
        </w:tc>
        <w:tc>
          <w:tcPr>
            <w:tcW w:w="3005" w:type="dxa"/>
          </w:tcPr>
          <w:p>
            <w:pPr>
              <w:pStyle w:val="0"/>
            </w:pPr>
            <w:r>
              <w:rPr>
                <w:sz w:val="20"/>
              </w:rPr>
              <w:t xml:space="preserve">Договор</w:t>
            </w:r>
          </w:p>
        </w:tc>
        <w:tc>
          <w:tcPr>
            <w:tcW w:w="5386" w:type="dxa"/>
          </w:tcPr>
          <w:p>
            <w:pPr>
              <w:pStyle w:val="0"/>
            </w:pPr>
            <w:r>
              <w:rPr>
                <w:sz w:val="20"/>
              </w:rPr>
              <w:t xml:space="preserve">Договор должен содержать:</w:t>
            </w:r>
          </w:p>
          <w:p>
            <w:pPr>
              <w:pStyle w:val="0"/>
            </w:pPr>
            <w:r>
              <w:rPr>
                <w:sz w:val="20"/>
              </w:rPr>
              <w:t xml:space="preserve">1) дату заключения договора;</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w:t>
            </w:r>
          </w:p>
          <w:p>
            <w:pPr>
              <w:pStyle w:val="0"/>
            </w:pPr>
            <w:r>
              <w:rPr>
                <w:sz w:val="20"/>
              </w:rPr>
              <w:t xml:space="preserve">5) идентификационные данные сторон договора: наименование ЮЛ (Ф.И.О. ИП), организационно-правовая форма, ИНН;</w:t>
            </w:r>
          </w:p>
          <w:p>
            <w:pPr>
              <w:pStyle w:val="0"/>
            </w:pPr>
            <w:r>
              <w:rPr>
                <w:sz w:val="20"/>
              </w:rPr>
              <w:t xml:space="preserve">6) подписи сторон, печати (при наличии).</w:t>
            </w:r>
          </w:p>
          <w:p>
            <w:pPr>
              <w:pStyle w:val="0"/>
            </w:pPr>
            <w:r>
              <w:rPr>
                <w:sz w:val="20"/>
              </w:rPr>
              <w:t xml:space="preserve">В случае если договор составлен на языке, отличном от русского, к договору прилагается его нотариально заверенный перевод на русский язык.</w:t>
            </w:r>
          </w:p>
          <w:p>
            <w:pPr>
              <w:pStyle w:val="0"/>
            </w:pPr>
            <w:r>
              <w:rPr>
                <w:sz w:val="20"/>
              </w:rPr>
              <w:t xml:space="preserve">Договор представляется со всеми приложениями, спецификациями и дополнительными соглашениями</w:t>
            </w:r>
          </w:p>
        </w:tc>
      </w:tr>
      <w:tr>
        <w:tc>
          <w:tcPr>
            <w:tcW w:w="680" w:type="dxa"/>
          </w:tcPr>
          <w:p>
            <w:pPr>
              <w:pStyle w:val="0"/>
            </w:pPr>
            <w:r>
              <w:rPr>
                <w:sz w:val="20"/>
              </w:rPr>
              <w:t xml:space="preserve">3.2</w:t>
            </w:r>
          </w:p>
        </w:tc>
        <w:tc>
          <w:tcPr>
            <w:tcW w:w="3005" w:type="dxa"/>
          </w:tcPr>
          <w:p>
            <w:pPr>
              <w:pStyle w:val="0"/>
            </w:pPr>
            <w:r>
              <w:rPr>
                <w:sz w:val="20"/>
              </w:rPr>
              <w:t xml:space="preserve">Расшифровка цены (стоимости) договора (далее - Расшифровка)</w:t>
            </w:r>
          </w:p>
        </w:tc>
        <w:tc>
          <w:tcPr>
            <w:tcW w:w="5386" w:type="dxa"/>
          </w:tcPr>
          <w:p>
            <w:pPr>
              <w:pStyle w:val="0"/>
            </w:pPr>
            <w:r>
              <w:rPr>
                <w:sz w:val="20"/>
              </w:rPr>
              <w:t xml:space="preserve">Представляется в случае, если в договоре цена (стоимость) Оборудования указана одной суммой и содержит кроме стоимости Оборудования, его монтажа, шеф-монтажа и пусконаладочных работ иные дополнительные виды затрат.</w:t>
            </w:r>
          </w:p>
          <w:p>
            <w:pPr>
              <w:pStyle w:val="0"/>
            </w:pPr>
            <w:r>
              <w:rPr>
                <w:sz w:val="20"/>
              </w:rPr>
              <w:t xml:space="preserve">Расшифровка представляется поставщиком (продавцом, изготовителем) Оборудования.</w:t>
            </w:r>
          </w:p>
          <w:p>
            <w:pPr>
              <w:pStyle w:val="0"/>
            </w:pPr>
            <w:r>
              <w:rPr>
                <w:sz w:val="20"/>
              </w:rPr>
              <w:t xml:space="preserve">В случае невозможности получения Расшифровки от поставщика (продавца, изготовителя) Оборудования Расшифровка может представляться за подписью и печатью (при наличии) победителя Конкурса. При этом победитель Конкурса представляет ранее направленное письмо-запрос в адрес поставщика (продавца, изготовителя) о предоставлении Расшифровки, на которое не поступил ответ</w:t>
            </w:r>
          </w:p>
        </w:tc>
      </w:tr>
      <w:tr>
        <w:tc>
          <w:tcPr>
            <w:tcW w:w="680" w:type="dxa"/>
          </w:tcPr>
          <w:p>
            <w:pPr>
              <w:pStyle w:val="0"/>
            </w:pPr>
            <w:r>
              <w:rPr>
                <w:sz w:val="20"/>
              </w:rPr>
              <w:t xml:space="preserve">4</w:t>
            </w:r>
          </w:p>
        </w:tc>
        <w:tc>
          <w:tcPr>
            <w:gridSpan w:val="2"/>
            <w:tcW w:w="8391" w:type="dxa"/>
          </w:tcPr>
          <w:p>
            <w:pPr>
              <w:pStyle w:val="0"/>
            </w:pPr>
            <w:r>
              <w:rPr>
                <w:sz w:val="20"/>
              </w:rPr>
              <w:t xml:space="preserve">Документы, подтверждающие передачу</w:t>
            </w:r>
          </w:p>
        </w:tc>
      </w:tr>
      <w:tr>
        <w:tc>
          <w:tcPr>
            <w:tcW w:w="680" w:type="dxa"/>
          </w:tcPr>
          <w:p>
            <w:pPr>
              <w:pStyle w:val="0"/>
            </w:pPr>
            <w:r>
              <w:rPr>
                <w:sz w:val="20"/>
              </w:rPr>
              <w:t xml:space="preserve">4.1</w:t>
            </w:r>
          </w:p>
        </w:tc>
        <w:tc>
          <w:tcPr>
            <w:tcW w:w="3005" w:type="dxa"/>
          </w:tcPr>
          <w:p>
            <w:pPr>
              <w:pStyle w:val="0"/>
            </w:pPr>
            <w:r>
              <w:rPr>
                <w:sz w:val="20"/>
              </w:rPr>
              <w:t xml:space="preserve">Акт приема-передачи или иной документ, предусмотренный договором, подтверждающий передачу</w:t>
            </w:r>
          </w:p>
        </w:tc>
        <w:tc>
          <w:tcPr>
            <w:tcW w:w="5386" w:type="dxa"/>
          </w:tcPr>
          <w:p>
            <w:pPr>
              <w:pStyle w:val="0"/>
            </w:pPr>
            <w:r>
              <w:rPr>
                <w:sz w:val="20"/>
              </w:rPr>
              <w:t xml:space="preserve">Акт приема-передачи представляется, если он предусмотрен договором.</w:t>
            </w:r>
          </w:p>
          <w:p>
            <w:pPr>
              <w:pStyle w:val="0"/>
            </w:pPr>
            <w:r>
              <w:rPr>
                <w:sz w:val="20"/>
              </w:rPr>
              <w:t xml:space="preserve">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w:t>
            </w:r>
          </w:p>
          <w:p>
            <w:pPr>
              <w:pStyle w:val="0"/>
            </w:pPr>
            <w:r>
              <w:rPr>
                <w:sz w:val="20"/>
              </w:rPr>
              <w:t xml:space="preserve">5) печати (при наличии) и подписи сторон</w:t>
            </w:r>
          </w:p>
        </w:tc>
      </w:tr>
      <w:tr>
        <w:tc>
          <w:tcPr>
            <w:tcW w:w="680" w:type="dxa"/>
          </w:tcPr>
          <w:p>
            <w:pPr>
              <w:pStyle w:val="0"/>
            </w:pPr>
            <w:r>
              <w:rPr>
                <w:sz w:val="20"/>
              </w:rPr>
              <w:t xml:space="preserve">4.2</w:t>
            </w:r>
          </w:p>
        </w:tc>
        <w:tc>
          <w:tcPr>
            <w:tcW w:w="3005" w:type="dxa"/>
          </w:tcPr>
          <w:p>
            <w:pPr>
              <w:pStyle w:val="0"/>
            </w:pPr>
            <w:r>
              <w:rPr>
                <w:sz w:val="20"/>
              </w:rPr>
              <w:t xml:space="preserve">Товарная накладная по форме ТОРГ-12</w:t>
            </w:r>
          </w:p>
        </w:tc>
        <w:tc>
          <w:tcPr>
            <w:tcW w:w="5386" w:type="dxa"/>
          </w:tcPr>
          <w:p>
            <w:pPr>
              <w:pStyle w:val="0"/>
            </w:pPr>
            <w:r>
              <w:rPr>
                <w:sz w:val="20"/>
              </w:rPr>
              <w:t xml:space="preserve">Форма ТОРГ-12 "Товарная накладная" утверждена </w:t>
            </w:r>
            <w:hyperlink w:history="0" r:id="rId347" w:tooltip="Постановление Госкомстата РФ от 25.12.1998 N 132 &quot;Об утверждении унифицированных форм первичной учетной документации по учету торговых операций&quot; {КонсультантПлюс}">
              <w:r>
                <w:rPr>
                  <w:sz w:val="20"/>
                  <w:color w:val="0000ff"/>
                </w:rPr>
                <w:t xml:space="preserve">постановлением</w:t>
              </w:r>
            </w:hyperlink>
            <w:r>
              <w:rPr>
                <w:sz w:val="20"/>
              </w:rPr>
              <w:t xml:space="preserve"> Государственного комитета Российской Федерации по статистике от 25.12.1998 N 132 "Об утверждении унифицированных форм первичной учетной документации по учету торговых операций"</w:t>
            </w:r>
          </w:p>
        </w:tc>
      </w:tr>
      <w:tr>
        <w:tc>
          <w:tcPr>
            <w:tcW w:w="680" w:type="dxa"/>
          </w:tcPr>
          <w:p>
            <w:pPr>
              <w:pStyle w:val="0"/>
            </w:pPr>
            <w:r>
              <w:rPr>
                <w:sz w:val="20"/>
              </w:rPr>
              <w:t xml:space="preserve">4.3</w:t>
            </w:r>
          </w:p>
        </w:tc>
        <w:tc>
          <w:tcPr>
            <w:tcW w:w="3005" w:type="dxa"/>
          </w:tcPr>
          <w:p>
            <w:pPr>
              <w:pStyle w:val="0"/>
            </w:pPr>
            <w:r>
              <w:rPr>
                <w:sz w:val="20"/>
              </w:rPr>
              <w:t xml:space="preserve">Универсальный передаточный документ (УПД)</w:t>
            </w:r>
          </w:p>
        </w:tc>
        <w:tc>
          <w:tcPr>
            <w:tcW w:w="5386" w:type="dxa"/>
          </w:tcPr>
          <w:p>
            <w:pPr>
              <w:pStyle w:val="0"/>
            </w:pPr>
            <w:r>
              <w:rPr>
                <w:sz w:val="20"/>
              </w:rPr>
              <w:t xml:space="preserve">Для Оборудования, приобретенного на территории Российской Федерации.</w:t>
            </w:r>
          </w:p>
          <w:p>
            <w:pPr>
              <w:pStyle w:val="0"/>
            </w:pPr>
            <w:r>
              <w:rPr>
                <w:sz w:val="20"/>
              </w:rPr>
              <w:t xml:space="preserve">Представляется плательщиками НДС</w:t>
            </w:r>
          </w:p>
        </w:tc>
      </w:tr>
      <w:tr>
        <w:tc>
          <w:tcPr>
            <w:tcW w:w="680" w:type="dxa"/>
          </w:tcPr>
          <w:p>
            <w:pPr>
              <w:pStyle w:val="0"/>
            </w:pPr>
            <w:r>
              <w:rPr>
                <w:sz w:val="20"/>
              </w:rPr>
              <w:t xml:space="preserve">4.4</w:t>
            </w:r>
          </w:p>
        </w:tc>
        <w:tc>
          <w:tcPr>
            <w:tcW w:w="3005" w:type="dxa"/>
          </w:tcPr>
          <w:p>
            <w:pPr>
              <w:pStyle w:val="0"/>
            </w:pPr>
            <w:r>
              <w:rPr>
                <w:sz w:val="20"/>
              </w:rPr>
              <w:t xml:space="preserve">Декларация на товары (ДТ)</w:t>
            </w:r>
          </w:p>
        </w:tc>
        <w:tc>
          <w:tcPr>
            <w:tcW w:w="5386" w:type="dxa"/>
          </w:tcPr>
          <w:p>
            <w:pPr>
              <w:pStyle w:val="0"/>
            </w:pPr>
            <w:r>
              <w:rPr>
                <w:sz w:val="20"/>
              </w:rPr>
              <w:t xml:space="preserve">Для Оборудования, приобретенного за пределами территории Российской Федерации</w:t>
            </w:r>
          </w:p>
        </w:tc>
      </w:tr>
      <w:tr>
        <w:tc>
          <w:tcPr>
            <w:tcW w:w="680" w:type="dxa"/>
          </w:tcPr>
          <w:p>
            <w:pPr>
              <w:pStyle w:val="0"/>
            </w:pPr>
            <w:r>
              <w:rPr>
                <w:sz w:val="20"/>
              </w:rPr>
              <w:t xml:space="preserve">5</w:t>
            </w:r>
          </w:p>
        </w:tc>
        <w:tc>
          <w:tcPr>
            <w:gridSpan w:val="2"/>
            <w:tcW w:w="8391" w:type="dxa"/>
          </w:tcPr>
          <w:p>
            <w:pPr>
              <w:pStyle w:val="0"/>
            </w:pPr>
            <w:r>
              <w:rPr>
                <w:sz w:val="20"/>
              </w:rPr>
              <w:t xml:space="preserve">Счет или инвойс на оплату</w:t>
            </w:r>
          </w:p>
        </w:tc>
      </w:tr>
      <w:tr>
        <w:tc>
          <w:tcPr>
            <w:tcW w:w="680" w:type="dxa"/>
          </w:tcPr>
          <w:p>
            <w:pPr>
              <w:pStyle w:val="0"/>
            </w:pPr>
            <w:r>
              <w:rPr>
                <w:sz w:val="20"/>
              </w:rPr>
              <w:t xml:space="preserve">5.1</w:t>
            </w:r>
          </w:p>
        </w:tc>
        <w:tc>
          <w:tcPr>
            <w:tcW w:w="3005" w:type="dxa"/>
          </w:tcPr>
          <w:p>
            <w:pPr>
              <w:pStyle w:val="0"/>
            </w:pPr>
            <w:r>
              <w:rPr>
                <w:sz w:val="20"/>
              </w:rPr>
              <w:t xml:space="preserve">Счет на оплату</w:t>
            </w:r>
          </w:p>
        </w:tc>
        <w:tc>
          <w:tcPr>
            <w:tcW w:w="5386" w:type="dxa"/>
          </w:tcPr>
          <w:p>
            <w:pPr>
              <w:pStyle w:val="0"/>
            </w:pPr>
            <w:r>
              <w:rPr>
                <w:sz w:val="20"/>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 Счет на оплату должен соответствовать условиям договора и в обязательном порядке содержать следующие реквизиты/информацию:</w:t>
            </w:r>
          </w:p>
          <w:p>
            <w:pPr>
              <w:pStyle w:val="0"/>
            </w:pPr>
            <w:r>
              <w:rPr>
                <w:sz w:val="20"/>
              </w:rPr>
              <w:t xml:space="preserve">1) ссылку на номер и дату договора;</w:t>
            </w:r>
          </w:p>
          <w:p>
            <w:pPr>
              <w:pStyle w:val="0"/>
            </w:pPr>
            <w:r>
              <w:rPr>
                <w:sz w:val="20"/>
              </w:rPr>
              <w:t xml:space="preserve">2) указание на лицо, выдавшее счет (наименование/Ф.И.О. индивидуального предпринимателя, ИНН, КПП);</w:t>
            </w:r>
          </w:p>
          <w:p>
            <w:pPr>
              <w:pStyle w:val="0"/>
            </w:pPr>
            <w:r>
              <w:rPr>
                <w:sz w:val="20"/>
              </w:rPr>
              <w:t xml:space="preserve">3) указание на плательщика (наименование/Ф.И.О. индивидуального предпринимателя, ИНН, КПП);</w:t>
            </w:r>
          </w:p>
          <w:p>
            <w:pPr>
              <w:pStyle w:val="0"/>
            </w:pPr>
            <w:r>
              <w:rPr>
                <w:sz w:val="20"/>
              </w:rPr>
              <w:t xml:space="preserve">4) предмет договора (за что производится оплата по счету);</w:t>
            </w:r>
          </w:p>
          <w:p>
            <w:pPr>
              <w:pStyle w:val="0"/>
            </w:pPr>
            <w:r>
              <w:rPr>
                <w:sz w:val="20"/>
              </w:rPr>
              <w:t xml:space="preserve">5) сумму платежа;</w:t>
            </w:r>
          </w:p>
          <w:p>
            <w:pPr>
              <w:pStyle w:val="0"/>
            </w:pPr>
            <w:r>
              <w:rPr>
                <w:sz w:val="20"/>
              </w:rPr>
              <w:t xml:space="preserve">6) печать и подпись лица, выдавшего счет</w:t>
            </w:r>
          </w:p>
        </w:tc>
      </w:tr>
      <w:tr>
        <w:tc>
          <w:tcPr>
            <w:tcW w:w="680" w:type="dxa"/>
          </w:tcPr>
          <w:p>
            <w:pPr>
              <w:pStyle w:val="0"/>
            </w:pPr>
            <w:r>
              <w:rPr>
                <w:sz w:val="20"/>
              </w:rPr>
              <w:t xml:space="preserve">5.2</w:t>
            </w:r>
          </w:p>
        </w:tc>
        <w:tc>
          <w:tcPr>
            <w:tcW w:w="3005" w:type="dxa"/>
          </w:tcPr>
          <w:p>
            <w:pPr>
              <w:pStyle w:val="0"/>
            </w:pPr>
            <w:r>
              <w:rPr>
                <w:sz w:val="20"/>
              </w:rPr>
              <w:t xml:space="preserve">Инвойс на оплату</w:t>
            </w:r>
          </w:p>
        </w:tc>
        <w:tc>
          <w:tcPr>
            <w:tcW w:w="5386" w:type="dxa"/>
          </w:tcPr>
          <w:p>
            <w:pPr>
              <w:pStyle w:val="0"/>
            </w:pPr>
            <w:r>
              <w:rPr>
                <w:sz w:val="20"/>
              </w:rPr>
              <w:t xml:space="preserve">Предоставляется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w:t>
            </w:r>
          </w:p>
          <w:p>
            <w:pPr>
              <w:pStyle w:val="0"/>
            </w:pPr>
            <w:r>
              <w:rPr>
                <w:sz w:val="20"/>
              </w:rPr>
              <w:t xml:space="preserve">В данном случае ссылка на договор (или контракт) должна быть в счете/инвойсе на оплату.</w:t>
            </w:r>
          </w:p>
          <w:p>
            <w:pPr>
              <w:pStyle w:val="0"/>
            </w:pPr>
            <w:r>
              <w:rPr>
                <w:sz w:val="20"/>
              </w:rPr>
              <w:t xml:space="preserve">Счет/инвойс на оплату должен соответствовать условиям договора (или контракта) и в обязательном порядке содержать следующие реквизиты/информацию:</w:t>
            </w:r>
          </w:p>
          <w:p>
            <w:pPr>
              <w:pStyle w:val="0"/>
            </w:pPr>
            <w:r>
              <w:rPr>
                <w:sz w:val="20"/>
              </w:rPr>
              <w:t xml:space="preserve">1) ссылку на номер и дату договора (или контракта);</w:t>
            </w:r>
          </w:p>
          <w:p>
            <w:pPr>
              <w:pStyle w:val="0"/>
            </w:pPr>
            <w:r>
              <w:rPr>
                <w:sz w:val="20"/>
              </w:rPr>
              <w:t xml:space="preserve">2) указание на лицо, выдавшее счет/инвойс (наименование юридического лица/Ф.И.О., ИНН, КПП);</w:t>
            </w:r>
          </w:p>
          <w:p>
            <w:pPr>
              <w:pStyle w:val="0"/>
            </w:pPr>
            <w:r>
              <w:rPr>
                <w:sz w:val="20"/>
              </w:rPr>
              <w:t xml:space="preserve">3) указание на плательщика (наименование юридического лица/Ф.И.О. индивидуального предпринимателя, ИНН, КПП);</w:t>
            </w:r>
          </w:p>
          <w:p>
            <w:pPr>
              <w:pStyle w:val="0"/>
            </w:pPr>
            <w:r>
              <w:rPr>
                <w:sz w:val="20"/>
              </w:rPr>
              <w:t xml:space="preserve">4) наименование Оборудования (за что производится оплата по счету);</w:t>
            </w:r>
          </w:p>
          <w:p>
            <w:pPr>
              <w:pStyle w:val="0"/>
            </w:pPr>
            <w:r>
              <w:rPr>
                <w:sz w:val="20"/>
              </w:rPr>
              <w:t xml:space="preserve">5) сумму платежа;</w:t>
            </w:r>
          </w:p>
          <w:p>
            <w:pPr>
              <w:pStyle w:val="0"/>
            </w:pPr>
            <w:r>
              <w:rPr>
                <w:sz w:val="20"/>
              </w:rPr>
              <w:t xml:space="preserve">6) печать (при наличии) и подпись лица, выдавшего счет/инвойс</w:t>
            </w:r>
          </w:p>
        </w:tc>
      </w:tr>
      <w:tr>
        <w:tc>
          <w:tcPr>
            <w:tcW w:w="680" w:type="dxa"/>
          </w:tcPr>
          <w:p>
            <w:pPr>
              <w:pStyle w:val="0"/>
            </w:pPr>
            <w:r>
              <w:rPr>
                <w:sz w:val="20"/>
              </w:rPr>
              <w:t xml:space="preserve">6</w:t>
            </w:r>
          </w:p>
        </w:tc>
        <w:tc>
          <w:tcPr>
            <w:gridSpan w:val="2"/>
            <w:tcW w:w="8391" w:type="dxa"/>
          </w:tcPr>
          <w:p>
            <w:pPr>
              <w:pStyle w:val="0"/>
            </w:pPr>
            <w:r>
              <w:rPr>
                <w:sz w:val="20"/>
              </w:rPr>
              <w:t xml:space="preserve">Документы, подтверждающие оплату</w:t>
            </w:r>
          </w:p>
        </w:tc>
      </w:tr>
      <w:tr>
        <w:tc>
          <w:tcPr>
            <w:tcW w:w="680" w:type="dxa"/>
          </w:tcPr>
          <w:p>
            <w:pPr>
              <w:pStyle w:val="0"/>
            </w:pPr>
            <w:r>
              <w:rPr>
                <w:sz w:val="20"/>
              </w:rPr>
              <w:t xml:space="preserve">6.1</w:t>
            </w:r>
          </w:p>
        </w:tc>
        <w:tc>
          <w:tcPr>
            <w:tcW w:w="3005" w:type="dxa"/>
          </w:tcPr>
          <w:p>
            <w:pPr>
              <w:pStyle w:val="0"/>
            </w:pPr>
            <w:r>
              <w:rPr>
                <w:sz w:val="20"/>
              </w:rPr>
              <w:t xml:space="preserve">Платежное(ые) поручение(ия)</w:t>
            </w:r>
          </w:p>
        </w:tc>
        <w:tc>
          <w:tcPr>
            <w:tcW w:w="5386" w:type="dxa"/>
          </w:tcPr>
          <w:p>
            <w:pPr>
              <w:pStyle w:val="0"/>
            </w:pPr>
            <w:r>
              <w:rPr>
                <w:sz w:val="20"/>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pPr>
              <w:pStyle w:val="0"/>
            </w:pPr>
            <w:r>
              <w:rPr>
                <w:sz w:val="20"/>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w:t>
            </w:r>
          </w:p>
        </w:tc>
      </w:tr>
      <w:tr>
        <w:tc>
          <w:tcPr>
            <w:tcW w:w="680" w:type="dxa"/>
          </w:tcPr>
          <w:p>
            <w:pPr>
              <w:pStyle w:val="0"/>
            </w:pPr>
            <w:r>
              <w:rPr>
                <w:sz w:val="20"/>
              </w:rPr>
              <w:t xml:space="preserve">6.2</w:t>
            </w:r>
          </w:p>
        </w:tc>
        <w:tc>
          <w:tcPr>
            <w:tcW w:w="3005" w:type="dxa"/>
          </w:tcPr>
          <w:p>
            <w:pPr>
              <w:pStyle w:val="0"/>
            </w:pPr>
            <w:r>
              <w:rPr>
                <w:sz w:val="20"/>
              </w:rPr>
              <w:t xml:space="preserve">Заявление на перевод валюты</w:t>
            </w:r>
          </w:p>
        </w:tc>
        <w:tc>
          <w:tcPr>
            <w:tcW w:w="5386" w:type="dxa"/>
          </w:tcPr>
          <w:p>
            <w:pPr>
              <w:pStyle w:val="0"/>
            </w:pPr>
            <w:r>
              <w:rPr>
                <w:sz w:val="20"/>
              </w:rPr>
              <w:t xml:space="preserve">Для Оборудования, приобретенного за пределами территории Российской Федерации.</w:t>
            </w:r>
          </w:p>
          <w:p>
            <w:pPr>
              <w:pStyle w:val="0"/>
            </w:pPr>
            <w:r>
              <w:rPr>
                <w:sz w:val="20"/>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tc>
          <w:tcPr>
            <w:tcW w:w="680" w:type="dxa"/>
          </w:tcPr>
          <w:p>
            <w:pPr>
              <w:pStyle w:val="0"/>
            </w:pPr>
            <w:r>
              <w:rPr>
                <w:sz w:val="20"/>
              </w:rPr>
              <w:t xml:space="preserve">6.3</w:t>
            </w:r>
          </w:p>
        </w:tc>
        <w:tc>
          <w:tcPr>
            <w:tcW w:w="3005" w:type="dxa"/>
          </w:tcPr>
          <w:p>
            <w:pPr>
              <w:pStyle w:val="0"/>
            </w:pPr>
            <w:r>
              <w:rPr>
                <w:sz w:val="20"/>
              </w:rPr>
              <w:t xml:space="preserve">Выписка банка, подтверждающая оплату по договору</w:t>
            </w:r>
          </w:p>
        </w:tc>
        <w:tc>
          <w:tcPr>
            <w:tcW w:w="5386" w:type="dxa"/>
          </w:tcPr>
          <w:p>
            <w:pPr>
              <w:pStyle w:val="0"/>
            </w:pPr>
            <w:r>
              <w:rPr>
                <w:sz w:val="20"/>
              </w:rPr>
              <w:t xml:space="preserve">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pPr>
              <w:pStyle w:val="0"/>
            </w:pPr>
            <w:r>
              <w:rPr>
                <w:sz w:val="20"/>
              </w:rPr>
              <w:t xml:space="preserve">При отсутствии на выписке банка печати банка или оригинального оттиска штампа Заявитель вправе предоставить выписку из банка с приложением файла, содержащего электронную цифровую подпись банка, в формате sig.</w:t>
            </w:r>
          </w:p>
          <w:p>
            <w:pPr>
              <w:pStyle w:val="0"/>
            </w:pPr>
            <w:r>
              <w:rPr>
                <w:sz w:val="20"/>
              </w:rPr>
              <w:t xml:space="preserve">Выписка банка в обязательном порядке должна содержать следующие реквизиты/информацию:</w:t>
            </w:r>
          </w:p>
          <w:p>
            <w:pPr>
              <w:pStyle w:val="0"/>
            </w:pPr>
            <w:r>
              <w:rPr>
                <w:sz w:val="20"/>
              </w:rPr>
              <w:t xml:space="preserve">1) наименование банка;</w:t>
            </w:r>
          </w:p>
          <w:p>
            <w:pPr>
              <w:pStyle w:val="0"/>
            </w:pPr>
            <w:r>
              <w:rPr>
                <w:sz w:val="20"/>
              </w:rPr>
              <w:t xml:space="preserve">2) полное наименование организации, Ф.И.О. индивидуального предпринимателя;</w:t>
            </w:r>
          </w:p>
          <w:p>
            <w:pPr>
              <w:pStyle w:val="0"/>
            </w:pPr>
            <w:r>
              <w:rPr>
                <w:sz w:val="20"/>
              </w:rPr>
              <w:t xml:space="preserve">3) номер банковского счета, по которому представляется выписка;</w:t>
            </w:r>
          </w:p>
          <w:p>
            <w:pPr>
              <w:pStyle w:val="0"/>
            </w:pPr>
            <w:r>
              <w:rPr>
                <w:sz w:val="20"/>
              </w:rPr>
              <w:t xml:space="preserve">4) период, за который представляется выписка;</w:t>
            </w:r>
          </w:p>
          <w:p>
            <w:pPr>
              <w:pStyle w:val="0"/>
            </w:pPr>
            <w:r>
              <w:rPr>
                <w:sz w:val="20"/>
              </w:rPr>
              <w:t xml:space="preserve">5) дата совершения операции (дд.мм.гг);</w:t>
            </w:r>
          </w:p>
          <w:p>
            <w:pPr>
              <w:pStyle w:val="0"/>
            </w:pPr>
            <w:r>
              <w:rPr>
                <w:sz w:val="20"/>
              </w:rPr>
              <w:t xml:space="preserve">6) реквизиты документа, на основании которого была совершена операция по счету (номер, дата);</w:t>
            </w:r>
          </w:p>
          <w:p>
            <w:pPr>
              <w:pStyle w:val="0"/>
            </w:pPr>
            <w:r>
              <w:rPr>
                <w:sz w:val="20"/>
              </w:rPr>
              <w:t xml:space="preserve">7) наименование плательщика/получателя денежных средств;</w:t>
            </w:r>
          </w:p>
          <w:p>
            <w:pPr>
              <w:pStyle w:val="0"/>
            </w:pPr>
            <w:r>
              <w:rPr>
                <w:sz w:val="20"/>
              </w:rPr>
              <w:t xml:space="preserve">8) сумма операции по счету (по дебету/по кредиту);</w:t>
            </w:r>
          </w:p>
          <w:p>
            <w:pPr>
              <w:pStyle w:val="0"/>
            </w:pPr>
            <w:r>
              <w:rPr>
                <w:sz w:val="20"/>
              </w:rPr>
              <w:t xml:space="preserve">9) назначение платежа</w:t>
            </w:r>
          </w:p>
        </w:tc>
      </w:tr>
      <w:tr>
        <w:tc>
          <w:tcPr>
            <w:tcW w:w="680" w:type="dxa"/>
          </w:tcPr>
          <w:p>
            <w:pPr>
              <w:pStyle w:val="0"/>
            </w:pPr>
            <w:r>
              <w:rPr>
                <w:sz w:val="20"/>
              </w:rPr>
              <w:t xml:space="preserve">6.4</w:t>
            </w:r>
          </w:p>
        </w:tc>
        <w:tc>
          <w:tcPr>
            <w:tcW w:w="3005" w:type="dxa"/>
          </w:tcPr>
          <w:p>
            <w:pPr>
              <w:pStyle w:val="0"/>
            </w:pPr>
            <w:r>
              <w:rPr>
                <w:sz w:val="20"/>
              </w:rPr>
              <w:t xml:space="preserve">Банковский ордер</w:t>
            </w:r>
          </w:p>
        </w:tc>
        <w:tc>
          <w:tcPr>
            <w:tcW w:w="5386" w:type="dxa"/>
          </w:tcPr>
          <w:p>
            <w:pPr>
              <w:pStyle w:val="0"/>
            </w:pPr>
            <w:r>
              <w:rPr>
                <w:sz w:val="20"/>
              </w:rPr>
              <w:t xml:space="preserve">Банковский ордер заверен печатью банка или имеет оригинальный оттиск штампа и подпись операциониста банка с указанием фамилии и инициалов либо имеет отметку "клиент-банк".</w:t>
            </w:r>
          </w:p>
          <w:p>
            <w:pPr>
              <w:pStyle w:val="0"/>
            </w:pPr>
            <w:r>
              <w:rPr>
                <w:sz w:val="20"/>
              </w:rPr>
              <w:t xml:space="preserve">В графе "Назначение платежа" банковского ордера должна быть ссылка на договор или счет на оплату, на основании которого производится платеж</w:t>
            </w:r>
          </w:p>
        </w:tc>
      </w:tr>
      <w:tr>
        <w:tc>
          <w:tcPr>
            <w:tcW w:w="680" w:type="dxa"/>
          </w:tcPr>
          <w:p>
            <w:pPr>
              <w:pStyle w:val="0"/>
            </w:pPr>
            <w:r>
              <w:rPr>
                <w:sz w:val="20"/>
              </w:rPr>
              <w:t xml:space="preserve">7</w:t>
            </w:r>
          </w:p>
        </w:tc>
        <w:tc>
          <w:tcPr>
            <w:gridSpan w:val="2"/>
            <w:tcW w:w="8391" w:type="dxa"/>
          </w:tcPr>
          <w:p>
            <w:pPr>
              <w:pStyle w:val="0"/>
            </w:pPr>
            <w:r>
              <w:rPr>
                <w:sz w:val="20"/>
              </w:rPr>
              <w:t xml:space="preserve">Для транспортных средств и самоходных машин</w:t>
            </w:r>
          </w:p>
        </w:tc>
      </w:tr>
      <w:tr>
        <w:tc>
          <w:tcPr>
            <w:tcW w:w="680" w:type="dxa"/>
          </w:tcPr>
          <w:p>
            <w:pPr>
              <w:pStyle w:val="0"/>
            </w:pPr>
            <w:r>
              <w:rPr>
                <w:sz w:val="20"/>
              </w:rPr>
              <w:t xml:space="preserve">7.1</w:t>
            </w:r>
          </w:p>
        </w:tc>
        <w:tc>
          <w:tcPr>
            <w:tcW w:w="3005" w:type="dxa"/>
          </w:tcPr>
          <w:p>
            <w:pPr>
              <w:pStyle w:val="0"/>
            </w:pPr>
            <w:r>
              <w:rPr>
                <w:sz w:val="20"/>
              </w:rPr>
              <w:t xml:space="preserve">ПТС (ПСМ)</w:t>
            </w:r>
          </w:p>
        </w:tc>
        <w:tc>
          <w:tcPr>
            <w:tcW w:w="5386" w:type="dxa"/>
          </w:tcPr>
          <w:p>
            <w:pPr>
              <w:pStyle w:val="0"/>
            </w:pPr>
            <w:r>
              <w:rPr>
                <w:sz w:val="20"/>
              </w:rPr>
              <w:t xml:space="preserve">По </w:t>
            </w:r>
            <w:hyperlink w:history="0" r:id="rId348"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форме</w:t>
              </w:r>
            </w:hyperlink>
            <w:r>
              <w:rPr>
                <w:sz w:val="20"/>
              </w:rP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p>
            <w:pPr>
              <w:pStyle w:val="0"/>
            </w:pPr>
            <w:r>
              <w:rPr>
                <w:sz w:val="20"/>
              </w:rPr>
              <w:t xml:space="preserve">В случае представления электронного ПТС с указанием дополнительных сведений согласно </w:t>
            </w:r>
            <w:hyperlink w:history="0" r:id="rId349"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тельных сведений, носящих информационный характер, указываемых в разделе &quot;Иные сведения, носящие информационный характер&quot; электронного паспорта транспортного средства и электронного паспорта шасси транспортного средства&quot;) {КонсультантПлюс}">
              <w:r>
                <w:rPr>
                  <w:sz w:val="20"/>
                  <w:color w:val="0000ff"/>
                </w:rPr>
                <w:t xml:space="preserve">постановлению</w:t>
              </w:r>
            </w:hyperlink>
            <w:r>
              <w:rPr>
                <w:sz w:val="20"/>
              </w:rPr>
              <w:t xml:space="preserve"> Правительства Российской Федерации от 05.10.2017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tc>
          <w:tcPr>
            <w:tcW w:w="680" w:type="dxa"/>
          </w:tcPr>
          <w:p>
            <w:pPr>
              <w:pStyle w:val="0"/>
            </w:pPr>
            <w:r>
              <w:rPr>
                <w:sz w:val="20"/>
              </w:rPr>
              <w:t xml:space="preserve">7.2</w:t>
            </w:r>
          </w:p>
        </w:tc>
        <w:tc>
          <w:tcPr>
            <w:tcW w:w="3005" w:type="dxa"/>
          </w:tcPr>
          <w:p>
            <w:pPr>
              <w:pStyle w:val="0"/>
            </w:pPr>
            <w:r>
              <w:rPr>
                <w:sz w:val="20"/>
              </w:rPr>
              <w:t xml:space="preserve">СТС (ССМ)</w:t>
            </w:r>
          </w:p>
        </w:tc>
        <w:tc>
          <w:tcPr>
            <w:tcW w:w="5386" w:type="dxa"/>
          </w:tcPr>
          <w:p>
            <w:pPr>
              <w:pStyle w:val="0"/>
            </w:pPr>
            <w:r>
              <w:rPr>
                <w:sz w:val="20"/>
              </w:rPr>
              <w:t xml:space="preserve">По </w:t>
            </w:r>
            <w:hyperlink w:history="0" r:id="rId35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форме</w:t>
              </w:r>
            </w:hyperlink>
            <w:r>
              <w:rPr>
                <w:sz w:val="20"/>
              </w:rP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p>
            <w:pPr>
              <w:pStyle w:val="0"/>
            </w:pPr>
            <w:r>
              <w:rPr>
                <w:sz w:val="20"/>
              </w:rPr>
              <w:t xml:space="preserve">В случае представления электронного ПТС с указанием дополнительных сведений согласно </w:t>
            </w:r>
            <w:hyperlink w:history="0" r:id="rId35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тельных сведений, носящих информационный характер, указываемых в разделе &quot;Иные сведения, носящие информационный характер&quot; электронного паспорта транспортного средства и электронного паспорта шасси транспортного средства&quot;) {КонсультантПлюс}">
              <w:r>
                <w:rPr>
                  <w:sz w:val="20"/>
                  <w:color w:val="0000ff"/>
                </w:rPr>
                <w:t xml:space="preserve">постановлению</w:t>
              </w:r>
            </w:hyperlink>
            <w:r>
              <w:rPr>
                <w:sz w:val="20"/>
              </w:rPr>
              <w:t xml:space="preserve"> Правительства Российской Федерации от 05.10.2017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tc>
          <w:tcPr>
            <w:tcW w:w="680" w:type="dxa"/>
          </w:tcPr>
          <w:p>
            <w:pPr>
              <w:pStyle w:val="0"/>
            </w:pPr>
            <w:r>
              <w:rPr>
                <w:sz w:val="20"/>
              </w:rPr>
              <w:t xml:space="preserve">8</w:t>
            </w:r>
          </w:p>
        </w:tc>
        <w:tc>
          <w:tcPr>
            <w:tcW w:w="3005" w:type="dxa"/>
          </w:tcPr>
          <w:p>
            <w:pPr>
              <w:pStyle w:val="0"/>
            </w:pPr>
            <w:r>
              <w:rPr>
                <w:sz w:val="20"/>
              </w:rPr>
              <w:t xml:space="preserve">Бухгалтерские документы о постановке на баланс Оборудования, основных средств, иных товарно-материальных ценностей</w:t>
            </w:r>
          </w:p>
        </w:tc>
        <w:tc>
          <w:tcPr>
            <w:tcW w:w="5386" w:type="dxa"/>
          </w:tcPr>
          <w:p>
            <w:pPr>
              <w:pStyle w:val="0"/>
            </w:pPr>
            <w:r>
              <w:rPr>
                <w:sz w:val="20"/>
              </w:rPr>
              <w:t xml:space="preserve">Представляется один из следующих документов по выбору заявителя:</w:t>
            </w:r>
          </w:p>
          <w:p>
            <w:pPr>
              <w:pStyle w:val="0"/>
            </w:pPr>
            <w:r>
              <w:rPr>
                <w:sz w:val="20"/>
              </w:rPr>
              <w:t xml:space="preserve">1) акт о приеме-передаче объекта основных средств (кроме зданий, сооружений) по форме N ОС-1 или N ОС-1б;</w:t>
            </w:r>
          </w:p>
          <w:p>
            <w:pPr>
              <w:pStyle w:val="0"/>
            </w:pPr>
            <w:r>
              <w:rPr>
                <w:sz w:val="20"/>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pPr>
              <w:pStyle w:val="0"/>
            </w:pPr>
            <w:r>
              <w:rPr>
                <w:sz w:val="20"/>
              </w:rPr>
              <w:t xml:space="preserve">а) приказ об утверждении учетной политики субъекта МСП;</w:t>
            </w:r>
          </w:p>
          <w:p>
            <w:pPr>
              <w:pStyle w:val="0"/>
            </w:pPr>
            <w:r>
              <w:rPr>
                <w:sz w:val="20"/>
              </w:rPr>
              <w:t xml:space="preserve">б)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pPr>
              <w:pStyle w:val="0"/>
            </w:pPr>
            <w:r>
              <w:rPr>
                <w:sz w:val="20"/>
              </w:rPr>
              <w:t xml:space="preserve">наименование документа;</w:t>
            </w:r>
          </w:p>
          <w:p>
            <w:pPr>
              <w:pStyle w:val="0"/>
            </w:pPr>
            <w:r>
              <w:rPr>
                <w:sz w:val="20"/>
              </w:rPr>
              <w:t xml:space="preserve">дата составления документа;</w:t>
            </w:r>
          </w:p>
          <w:p>
            <w:pPr>
              <w:pStyle w:val="0"/>
            </w:pPr>
            <w:r>
              <w:rPr>
                <w:sz w:val="20"/>
              </w:rPr>
              <w:t xml:space="preserve">наименование экономического субъекта, составившего документ;</w:t>
            </w:r>
          </w:p>
          <w:p>
            <w:pPr>
              <w:pStyle w:val="0"/>
            </w:pPr>
            <w:r>
              <w:rPr>
                <w:sz w:val="20"/>
              </w:rPr>
              <w:t xml:space="preserve">содержание факта хозяйственной жизни;</w:t>
            </w:r>
          </w:p>
          <w:p>
            <w:pPr>
              <w:pStyle w:val="0"/>
            </w:pPr>
            <w:r>
              <w:rPr>
                <w:sz w:val="20"/>
              </w:rPr>
              <w:t xml:space="preserve">величина натурального и (или) денежного измерения факта хозяйственной жизни с указанием единиц измерения;</w:t>
            </w:r>
          </w:p>
          <w:p>
            <w:pPr>
              <w:pStyle w:val="0"/>
            </w:pPr>
            <w:r>
              <w:rPr>
                <w:sz w:val="20"/>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pPr>
              <w:pStyle w:val="0"/>
            </w:pPr>
            <w:r>
              <w:rPr>
                <w:sz w:val="20"/>
              </w:rPr>
              <w:t xml:space="preserve">подписи лиц, предусмотренных в предыдущем абзаце, с указанием их фамилий и инициалов либо иных реквизитов, необходимых для идентификации этих лиц.</w:t>
            </w:r>
          </w:p>
          <w:p>
            <w:pPr>
              <w:pStyle w:val="0"/>
            </w:pPr>
            <w:r>
              <w:rPr>
                <w:sz w:val="20"/>
              </w:rPr>
              <w:t xml:space="preserve">В актах ОС-1 либо иных документах обязательно заполнение всех разделов</w:t>
            </w:r>
          </w:p>
        </w:tc>
      </w:tr>
      <w:tr>
        <w:tc>
          <w:tcPr>
            <w:tcW w:w="680" w:type="dxa"/>
          </w:tcPr>
          <w:p>
            <w:pPr>
              <w:pStyle w:val="0"/>
            </w:pPr>
            <w:r>
              <w:rPr>
                <w:sz w:val="20"/>
              </w:rPr>
              <w:t xml:space="preserve">9</w:t>
            </w:r>
          </w:p>
        </w:tc>
        <w:tc>
          <w:tcPr>
            <w:tcW w:w="3005" w:type="dxa"/>
          </w:tcPr>
          <w:p>
            <w:pPr>
              <w:pStyle w:val="0"/>
            </w:pPr>
            <w:r>
              <w:rPr>
                <w:sz w:val="20"/>
              </w:rPr>
              <w:t xml:space="preserve">Фотографии объектов основных средств или Оборудования</w:t>
            </w:r>
          </w:p>
        </w:tc>
        <w:tc>
          <w:tcPr>
            <w:tcW w:w="5386" w:type="dxa"/>
          </w:tcPr>
          <w:p>
            <w:pPr>
              <w:pStyle w:val="0"/>
            </w:pPr>
            <w:r>
              <w:rPr>
                <w:sz w:val="20"/>
              </w:rPr>
              <w:t xml:space="preserve">Представляются цветные фотографии каждого объекта основных средств или Оборудования после его (их) передачи.</w:t>
            </w:r>
          </w:p>
          <w:p>
            <w:pPr>
              <w:pStyle w:val="0"/>
            </w:pPr>
            <w:r>
              <w:rPr>
                <w:sz w:val="20"/>
              </w:rPr>
              <w:t xml:space="preserve">Запрещено добавлять на фото надписи, картинки, пометки либо какие другие исправления в графических редакторах</w:t>
            </w:r>
          </w:p>
        </w:tc>
      </w:tr>
      <w:tr>
        <w:tc>
          <w:tcPr>
            <w:tcW w:w="680" w:type="dxa"/>
          </w:tcPr>
          <w:p>
            <w:pPr>
              <w:pStyle w:val="0"/>
            </w:pPr>
            <w:r>
              <w:rPr>
                <w:sz w:val="20"/>
              </w:rPr>
              <w:t xml:space="preserve">10</w:t>
            </w:r>
          </w:p>
        </w:tc>
        <w:tc>
          <w:tcPr>
            <w:tcW w:w="3005" w:type="dxa"/>
          </w:tcPr>
          <w:p>
            <w:pPr>
              <w:pStyle w:val="0"/>
            </w:pPr>
            <w:r>
              <w:rPr>
                <w:sz w:val="20"/>
              </w:rPr>
              <w:t xml:space="preserve">Видеоматериалы со съемкой места ведения деятельности</w:t>
            </w:r>
          </w:p>
        </w:tc>
        <w:tc>
          <w:tcPr>
            <w:tcW w:w="5386" w:type="dxa"/>
          </w:tcPr>
          <w:p>
            <w:pPr>
              <w:pStyle w:val="0"/>
            </w:pPr>
            <w:r>
              <w:rPr>
                <w:sz w:val="20"/>
              </w:rPr>
              <w:t xml:space="preserve">Видеоматериалы должны включать съемку места ведения деятельности, которые включают съемку входной группы, помещения(ий), где установлено Оборудование, и самого Оборудования</w:t>
            </w:r>
          </w:p>
        </w:tc>
      </w:tr>
    </w:tbl>
    <w:p>
      <w:pPr>
        <w:pStyle w:val="0"/>
        <w:jc w:val="both"/>
      </w:pPr>
      <w:r>
        <w:rPr>
          <w:sz w:val="20"/>
        </w:rPr>
      </w:r>
    </w:p>
    <w:p>
      <w:pPr>
        <w:pStyle w:val="2"/>
        <w:outlineLvl w:val="3"/>
        <w:jc w:val="center"/>
      </w:pPr>
      <w:r>
        <w:rPr>
          <w:sz w:val="20"/>
        </w:rPr>
        <w:t xml:space="preserve">5.3.6.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на возмещение части затрат на создание объектов инженерной</w:t>
      </w:r>
    </w:p>
    <w:p>
      <w:pPr>
        <w:pStyle w:val="2"/>
        <w:jc w:val="center"/>
      </w:pPr>
      <w:r>
        <w:rPr>
          <w:sz w:val="20"/>
        </w:rPr>
        <w:t xml:space="preserve">и дорожной инфраструктуры при создании гостиничных</w:t>
      </w:r>
    </w:p>
    <w:p>
      <w:pPr>
        <w:pStyle w:val="2"/>
        <w:jc w:val="center"/>
      </w:pPr>
      <w:r>
        <w:rPr>
          <w:sz w:val="20"/>
        </w:rPr>
        <w:t xml:space="preserve">комплексов в рамках реализации мероприятия 06.01 "Возмещение</w:t>
      </w:r>
    </w:p>
    <w:p>
      <w:pPr>
        <w:pStyle w:val="2"/>
        <w:jc w:val="center"/>
      </w:pPr>
      <w:r>
        <w:rPr>
          <w:sz w:val="20"/>
        </w:rPr>
        <w:t xml:space="preserve">части затрат юридических лиц и индивидуальных</w:t>
      </w:r>
    </w:p>
    <w:p>
      <w:pPr>
        <w:pStyle w:val="2"/>
        <w:jc w:val="center"/>
      </w:pPr>
      <w:r>
        <w:rPr>
          <w:sz w:val="20"/>
        </w:rPr>
        <w:t xml:space="preserve">предпринимателей на создание объектов инженерной и дорожной</w:t>
      </w:r>
    </w:p>
    <w:p>
      <w:pPr>
        <w:pStyle w:val="2"/>
        <w:jc w:val="center"/>
      </w:pPr>
      <w:r>
        <w:rPr>
          <w:sz w:val="20"/>
        </w:rPr>
        <w:t xml:space="preserve">инфраструктуры при создании гостиничных комплексов"</w:t>
      </w:r>
    </w:p>
    <w:p>
      <w:pPr>
        <w:pStyle w:val="0"/>
        <w:jc w:val="center"/>
      </w:pPr>
      <w:r>
        <w:rPr>
          <w:sz w:val="20"/>
        </w:rPr>
      </w:r>
    </w:p>
    <w:p>
      <w:pPr>
        <w:pStyle w:val="0"/>
        <w:jc w:val="center"/>
      </w:pPr>
      <w:r>
        <w:rPr>
          <w:sz w:val="20"/>
        </w:rPr>
        <w:t xml:space="preserve">(в ред. </w:t>
      </w:r>
      <w:hyperlink w:history="0" r:id="rId352"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индивидуальным предпринимателям на возмещение части затрат на создание объектов инженерной и дорожной инфраструктуры при создании гостиничных комплексов (далее соответственно - Порядок, субсидия) в рамках </w:t>
      </w:r>
      <w:hyperlink w:history="0" w:anchor="P2072" w:tooltip="Мероприятие 06.01.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
        <w:r>
          <w:rPr>
            <w:sz w:val="20"/>
            <w:color w:val="0000ff"/>
          </w:rPr>
          <w:t xml:space="preserve">мероприятия 06.01</w:t>
        </w:r>
      </w:hyperlink>
      <w:r>
        <w:rPr>
          <w:sz w:val="20"/>
        </w:rPr>
        <w:t xml:space="preserve">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 разработан в соответствии со </w:t>
      </w:r>
      <w:hyperlink w:history="0" r:id="rId3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35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субсидий;</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объекты инженерной инфраструктуры - объекты газоснабжения, газораспределения, электроснабжения, теплоснабжения, водоснабжения, водоотведения, ВЗС, очистных сооружений, предназначенные для инженерно-технического обеспечения зданий и сооружений, не относящиеся к объектам капитального строительства, в том числе правомерно находящиеся как в пределах земельного участка, на котором расположен объект капитального строительства, заявляемый на получение субсидии, так и за его пределами;</w:t>
      </w:r>
    </w:p>
    <w:p>
      <w:pPr>
        <w:pStyle w:val="0"/>
        <w:spacing w:before="200" w:line-rule="auto"/>
        <w:ind w:firstLine="540"/>
        <w:jc w:val="both"/>
      </w:pPr>
      <w:r>
        <w:rPr>
          <w:sz w:val="20"/>
        </w:rPr>
        <w:t xml:space="preserve">объекты дорожной инфраструктуры - объекты, предназначенные для движения транспортных средств,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в том числе автомобильные дороги,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до границ земельного участка, на котором располагается гостиничный комплекс;</w:t>
      </w:r>
    </w:p>
    <w:p>
      <w:pPr>
        <w:pStyle w:val="0"/>
        <w:spacing w:before="200" w:line-rule="auto"/>
        <w:ind w:firstLine="540"/>
        <w:jc w:val="both"/>
      </w:pPr>
      <w:r>
        <w:rPr>
          <w:sz w:val="20"/>
        </w:rPr>
        <w:t xml:space="preserve">претендент - юридическое лицо (за исключением государственных (муниципальных) учреждений) или индивидуальный предприниматель, понесший затраты на создание объектов инженерной и дорожной инфраструктуры, подключение (технологическое присоединение) к инженерным сетям вновь созданного гостиничного комплекса;</w:t>
      </w:r>
    </w:p>
    <w:p>
      <w:pPr>
        <w:pStyle w:val="0"/>
        <w:spacing w:before="200" w:line-rule="auto"/>
        <w:ind w:firstLine="540"/>
        <w:jc w:val="both"/>
      </w:pPr>
      <w:r>
        <w:rPr>
          <w:sz w:val="20"/>
        </w:rPr>
        <w:t xml:space="preserve">период возмещения - период, в течение которого претендентом произведены затраты на создание объектов инженерной и (или) дорожной инфраструктуры, не относящихся к объектам капитального строительства, и (или) подключение (технологическое присоединение) к инженерным сетям вновь созданных гостиничных комплексов, который может составлять три года, предшествующие году ввода в эксплуатацию гостиничного комплекса, и (или) год ввода в эксплуатацию гостиничного комплекса и (или) три года, следующие за годом ввода в эксплуатацию гостиничного комплекса (но не позднее даты подачи заявки в целях получения субсидии).</w:t>
      </w:r>
    </w:p>
    <w:p>
      <w:pPr>
        <w:pStyle w:val="0"/>
        <w:spacing w:before="200" w:line-rule="auto"/>
        <w:ind w:firstLine="540"/>
        <w:jc w:val="both"/>
      </w:pPr>
      <w:r>
        <w:rPr>
          <w:sz w:val="20"/>
        </w:rPr>
        <w:t xml:space="preserve">Иные термины и понятия, используемые для целей Порядка, применяются в значениях, установленных законодательством Российской Федерации и законодательством Московской области.</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4966" w:tooltip="5. Целью предоставления субсидии является возмещение затрат получателя субсидии, понесенных при создании гостиничных комплексов на территории Московской области на создание объектов инженерной инфраструктуры, и (или) подключение (технологическое присоединение) к инженерным сетям вновь созданных гостиничных комплексов на территории Московской области, и (или) создание объектов дорожной инфраструктуры при создании гостиничных комплексов на территории Московской области.">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4966" w:name="P4966"/>
    <w:bookmarkEnd w:id="4966"/>
    <w:p>
      <w:pPr>
        <w:pStyle w:val="0"/>
        <w:spacing w:before="200" w:line-rule="auto"/>
        <w:ind w:firstLine="540"/>
        <w:jc w:val="both"/>
      </w:pPr>
      <w:r>
        <w:rPr>
          <w:sz w:val="20"/>
        </w:rPr>
        <w:t xml:space="preserve">5. Целью предоставления субсидии является возмещение затрат получателя субсидии, понесенных при создании гостиничных комплексов на территории Московской области на создание объектов инженерной инфраструктуры, и (или) подключение (технологическое присоединение) к инженерным сетям вновь созданных гостиничных комплексов на территории Московской области, и (или) создание объектов дорожной инфраструктуры при создании гостиничных комплексов на территории Московской области.</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bookmarkStart w:id="4974" w:name="P4974"/>
    <w:bookmarkEnd w:id="4974"/>
    <w:p>
      <w:pPr>
        <w:pStyle w:val="0"/>
        <w:spacing w:before="200" w:line-rule="auto"/>
        <w:ind w:firstLine="540"/>
        <w:jc w:val="both"/>
      </w:pPr>
      <w:r>
        <w:rPr>
          <w:sz w:val="20"/>
        </w:rPr>
        <w:t xml:space="preserve">9. Категория отбора - претенденты, осуществляющие деятельность в сфере оказания гостиничных услуг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сфере оказания гостиничных услуг на территории Московской области посредством указанных обособленных подразделений, состоящие на налоговом учете в Московской области, или претенденты, зарегистрированные в установленном законодательством Российской Федерации порядке на территории Московской области и состоящие на учете в налоговых органах по Московской области, предоставляющие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в сфере оказания гостиничных услуг на территории Московской области, в том числе посредством обособленного подразделения, поставленного на учет в налоговых органах по Московской области.</w:t>
      </w:r>
    </w:p>
    <w:p>
      <w:pPr>
        <w:pStyle w:val="0"/>
        <w:spacing w:before="200" w:line-rule="auto"/>
        <w:ind w:firstLine="540"/>
        <w:jc w:val="both"/>
      </w:pPr>
      <w:r>
        <w:rPr>
          <w:sz w:val="20"/>
        </w:rPr>
        <w:t xml:space="preserve">В категорию отбора не входят претенденты:</w:t>
      </w:r>
    </w:p>
    <w:p>
      <w:pPr>
        <w:pStyle w:val="0"/>
        <w:spacing w:before="200" w:line-rule="auto"/>
        <w:ind w:firstLine="540"/>
        <w:jc w:val="both"/>
      </w:pPr>
      <w:r>
        <w:rPr>
          <w:sz w:val="20"/>
        </w:rPr>
        <w:t xml:space="preserve">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осуществляющие предпринимательскую деятельность в сфере игорного бизнеса;</w:t>
      </w:r>
    </w:p>
    <w:p>
      <w:pPr>
        <w:pStyle w:val="0"/>
        <w:spacing w:before="200" w:line-rule="auto"/>
        <w:ind w:firstLine="540"/>
        <w:jc w:val="both"/>
      </w:pPr>
      <w:r>
        <w:rPr>
          <w:sz w:val="20"/>
        </w:rPr>
        <w:t xml:space="preserve">ранее допустившие нарушения условий предоставленных субсидий, в том числе не обеспечившие их целевого использования в случае, если с момента совершения указанных нарушений прошло менее трех лет;</w:t>
      </w:r>
    </w:p>
    <w:p>
      <w:pPr>
        <w:pStyle w:val="0"/>
        <w:spacing w:before="200" w:line-rule="auto"/>
        <w:ind w:firstLine="540"/>
        <w:jc w:val="both"/>
      </w:pPr>
      <w:r>
        <w:rPr>
          <w:sz w:val="20"/>
        </w:rPr>
        <w:t xml:space="preserve">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pPr>
        <w:pStyle w:val="0"/>
        <w:spacing w:before="200" w:line-rule="auto"/>
        <w:ind w:firstLine="540"/>
        <w:jc w:val="both"/>
      </w:pPr>
      <w:r>
        <w:rPr>
          <w:sz w:val="20"/>
        </w:rPr>
        <w:t xml:space="preserve">государственные корпорации и государственные компании и их дочерние хозяйствующие субъекты.</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1) вложение инвестиций в создание гостиничного комплекса в объеме не менее 20 млн рублей;</w:t>
      </w:r>
    </w:p>
    <w:p>
      <w:pPr>
        <w:pStyle w:val="0"/>
        <w:spacing w:before="200" w:line-rule="auto"/>
        <w:ind w:firstLine="540"/>
        <w:jc w:val="both"/>
      </w:pPr>
      <w:r>
        <w:rPr>
          <w:sz w:val="20"/>
        </w:rPr>
        <w:t xml:space="preserve">2) ввод в эксплуатацию объектов инженерной и дорожной инфраструктуры, и (или) подключение (технологическое присоединение) к инженерным сетям (электроснабжения, газоснабжения, газораспределения, теплоснабжения, водоснабжения и водоотведения) ресурсоснабжающих организаций, а также создание объектов очистных сооружений и ВЗС (в случае отсутствия возможности подключения к сетям центрального водоснабжения) в период возмещения;</w:t>
      </w:r>
    </w:p>
    <w:p>
      <w:pPr>
        <w:pStyle w:val="0"/>
        <w:spacing w:before="200" w:line-rule="auto"/>
        <w:ind w:firstLine="540"/>
        <w:jc w:val="both"/>
      </w:pPr>
      <w:r>
        <w:rPr>
          <w:sz w:val="20"/>
        </w:rPr>
        <w:t xml:space="preserve">3) ведение основного вида деятельности в соответствии с </w:t>
      </w:r>
      <w:hyperlink w:history="0" r:id="rId35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(для претендентов, осуществляющих деятельность в сфере оказания гостиничных услуг);</w:t>
      </w:r>
    </w:p>
    <w:bookmarkStart w:id="4985" w:name="P4985"/>
    <w:bookmarkEnd w:id="4985"/>
    <w:p>
      <w:pPr>
        <w:pStyle w:val="0"/>
        <w:spacing w:before="200" w:line-rule="auto"/>
        <w:ind w:firstLine="540"/>
        <w:jc w:val="both"/>
      </w:pPr>
      <w:r>
        <w:rPr>
          <w:sz w:val="20"/>
        </w:rPr>
        <w:t xml:space="preserve">4) ведение основного или дополнительного вида деятельности в соответствии с </w:t>
      </w:r>
      <w:hyperlink w:history="0" r:id="rId35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68.2</w:t>
        </w:r>
      </w:hyperlink>
      <w:r>
        <w:rPr>
          <w:sz w:val="20"/>
        </w:rPr>
        <w:t xml:space="preserve"> ОКВЭД и одновременно ведение эксплуатантом гостиничного комплекса основного вида деятельности в соответствии с </w:t>
      </w:r>
      <w:hyperlink w:history="0" r:id="rId35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(для претендентов, предоставляющих право временного владения и пользования или временного пользования недвижимым имуществом гостиничного комплекса, в отношении которого были понесены затраты, эксплуатантам гостиничного комплекса);</w:t>
      </w:r>
    </w:p>
    <w:p>
      <w:pPr>
        <w:pStyle w:val="0"/>
        <w:spacing w:before="200" w:line-rule="auto"/>
        <w:ind w:firstLine="540"/>
        <w:jc w:val="both"/>
      </w:pPr>
      <w:r>
        <w:rPr>
          <w:sz w:val="20"/>
        </w:rPr>
        <w:t xml:space="preserve">5) количество создаваемых рабочих мест в результате создания гостиничного комплекса не менее 10 единиц;</w:t>
      </w:r>
    </w:p>
    <w:p>
      <w:pPr>
        <w:pStyle w:val="0"/>
        <w:spacing w:before="200" w:line-rule="auto"/>
        <w:ind w:firstLine="540"/>
        <w:jc w:val="both"/>
      </w:pPr>
      <w:r>
        <w:rPr>
          <w:sz w:val="20"/>
        </w:rPr>
        <w:t xml:space="preserve">6) соответствие создаваемого гостиничного комплекса следующим требованиям:</w:t>
      </w:r>
    </w:p>
    <w:p>
      <w:pPr>
        <w:pStyle w:val="0"/>
        <w:spacing w:before="200" w:line-rule="auto"/>
        <w:ind w:firstLine="540"/>
        <w:jc w:val="both"/>
      </w:pPr>
      <w:r>
        <w:rPr>
          <w:sz w:val="20"/>
        </w:rPr>
        <w:t xml:space="preserve">ввод в эксплуатацию гостиничного комплекса в период не ранее 2020 года и не позднее 2 лет и 6 месяцев со дня заключения соглашения о предоставлении субсидии;</w:t>
      </w:r>
    </w:p>
    <w:p>
      <w:pPr>
        <w:pStyle w:val="0"/>
        <w:spacing w:before="200" w:line-rule="auto"/>
        <w:ind w:firstLine="540"/>
        <w:jc w:val="both"/>
      </w:pPr>
      <w:r>
        <w:rPr>
          <w:sz w:val="20"/>
        </w:rPr>
        <w:t xml:space="preserve">величина номерного фонда - не менее 10 номеров;</w:t>
      </w:r>
    </w:p>
    <w:p>
      <w:pPr>
        <w:pStyle w:val="0"/>
        <w:spacing w:before="200" w:line-rule="auto"/>
        <w:ind w:firstLine="540"/>
        <w:jc w:val="both"/>
      </w:pPr>
      <w:r>
        <w:rPr>
          <w:sz w:val="20"/>
        </w:rPr>
        <w:t xml:space="preserve">одноместные, двухместные, многокомнатные и соединенные номера составляют 100 процентов номерного фонда;</w:t>
      </w:r>
    </w:p>
    <w:p>
      <w:pPr>
        <w:pStyle w:val="0"/>
        <w:spacing w:before="200" w:line-rule="auto"/>
        <w:ind w:firstLine="540"/>
        <w:jc w:val="both"/>
      </w:pPr>
      <w:r>
        <w:rPr>
          <w:sz w:val="20"/>
        </w:rPr>
        <w:t xml:space="preserve">все номера гостиничного комплекса оборудованы собственными санузлами;</w:t>
      </w:r>
    </w:p>
    <w:p>
      <w:pPr>
        <w:pStyle w:val="0"/>
        <w:spacing w:before="200" w:line-rule="auto"/>
        <w:ind w:firstLine="540"/>
        <w:jc w:val="both"/>
      </w:pPr>
      <w:r>
        <w:rPr>
          <w:sz w:val="20"/>
        </w:rPr>
        <w:t xml:space="preserve">гостиничный комплекс имеет собственную площадку для парковки автотранспорта;</w:t>
      </w:r>
    </w:p>
    <w:p>
      <w:pPr>
        <w:pStyle w:val="0"/>
        <w:spacing w:before="200" w:line-rule="auto"/>
        <w:ind w:firstLine="540"/>
        <w:jc w:val="both"/>
      </w:pPr>
      <w:r>
        <w:rPr>
          <w:sz w:val="20"/>
        </w:rPr>
        <w:t xml:space="preserve">на территории гостиничного комплекса расположен пункт питания (ресторан, кафе или другие типы предприятий питания);</w:t>
      </w:r>
    </w:p>
    <w:p>
      <w:pPr>
        <w:pStyle w:val="0"/>
        <w:spacing w:before="200" w:line-rule="auto"/>
        <w:ind w:firstLine="540"/>
        <w:jc w:val="both"/>
      </w:pPr>
      <w:r>
        <w:rPr>
          <w:sz w:val="20"/>
        </w:rPr>
        <w:t xml:space="preserve">наличие в здании гостиничного комплекса лифта (для зданий этажностью свыше трехэтажного уровня);</w:t>
      </w:r>
    </w:p>
    <w:p>
      <w:pPr>
        <w:pStyle w:val="0"/>
        <w:spacing w:before="200" w:line-rule="auto"/>
        <w:ind w:firstLine="540"/>
        <w:jc w:val="both"/>
      </w:pPr>
      <w:r>
        <w:rPr>
          <w:sz w:val="20"/>
        </w:rPr>
        <w:t xml:space="preserve">площадь одноместного/двухместного номера не менее 12/15 квадратных метров соответственно.</w:t>
      </w:r>
    </w:p>
    <w:p>
      <w:pPr>
        <w:pStyle w:val="0"/>
        <w:spacing w:before="200" w:line-rule="auto"/>
        <w:ind w:firstLine="540"/>
        <w:jc w:val="both"/>
      </w:pPr>
      <w:r>
        <w:rPr>
          <w:sz w:val="20"/>
        </w:rPr>
        <w:t xml:space="preserve">10. В целях проведения отбора Мининвестом Московской области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(или уполномоченного им лица), размещается на едином портале не позднее 5-го календарного дня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w:t>
      </w:r>
    </w:p>
    <w:p>
      <w:pPr>
        <w:pStyle w:val="0"/>
        <w:spacing w:before="200" w:line-rule="auto"/>
        <w:ind w:firstLine="540"/>
        <w:jc w:val="both"/>
      </w:pPr>
      <w:r>
        <w:rPr>
          <w:sz w:val="20"/>
        </w:rPr>
        <w:t xml:space="preserve">4) результат предоставления субсидии, характеристика результата предоставления субсидии;</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bookmarkStart w:id="5010" w:name="P5010"/>
    <w:bookmarkEnd w:id="5010"/>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w:t>
      </w:r>
    </w:p>
    <w:p>
      <w:pPr>
        <w:pStyle w:val="0"/>
        <w:spacing w:before="200" w:line-rule="auto"/>
        <w:ind w:firstLine="540"/>
        <w:jc w:val="both"/>
      </w:pPr>
      <w:r>
        <w:rPr>
          <w:sz w:val="20"/>
        </w:rPr>
        <w:t xml:space="preserve">18) порядок открытия доступа и взаимодействия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bookmarkStart w:id="5016" w:name="P5016"/>
    <w:bookmarkEnd w:id="5016"/>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35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359"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360"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участник отбора соответствует категории и критериям отбора, установленным </w:t>
      </w:r>
      <w:hyperlink w:history="0" w:anchor="P4974" w:tooltip="9. Категория отбора - претенденты, осуществляющие деятельность в сфере оказания гостиничных услуг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е оказания гостиничных услуг на территории Московской области посредством указанных обособленных подразделений, состоящие на налоговом учете в Московской области, или претенденты, зарегистрированные в установленном законодательством Ро...">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участником отбора представлена заявка на возмещение затрат, которые не были возмещены до года предоставления субсидии за счет средств бюджета Московской области.</w:t>
      </w:r>
    </w:p>
    <w:p>
      <w:pPr>
        <w:pStyle w:val="0"/>
        <w:spacing w:before="200" w:line-rule="auto"/>
        <w:ind w:firstLine="540"/>
        <w:jc w:val="both"/>
      </w:pPr>
      <w:r>
        <w:rPr>
          <w:sz w:val="20"/>
        </w:rPr>
        <w:t xml:space="preserve">12. Представление в Мининвест Московской области документов, подтверждающих соответствие участников отбора требованиям, установленным Порядком, а также документов, подтверждающих фактически произведенные затраты, на возмещение которых предоставляется субсидия,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Мининвест Московской области документы, подтверждающие соответствие участника отбора требованиям, установленным Порядком, а также документы, подтверждающие фактически произведенные затраты, на возмещение которых предоставляется субсидия, в соответствии с </w:t>
      </w:r>
      <w:hyperlink w:history="0" w:anchor="P5190" w:tooltip="ПЕРЕЧЕНЬ">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bookmarkStart w:id="5031" w:name="P5031"/>
    <w:bookmarkEnd w:id="5031"/>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документ, подтверждающий полномочия лица, подписавшего заявку;</w:t>
      </w:r>
    </w:p>
    <w:p>
      <w:pPr>
        <w:pStyle w:val="0"/>
        <w:spacing w:before="200" w:line-rule="auto"/>
        <w:ind w:firstLine="540"/>
        <w:jc w:val="both"/>
      </w:pPr>
      <w:r>
        <w:rPr>
          <w:sz w:val="20"/>
        </w:rPr>
        <w:t xml:space="preserve">документ, подтверждающий полномочия главного бухгалтера;</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 юридического лица или уполномоченного им лица, участника отбора - индивидуального предпринимателя или уполномоченного им лица;</w:t>
      </w:r>
    </w:p>
    <w:p>
      <w:pPr>
        <w:pStyle w:val="0"/>
        <w:spacing w:before="200" w:line-rule="auto"/>
        <w:ind w:firstLine="540"/>
        <w:jc w:val="both"/>
      </w:pPr>
      <w:r>
        <w:rPr>
          <w:sz w:val="20"/>
        </w:rPr>
        <w:t xml:space="preserve">4)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5031"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15. Доступ Мининвесту Московской области к поданным участниками отбора заявкам в системе "Электронный бюджет" для их рассмотрения открывается не позднее 1-го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16. Взаимодействие Мининвеста Московской области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17. Протокол вскрытия заявок автоматически формируется на едином портале и подписывается не позднее 1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bookmarkStart w:id="5053" w:name="P5053"/>
    <w:bookmarkEnd w:id="5053"/>
    <w:p>
      <w:pPr>
        <w:pStyle w:val="0"/>
        <w:spacing w:before="200" w:line-rule="auto"/>
        <w:ind w:firstLine="540"/>
        <w:jc w:val="both"/>
      </w:pPr>
      <w:r>
        <w:rPr>
          <w:sz w:val="20"/>
        </w:rPr>
        <w:t xml:space="preserve">18. Мининвест Московской области в течение срока, не превышающего 20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Мининвестом Московской области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не подтвержден факт выполнения работ по созданию объектов инженерной инфраструктуры и (или) объектов дорожной инфраструктуры и (или) осуществления подключения (технологического присоединения) к инженерным сетям вновь созданных гостиничных комплексов по результатам проверки комиссией по проверке (далее - Проверочная комиссия) с учетом квалифицированного мнения центральных исполнительных органов власти Московской области в соответствии с </w:t>
      </w:r>
      <w:hyperlink w:history="0" w:anchor="P5075" w:tooltip="Проверочная комиссия выезжает на место создания гостиничного комплекса, в отношении которого понесены затраты участником отбора, с целью подтверждения факта выполнения работ по созданию объектов инженерной инфраструктуры и (или) объектов дорожной инфраструктуры и (или) осуществления подключения (технологического присоединения) к инженерным сетям вновь созданных гостиничных комплексов.">
        <w:r>
          <w:rPr>
            <w:sz w:val="20"/>
            <w:color w:val="0000ff"/>
          </w:rPr>
          <w:t xml:space="preserve">абзацами восьмым</w:t>
        </w:r>
      </w:hyperlink>
      <w:r>
        <w:rPr>
          <w:sz w:val="20"/>
        </w:rPr>
        <w:t xml:space="preserve"> - </w:t>
      </w:r>
      <w:hyperlink w:history="0" w:anchor="P5077" w:tooltip="Указанные ЦИО Московской области представляют квалифицированные мнения в Мининвест Московской области в срок не позднее 5 рабочих дней с даты получения запроса, указанного в абзаце девятом настоящего пункта.">
        <w:r>
          <w:rPr>
            <w:sz w:val="20"/>
            <w:color w:val="0000ff"/>
          </w:rPr>
          <w:t xml:space="preserve">десятым пункта 22</w:t>
        </w:r>
      </w:hyperlink>
      <w:r>
        <w:rPr>
          <w:sz w:val="20"/>
        </w:rPr>
        <w:t xml:space="preserve"> Порядка.</w:t>
      </w:r>
    </w:p>
    <w:p>
      <w:pPr>
        <w:pStyle w:val="0"/>
        <w:spacing w:before="200" w:line-rule="auto"/>
        <w:ind w:firstLine="540"/>
        <w:jc w:val="both"/>
      </w:pPr>
      <w:r>
        <w:rPr>
          <w:sz w:val="20"/>
        </w:rPr>
        <w:t xml:space="preserve">21. При проведении отбора предусмотрен возврат заявок участникам отбора на доработку по решению Мининвеста Московской области. 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"Электронный бюджет"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участниками отбора. 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1-го рабочего дня, но не позднее даты окончания срока рассмотрения заявок.</w:t>
      </w:r>
    </w:p>
    <w:p>
      <w:pPr>
        <w:pStyle w:val="0"/>
        <w:spacing w:before="200" w:line-rule="auto"/>
        <w:ind w:firstLine="540"/>
        <w:jc w:val="both"/>
      </w:pPr>
      <w:r>
        <w:rPr>
          <w:sz w:val="20"/>
        </w:rPr>
        <w:t xml:space="preserve">22. Проверка участника отбора на соответствие требованиям, определенным в соответствии с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Мининвест Московской области в пределах срока рассмотрения заявок, установленного </w:t>
      </w:r>
      <w:hyperlink w:history="0" w:anchor="P5053" w:tooltip="18. Мининвест Московской области в течение срока, не превышающего 20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
        <w:r>
          <w:rPr>
            <w:sz w:val="20"/>
            <w:color w:val="0000ff"/>
          </w:rPr>
          <w:t xml:space="preserve">пунктом 18</w:t>
        </w:r>
      </w:hyperlink>
      <w:r>
        <w:rPr>
          <w:sz w:val="20"/>
        </w:rPr>
        <w:t xml:space="preserve"> Порядка, запрашивает сведения в государственных информационных системах, в том числе с использованием единой системы межведомственного электронного взаимодействия, включая направление межведомственного запроса в Федеральную налоговую службу.</w:t>
      </w:r>
    </w:p>
    <w:bookmarkStart w:id="5071" w:name="P5071"/>
    <w:bookmarkEnd w:id="5071"/>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5072" w:name="P5072"/>
    <w:bookmarkEnd w:id="5072"/>
    <w:p>
      <w:pPr>
        <w:pStyle w:val="0"/>
        <w:spacing w:before="200" w:line-rule="auto"/>
        <w:ind w:firstLine="540"/>
        <w:jc w:val="both"/>
      </w:pPr>
      <w:r>
        <w:rPr>
          <w:sz w:val="20"/>
        </w:rPr>
        <w:t xml:space="preserve">В запросе, указанном в </w:t>
      </w:r>
      <w:hyperlink w:history="0" w:anchor="P5071"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w:t>
      </w:r>
      <w:hyperlink w:history="0" w:anchor="P5071"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абзацем четвертым</w:t>
        </w:r>
      </w:hyperlink>
      <w:r>
        <w:rPr>
          <w:sz w:val="20"/>
        </w:rPr>
        <w:t xml:space="preserve"> настоящего пункта, в сроки, установленные соответствующим запросом с учетом положений </w:t>
      </w:r>
      <w:hyperlink w:history="0" w:anchor="P5072"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p>
      <w:pPr>
        <w:pStyle w:val="0"/>
        <w:spacing w:before="200" w:line-rule="auto"/>
        <w:ind w:firstLine="540"/>
        <w:jc w:val="both"/>
      </w:pPr>
      <w:r>
        <w:rPr>
          <w:sz w:val="20"/>
        </w:rPr>
        <w:t xml:space="preserve">С целью подтверждения сведений, содержащихся в заявке, Мининвест Московской области образует Проверочную комиссию, положение и состав которой утверждаются Мининвестом Московской области.</w:t>
      </w:r>
    </w:p>
    <w:bookmarkStart w:id="5075" w:name="P5075"/>
    <w:bookmarkEnd w:id="5075"/>
    <w:p>
      <w:pPr>
        <w:pStyle w:val="0"/>
        <w:spacing w:before="200" w:line-rule="auto"/>
        <w:ind w:firstLine="540"/>
        <w:jc w:val="both"/>
      </w:pPr>
      <w:r>
        <w:rPr>
          <w:sz w:val="20"/>
        </w:rPr>
        <w:t xml:space="preserve">Проверочная комиссия выезжает на место создания гостиничного комплекса, в отношении которого понесены затраты участником отбора, с целью подтверждения факта выполнения работ по созданию объектов инженерной инфраструктуры и (или) объектов дорожной инфраструктуры и (или) осуществления подключения (технологического присоединения) к инженерным сетям вновь созданных гостиничных комплексов.</w:t>
      </w:r>
    </w:p>
    <w:bookmarkStart w:id="5076" w:name="P5076"/>
    <w:bookmarkEnd w:id="5076"/>
    <w:p>
      <w:pPr>
        <w:pStyle w:val="0"/>
        <w:spacing w:before="200" w:line-rule="auto"/>
        <w:ind w:firstLine="540"/>
        <w:jc w:val="both"/>
      </w:pPr>
      <w:r>
        <w:rPr>
          <w:sz w:val="20"/>
        </w:rPr>
        <w:t xml:space="preserve">Мининвест Московской области посредством межведомственного электронного взаимодействия направляет представленные участниками отбора документы в Минэнерго Московской области, Министерство ЖКХ Московской области, Минэкологии Московской области, МТДи Московской области для получения квалифицированного мнения в части соблюдения процедур, установленных законодательством Российской Федерации и законодательством Московской области, по выполнению работ по созданию объектов инженерной инфраструктуры и (или) объектов дорожной инфраструктуры и (или) осуществлению подключения (технологического присоединения) к инженерным сетям вновь созданных гостиничных комплексов (далее - квалифицированные мнения).</w:t>
      </w:r>
    </w:p>
    <w:bookmarkStart w:id="5077" w:name="P5077"/>
    <w:bookmarkEnd w:id="5077"/>
    <w:p>
      <w:pPr>
        <w:pStyle w:val="0"/>
        <w:spacing w:before="200" w:line-rule="auto"/>
        <w:ind w:firstLine="540"/>
        <w:jc w:val="both"/>
      </w:pPr>
      <w:r>
        <w:rPr>
          <w:sz w:val="20"/>
        </w:rPr>
        <w:t xml:space="preserve">Указанные ЦИО Московской области представляют квалифицированные мнения в Мининвест Московской области в срок не позднее 5 рабочих дней с даты получения запроса, указанного в </w:t>
      </w:r>
      <w:hyperlink w:history="0" w:anchor="P5076" w:tooltip="Мининвест Московской области посредством межведомственного электронного взаимодействия направляет представленные участниками отбора документы в Минэнерго Московской области, Министерство ЖКХ Московской области, Минэкологии Московской области, МТДи Московской области для получения квалифицированного мнения в части соблюдения процедур, установленных законодательством Российской Федерации и законодательством Московской области, по выполнению работ по созданию объектов инженерной инфраструктуры и (или) объек...">
        <w:r>
          <w:rPr>
            <w:sz w:val="20"/>
            <w:color w:val="0000ff"/>
          </w:rPr>
          <w:t xml:space="preserve">абзаце девятом</w:t>
        </w:r>
      </w:hyperlink>
      <w:r>
        <w:rPr>
          <w:sz w:val="20"/>
        </w:rPr>
        <w:t xml:space="preserve"> настоящего пункта.</w:t>
      </w:r>
    </w:p>
    <w:p>
      <w:pPr>
        <w:pStyle w:val="0"/>
        <w:spacing w:before="200" w:line-rule="auto"/>
        <w:ind w:firstLine="540"/>
        <w:jc w:val="both"/>
      </w:pPr>
      <w:r>
        <w:rPr>
          <w:sz w:val="20"/>
        </w:rPr>
        <w:t xml:space="preserve">23. Мининвест Московской области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Мининвесту Московской области по собственной инициативе.</w:t>
      </w:r>
    </w:p>
    <w:p>
      <w:pPr>
        <w:pStyle w:val="0"/>
        <w:spacing w:before="200" w:line-rule="auto"/>
        <w:ind w:firstLine="540"/>
        <w:jc w:val="both"/>
      </w:pPr>
      <w:r>
        <w:rPr>
          <w:sz w:val="20"/>
        </w:rPr>
        <w:t xml:space="preserve">24.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25.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Днем принятия решения о предоставлении субсидии является дата подписания протокола подведения итогов отбора руководителем Мининвеста Московской области (уполномоченным им лицом).</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Мининвестом Московской области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5010" w:tooltip="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
        <w:r>
          <w:rPr>
            <w:sz w:val="20"/>
            <w:color w:val="0000ff"/>
          </w:rPr>
          <w:t xml:space="preserve">подпунктом 13 пункта 10</w:t>
        </w:r>
      </w:hyperlink>
      <w:r>
        <w:rPr>
          <w:sz w:val="20"/>
        </w:rPr>
        <w:t xml:space="preserve"> Порядка.</w:t>
      </w:r>
    </w:p>
    <w:p>
      <w:pPr>
        <w:pStyle w:val="0"/>
        <w:spacing w:before="200" w:line-rule="auto"/>
        <w:ind w:firstLine="540"/>
        <w:jc w:val="both"/>
      </w:pPr>
      <w:r>
        <w:rPr>
          <w:sz w:val="20"/>
        </w:rPr>
        <w:t xml:space="preserve">26. Отбор признается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3) если по результатам рассмотрения заявок принято решение об отказе всем участникам отбора.</w:t>
      </w:r>
    </w:p>
    <w:p>
      <w:pPr>
        <w:pStyle w:val="0"/>
        <w:spacing w:before="200" w:line-rule="auto"/>
        <w:ind w:firstLine="540"/>
        <w:jc w:val="both"/>
      </w:pPr>
      <w:r>
        <w:rPr>
          <w:sz w:val="20"/>
        </w:rPr>
        <w:t xml:space="preserve">Решение Мининвеста Московской области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настоящем пункте, Мининвест Московской области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27.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5099" w:name="P5099"/>
    <w:bookmarkEnd w:id="5099"/>
    <w:p>
      <w:pPr>
        <w:pStyle w:val="0"/>
        <w:spacing w:before="200" w:line-rule="auto"/>
        <w:ind w:firstLine="540"/>
        <w:jc w:val="both"/>
      </w:pPr>
      <w:r>
        <w:rPr>
          <w:sz w:val="20"/>
        </w:rPr>
        <w:t xml:space="preserve">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Мининвест Московской области в ответ на запрос, указанный в </w:t>
      </w:r>
      <w:hyperlink w:history="0" w:anchor="P5099" w:tooltip="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29. Направлением затрат, на возмещение которых предоставляется субсидия, являются затраты, произведенные на создание объектов инженерной инфраструктуры и (или) объектов дорожной инфраструктуры и (или) подключение (технологическое присоединение) к инженерным сетям вновь созданных гостиничных комплексов.</w:t>
      </w:r>
    </w:p>
    <w:p>
      <w:pPr>
        <w:pStyle w:val="0"/>
        <w:spacing w:before="200" w:line-rule="auto"/>
        <w:ind w:firstLine="540"/>
        <w:jc w:val="both"/>
      </w:pPr>
      <w:r>
        <w:rPr>
          <w:sz w:val="20"/>
        </w:rPr>
        <w:t xml:space="preserve">30. Размер субсидии получателю субсидии определяется по следующей формуле:</w:t>
      </w:r>
    </w:p>
    <w:p>
      <w:pPr>
        <w:pStyle w:val="0"/>
        <w:jc w:val="both"/>
      </w:pPr>
      <w:r>
        <w:rPr>
          <w:sz w:val="20"/>
        </w:rPr>
      </w:r>
    </w:p>
    <w:p>
      <w:pPr>
        <w:pStyle w:val="0"/>
        <w:ind w:firstLine="540"/>
        <w:jc w:val="both"/>
      </w:pPr>
      <w:r>
        <w:rPr>
          <w:sz w:val="20"/>
        </w:rPr>
        <w:t xml:space="preserve">O = Z1 + Z2 + Z3 + Z4 + Z5 + Z6 + Z7,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 - размер субсидии получателю субсидии на возмещение части затрат, понесенных в период возмещения на создание объектов инженерной инфраструктуры и (или) объектов дорожной инфраструктуры гостиничных комплексов и (или) подключение (технологическое присоединение) к инженерным сетям вновь созданных гостиничных комплексов;</w:t>
      </w:r>
    </w:p>
    <w:p>
      <w:pPr>
        <w:pStyle w:val="0"/>
        <w:spacing w:before="200" w:line-rule="auto"/>
        <w:ind w:firstLine="540"/>
        <w:jc w:val="both"/>
      </w:pPr>
      <w:r>
        <w:rPr>
          <w:sz w:val="20"/>
        </w:rPr>
        <w:t xml:space="preserve">Z1 - фактические затраты получателя субсидии на создание объектов газоснабжения, газораспределения и (или) подключение (технологическое присоединение) к сетям газоснабжения, газораспределения;</w:t>
      </w:r>
    </w:p>
    <w:p>
      <w:pPr>
        <w:pStyle w:val="0"/>
        <w:spacing w:before="200" w:line-rule="auto"/>
        <w:ind w:firstLine="540"/>
        <w:jc w:val="both"/>
      </w:pPr>
      <w:r>
        <w:rPr>
          <w:sz w:val="20"/>
        </w:rPr>
        <w:t xml:space="preserve">Z2 - фактические затраты получателя субсидии на создание объектов электроснабжения и (или) подключение (технологическое присоединение) к сетям электроснабжения;</w:t>
      </w:r>
    </w:p>
    <w:p>
      <w:pPr>
        <w:pStyle w:val="0"/>
        <w:spacing w:before="200" w:line-rule="auto"/>
        <w:ind w:firstLine="540"/>
        <w:jc w:val="both"/>
      </w:pPr>
      <w:r>
        <w:rPr>
          <w:sz w:val="20"/>
        </w:rPr>
        <w:t xml:space="preserve">Z3 - фактические затраты получателя субсидии на создание объектов теплоснабжения и (или) подключение (технологическое присоединение) к сетям теплоснабжения;</w:t>
      </w:r>
    </w:p>
    <w:p>
      <w:pPr>
        <w:pStyle w:val="0"/>
        <w:spacing w:before="200" w:line-rule="auto"/>
        <w:ind w:firstLine="540"/>
        <w:jc w:val="both"/>
      </w:pPr>
      <w:r>
        <w:rPr>
          <w:sz w:val="20"/>
        </w:rPr>
        <w:t xml:space="preserve">Z4 - фактические затраты получателя субсидии на водоснабжение и водоотведение и (или) подключение к сетям водоснабжения и водоотведения;</w:t>
      </w:r>
    </w:p>
    <w:p>
      <w:pPr>
        <w:pStyle w:val="0"/>
        <w:spacing w:before="200" w:line-rule="auto"/>
        <w:ind w:firstLine="540"/>
        <w:jc w:val="both"/>
      </w:pPr>
      <w:r>
        <w:rPr>
          <w:sz w:val="20"/>
        </w:rPr>
        <w:t xml:space="preserve">Z5 - фактические затраты получателя субсидии на создание объектов очистных сооружений;</w:t>
      </w:r>
    </w:p>
    <w:p>
      <w:pPr>
        <w:pStyle w:val="0"/>
        <w:spacing w:before="200" w:line-rule="auto"/>
        <w:ind w:firstLine="540"/>
        <w:jc w:val="both"/>
      </w:pPr>
      <w:r>
        <w:rPr>
          <w:sz w:val="20"/>
        </w:rPr>
        <w:t xml:space="preserve">Z6 - фактические затраты получателя субсидии на создание объектов дорожной инфраструктуры;</w:t>
      </w:r>
    </w:p>
    <w:p>
      <w:pPr>
        <w:pStyle w:val="0"/>
        <w:spacing w:before="200" w:line-rule="auto"/>
        <w:ind w:firstLine="540"/>
        <w:jc w:val="both"/>
      </w:pPr>
      <w:r>
        <w:rPr>
          <w:sz w:val="20"/>
        </w:rPr>
        <w:t xml:space="preserve">Z7 - фактические затраты получателя субсидии на создание ВЗС.</w:t>
      </w:r>
    </w:p>
    <w:p>
      <w:pPr>
        <w:pStyle w:val="0"/>
        <w:jc w:val="both"/>
      </w:pPr>
      <w:r>
        <w:rPr>
          <w:sz w:val="20"/>
        </w:rPr>
      </w:r>
    </w:p>
    <w:p>
      <w:pPr>
        <w:pStyle w:val="0"/>
        <w:ind w:firstLine="540"/>
        <w:jc w:val="both"/>
      </w:pPr>
      <w:r>
        <w:rPr>
          <w:sz w:val="20"/>
        </w:rPr>
        <w:t xml:space="preserve">Размер предоставляемых субсидий не должен превышать размер документально обоснованных затрат.</w:t>
      </w:r>
    </w:p>
    <w:p>
      <w:pPr>
        <w:pStyle w:val="0"/>
        <w:spacing w:before="200" w:line-rule="auto"/>
        <w:ind w:firstLine="540"/>
        <w:jc w:val="both"/>
      </w:pPr>
      <w:r>
        <w:rPr>
          <w:sz w:val="20"/>
        </w:rPr>
        <w:t xml:space="preserve">Размер субсидии одному получателю субсидии определяется с учетом следующих ограничений:</w:t>
      </w:r>
    </w:p>
    <w:p>
      <w:pPr>
        <w:pStyle w:val="0"/>
        <w:spacing w:before="200" w:line-rule="auto"/>
        <w:ind w:firstLine="540"/>
        <w:jc w:val="both"/>
      </w:pPr>
      <w:r>
        <w:rPr>
          <w:sz w:val="20"/>
        </w:rPr>
        <w:t xml:space="preserve">не более 100 млн рублей;</w:t>
      </w:r>
    </w:p>
    <w:p>
      <w:pPr>
        <w:pStyle w:val="0"/>
        <w:spacing w:before="200" w:line-rule="auto"/>
        <w:ind w:firstLine="540"/>
        <w:jc w:val="both"/>
      </w:pPr>
      <w:r>
        <w:rPr>
          <w:sz w:val="20"/>
        </w:rPr>
        <w:t xml:space="preserve">не более 20 процентов от общего объема инвестиций на создание гостиничного комплекса;</w:t>
      </w:r>
    </w:p>
    <w:p>
      <w:pPr>
        <w:pStyle w:val="0"/>
        <w:spacing w:before="200" w:line-rule="auto"/>
        <w:ind w:firstLine="540"/>
        <w:jc w:val="both"/>
      </w:pPr>
      <w:r>
        <w:rPr>
          <w:sz w:val="20"/>
        </w:rPr>
        <w:t xml:space="preserve">не более нормативной стоимости затрат, определяемой в соответствии с тарифами, установленными Комитетом по ценам и тарифам Московской области, или в соответствии с территориальными единичными расценками Московской области.</w:t>
      </w:r>
    </w:p>
    <w:p>
      <w:pPr>
        <w:pStyle w:val="0"/>
        <w:spacing w:before="200" w:line-rule="auto"/>
        <w:ind w:firstLine="540"/>
        <w:jc w:val="both"/>
      </w:pPr>
      <w:r>
        <w:rPr>
          <w:sz w:val="20"/>
        </w:rPr>
        <w:t xml:space="preserve">Под общим объемом инвестиций на создание гостиничного комплекса подразумеваются следующие затраты:</w:t>
      </w:r>
    </w:p>
    <w:p>
      <w:pPr>
        <w:pStyle w:val="0"/>
        <w:spacing w:before="200" w:line-rule="auto"/>
        <w:ind w:firstLine="540"/>
        <w:jc w:val="both"/>
      </w:pPr>
      <w:r>
        <w:rPr>
          <w:sz w:val="20"/>
        </w:rPr>
        <w:t xml:space="preserve">на строительство и (или) реконструкцию гостиничного комплекса при условии наличия разрешения на строительство (реконструкцию) и разрешения на ввод в эксплуатацию, выданных в установленном законодательством Российской Федерации порядке;</w:t>
      </w:r>
    </w:p>
    <w:p>
      <w:pPr>
        <w:pStyle w:val="0"/>
        <w:spacing w:before="200" w:line-rule="auto"/>
        <w:ind w:firstLine="540"/>
        <w:jc w:val="both"/>
      </w:pPr>
      <w:r>
        <w:rPr>
          <w:sz w:val="20"/>
        </w:rPr>
        <w:t xml:space="preserve">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гостиничного комплекса;</w:t>
      </w:r>
    </w:p>
    <w:p>
      <w:pPr>
        <w:pStyle w:val="0"/>
        <w:spacing w:before="200" w:line-rule="auto"/>
        <w:ind w:firstLine="540"/>
        <w:jc w:val="both"/>
      </w:pPr>
      <w:r>
        <w:rPr>
          <w:sz w:val="20"/>
        </w:rPr>
        <w:t xml:space="preserve">на создание объектов инженерной инфраструктуры, подключение (технологическое присоединение) к инженерным сетям гостиничного комплекса, создание объектов дорожной инфраструктуры;</w:t>
      </w:r>
    </w:p>
    <w:p>
      <w:pPr>
        <w:pStyle w:val="0"/>
        <w:spacing w:before="200" w:line-rule="auto"/>
        <w:ind w:firstLine="540"/>
        <w:jc w:val="both"/>
      </w:pPr>
      <w:r>
        <w:rPr>
          <w:sz w:val="20"/>
        </w:rPr>
        <w:t xml:space="preserve">на закупку оборудования для функционирования создаваемого гостиничного комплекса.</w:t>
      </w:r>
    </w:p>
    <w:p>
      <w:pPr>
        <w:pStyle w:val="0"/>
        <w:spacing w:before="200" w:line-rule="auto"/>
        <w:ind w:firstLine="540"/>
        <w:jc w:val="both"/>
      </w:pPr>
      <w:r>
        <w:rPr>
          <w:sz w:val="20"/>
        </w:rPr>
        <w:t xml:space="preserve">Превышение потребностей участников отбора, соответствующих категории и критериям отбора и требованиям, установленным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history="0" w:anchor="P2072" w:tooltip="Мероприятие 06.01. Возмещение части затрат юридических лиц и индивидуальных предпринимателей на создание объектов инженерной и дорожной инфраструктуры при создании гостиничных комплексов">
        <w:r>
          <w:rPr>
            <w:sz w:val="20"/>
            <w:color w:val="0000ff"/>
          </w:rPr>
          <w:t xml:space="preserve">мероприятия 06.01</w:t>
        </w:r>
      </w:hyperlink>
      <w:r>
        <w:rPr>
          <w:sz w:val="20"/>
        </w:rPr>
        <w:t xml:space="preserve">,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pPr>
        <w:pStyle w:val="0"/>
        <w:spacing w:before="200" w:line-rule="auto"/>
        <w:ind w:firstLine="540"/>
        <w:jc w:val="both"/>
      </w:pPr>
      <w:r>
        <w:rPr>
          <w:sz w:val="20"/>
        </w:rPr>
        <w:t xml:space="preserve">Распределение субсидий осуществляется в пределах средств бюджета Московской области, доведенных до Мининвеста Московской области, на цели, предусмотренные Порядком, в порядке очередности поступивших, рассмотренных и не отклоненных Мининвестом Московской области заявок.</w:t>
      </w:r>
    </w:p>
    <w:p>
      <w:pPr>
        <w:pStyle w:val="0"/>
        <w:spacing w:before="200" w:line-rule="auto"/>
        <w:ind w:firstLine="540"/>
        <w:jc w:val="both"/>
      </w:pPr>
      <w:r>
        <w:rPr>
          <w:sz w:val="20"/>
        </w:rPr>
        <w:t xml:space="preserve">Субсидия предоставляется при условии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Российской Федерации и Московской области в соответствии со </w:t>
      </w:r>
      <w:hyperlink w:history="0" r:id="rId3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6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31. По результатам отбора с победителем отбора заключается Соглашение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субсидии) требованиям, установленным </w:t>
      </w:r>
      <w:hyperlink w:history="0" w:anchor="P501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32. Мининвест Московской области не позднее 1-го рабочего дня, следующего за днем принятия решения о предоставлении субсидии, формирует Соглашение в форме электронного документа в системе ГИС "РЭБ".</w:t>
      </w:r>
    </w:p>
    <w:bookmarkStart w:id="5140" w:name="P5140"/>
    <w:bookmarkEnd w:id="5140"/>
    <w:p>
      <w:pPr>
        <w:pStyle w:val="0"/>
        <w:spacing w:before="200" w:line-rule="auto"/>
        <w:ind w:firstLine="540"/>
        <w:jc w:val="both"/>
      </w:pPr>
      <w:r>
        <w:rPr>
          <w:sz w:val="20"/>
        </w:rPr>
        <w:t xml:space="preserve">Получатели субсидий не позднее 2-х рабочих дней, следующих за днем формирования Соглашения в системе ГИС "РЭБ", подписывают Соглашения в системе ГИС "РЭБ"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получателем субсидии Соглашения в системе ГИС "РЭБ" в срок, установленный </w:t>
      </w:r>
      <w:hyperlink w:history="0" w:anchor="P5140"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ГИС "РЭБ" в срок, установленный </w:t>
      </w:r>
      <w:hyperlink w:history="0" w:anchor="P5140"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5 рабочих дней, следующих за днем формирования Соглашения в системе ГИС "РЭБ".</w:t>
      </w:r>
    </w:p>
    <w:p>
      <w:pPr>
        <w:pStyle w:val="0"/>
        <w:spacing w:before="200" w:line-rule="auto"/>
        <w:ind w:firstLine="540"/>
        <w:jc w:val="both"/>
      </w:pPr>
      <w:r>
        <w:rPr>
          <w:sz w:val="20"/>
        </w:rPr>
        <w:t xml:space="preserve">33.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w:t>
      </w:r>
    </w:p>
    <w:p>
      <w:pPr>
        <w:pStyle w:val="0"/>
        <w:spacing w:before="200" w:line-rule="auto"/>
        <w:ind w:firstLine="540"/>
        <w:jc w:val="both"/>
      </w:pPr>
      <w:r>
        <w:rPr>
          <w:sz w:val="20"/>
        </w:rPr>
        <w:t xml:space="preserve">о создании не менее 10 рабочих мест в срок не позднее 2 лет и 6 месяцев со дня заключения Соглашения в результате создания гостиничного комплекса (в случае если на дату подачи заявки не созданы рабочие места);</w:t>
      </w:r>
    </w:p>
    <w:p>
      <w:pPr>
        <w:pStyle w:val="0"/>
        <w:spacing w:before="200" w:line-rule="auto"/>
        <w:ind w:firstLine="540"/>
        <w:jc w:val="both"/>
      </w:pPr>
      <w:r>
        <w:rPr>
          <w:sz w:val="20"/>
        </w:rPr>
        <w:t xml:space="preserve">о вводе в эксплуатацию гостиничного комплекса в период не позднее 2 лет и 6 месяцев со дня заключения Соглашения (в случае если на дату подачи заявки гостиничный комплекс не введен в эксплуатацию).</w:t>
      </w:r>
    </w:p>
    <w:p>
      <w:pPr>
        <w:pStyle w:val="0"/>
        <w:spacing w:before="200" w:line-rule="auto"/>
        <w:ind w:firstLine="540"/>
        <w:jc w:val="both"/>
      </w:pPr>
      <w:r>
        <w:rPr>
          <w:sz w:val="20"/>
        </w:rPr>
        <w:t xml:space="preserve">34. Основания для отказа получателю субсидии в предоставлении субсидии:</w:t>
      </w:r>
    </w:p>
    <w:p>
      <w:pPr>
        <w:pStyle w:val="0"/>
        <w:spacing w:before="200" w:line-rule="auto"/>
        <w:ind w:firstLine="540"/>
        <w:jc w:val="both"/>
      </w:pPr>
      <w:r>
        <w:rPr>
          <w:sz w:val="20"/>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признание победителя отбора уклонившимся от заключения Соглашения.</w:t>
      </w:r>
    </w:p>
    <w:p>
      <w:pPr>
        <w:pStyle w:val="0"/>
        <w:spacing w:before="200" w:line-rule="auto"/>
        <w:ind w:firstLine="540"/>
        <w:jc w:val="both"/>
      </w:pPr>
      <w:r>
        <w:rPr>
          <w:sz w:val="20"/>
        </w:rPr>
        <w:t xml:space="preserve">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36. Результатом предоставления субсидии является создание гостиничного комплекса.</w:t>
      </w:r>
    </w:p>
    <w:p>
      <w:pPr>
        <w:pStyle w:val="0"/>
        <w:spacing w:before="200" w:line-rule="auto"/>
        <w:ind w:firstLine="540"/>
        <w:jc w:val="both"/>
      </w:pPr>
      <w:r>
        <w:rPr>
          <w:sz w:val="20"/>
        </w:rPr>
        <w:t xml:space="preserve">Характеристиками результата предоставления субсидии являются:</w:t>
      </w:r>
    </w:p>
    <w:p>
      <w:pPr>
        <w:pStyle w:val="0"/>
        <w:spacing w:before="200" w:line-rule="auto"/>
        <w:ind w:firstLine="540"/>
        <w:jc w:val="both"/>
      </w:pPr>
      <w:r>
        <w:rPr>
          <w:sz w:val="20"/>
        </w:rPr>
        <w:t xml:space="preserve">вложение инвестиций в создание гостиничного комплекса;</w:t>
      </w:r>
    </w:p>
    <w:p>
      <w:pPr>
        <w:pStyle w:val="0"/>
        <w:spacing w:before="200" w:line-rule="auto"/>
        <w:ind w:firstLine="540"/>
        <w:jc w:val="both"/>
      </w:pPr>
      <w:r>
        <w:rPr>
          <w:sz w:val="20"/>
        </w:rPr>
        <w:t xml:space="preserve">величина номерного фонда гостиничного комплекса.</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37. Перечисление субсидии осуществляется не позднее 10-го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w:t>
      </w:r>
    </w:p>
    <w:p>
      <w:pPr>
        <w:pStyle w:val="0"/>
        <w:spacing w:before="200" w:line-rule="auto"/>
        <w:ind w:firstLine="540"/>
        <w:jc w:val="both"/>
      </w:pPr>
      <w:r>
        <w:rPr>
          <w:sz w:val="20"/>
        </w:rPr>
        <w:t xml:space="preserve">38. Субсидия подлежит перечислению на расчетный счет, открытый получателю субсидии в кредитной организации, указанный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bookmarkStart w:id="5164" w:name="P5164"/>
    <w:bookmarkEnd w:id="5164"/>
    <w:p>
      <w:pPr>
        <w:pStyle w:val="0"/>
        <w:ind w:firstLine="540"/>
        <w:jc w:val="both"/>
      </w:pPr>
      <w:r>
        <w:rPr>
          <w:sz w:val="20"/>
        </w:rPr>
        <w:t xml:space="preserve">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Последним отчетным кварталом является квартал, следующий за кварталом, в котором достигнут результат предоставления субсидии.</w:t>
      </w:r>
    </w:p>
    <w:p>
      <w:pPr>
        <w:pStyle w:val="0"/>
        <w:spacing w:before="200" w:line-rule="auto"/>
        <w:ind w:firstLine="540"/>
        <w:jc w:val="both"/>
      </w:pPr>
      <w:r>
        <w:rPr>
          <w:sz w:val="20"/>
        </w:rPr>
        <w:t xml:space="preserve">К отчету за квартал, в котором достигнут результат предоставления субсидии, получателем субсидии прилагается разрешение на ввод в эксплуатацию гостиничного комплекса.</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40. Проверка и принятие отчетности, представляемой в соответствии с </w:t>
      </w:r>
      <w:hyperlink w:history="0" w:anchor="P5164" w:tooltip="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
        <w:r>
          <w:rPr>
            <w:sz w:val="20"/>
            <w:color w:val="0000ff"/>
          </w:rPr>
          <w:t xml:space="preserve">пунктом 39</w:t>
        </w:r>
      </w:hyperlink>
      <w:r>
        <w:rPr>
          <w:sz w:val="20"/>
        </w:rPr>
        <w:t xml:space="preserve"> Порядка, осуществляется Мининвестом Московской области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5177" w:tooltip="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41</w:t>
        </w:r>
      </w:hyperlink>
      <w:r>
        <w:rPr>
          <w:sz w:val="20"/>
        </w:rPr>
        <w:t xml:space="preserve"> Порядка.</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5177" w:name="P5177"/>
    <w:bookmarkEnd w:id="5177"/>
    <w:p>
      <w:pPr>
        <w:pStyle w:val="0"/>
        <w:ind w:firstLine="540"/>
        <w:jc w:val="both"/>
      </w:pPr>
      <w:r>
        <w:rPr>
          <w:sz w:val="20"/>
        </w:rPr>
        <w:t xml:space="preserve">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3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6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43. В случае недостижения значений результата предоставления субсидии получатель субсидии обеспечивает возврат средств субсидии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в полном объеме.</w:t>
      </w:r>
    </w:p>
    <w:p>
      <w:pPr>
        <w:pStyle w:val="0"/>
        <w:spacing w:before="200" w:line-rule="auto"/>
        <w:ind w:firstLine="540"/>
        <w:jc w:val="both"/>
      </w:pPr>
      <w:r>
        <w:rPr>
          <w:sz w:val="20"/>
        </w:rPr>
        <w:t xml:space="preserve">44. В случае неисполнения получателем субсидии требования о возврате средств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45.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расторжения Соглашения с получателем субсидии Мининвест Московской области принимает решение о проведении дополнительного отбора в соответствии с положениями Порядка, предусмотренными для проведения отбора.</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5190" w:name="P5190"/>
    <w:bookmarkEnd w:id="5190"/>
    <w:p>
      <w:pPr>
        <w:pStyle w:val="2"/>
        <w:jc w:val="center"/>
      </w:pPr>
      <w:r>
        <w:rPr>
          <w:sz w:val="20"/>
        </w:rPr>
        <w:t xml:space="preserve">ПЕРЕЧЕНЬ</w:t>
      </w:r>
    </w:p>
    <w:p>
      <w:pPr>
        <w:pStyle w:val="2"/>
        <w:jc w:val="center"/>
      </w:pPr>
      <w:r>
        <w:rPr>
          <w:sz w:val="20"/>
        </w:rPr>
        <w:t xml:space="preserve">ДОКУМЕНТОВ, ПРЕДСТАВЛЯЕМЫХ УЧАСТНИКОМ ОТБОРА В ЦЕЛЯХ</w:t>
      </w:r>
    </w:p>
    <w:p>
      <w:pPr>
        <w:pStyle w:val="2"/>
        <w:jc w:val="center"/>
      </w:pPr>
      <w:r>
        <w:rPr>
          <w:sz w:val="20"/>
        </w:rPr>
        <w:t xml:space="preserve">ПОЛУЧЕНИЯ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77"/>
      </w:tblGrid>
      <w:tr>
        <w:tc>
          <w:tcPr>
            <w:tcW w:w="794" w:type="dxa"/>
          </w:tcPr>
          <w:p>
            <w:pPr>
              <w:pStyle w:val="0"/>
              <w:jc w:val="center"/>
            </w:pPr>
            <w:r>
              <w:rPr>
                <w:sz w:val="20"/>
              </w:rPr>
              <w:t xml:space="preserve">N п/п</w:t>
            </w:r>
          </w:p>
        </w:tc>
        <w:tc>
          <w:tcPr>
            <w:tcW w:w="8277" w:type="dxa"/>
          </w:tcPr>
          <w:p>
            <w:pPr>
              <w:pStyle w:val="0"/>
              <w:jc w:val="center"/>
            </w:pPr>
            <w:r>
              <w:rPr>
                <w:sz w:val="20"/>
              </w:rPr>
              <w:t xml:space="preserve">Наименование документа</w:t>
            </w:r>
          </w:p>
        </w:tc>
      </w:tr>
      <w:tr>
        <w:tc>
          <w:tcPr>
            <w:tcW w:w="794" w:type="dxa"/>
          </w:tcPr>
          <w:p>
            <w:pPr>
              <w:pStyle w:val="0"/>
              <w:jc w:val="center"/>
            </w:pPr>
            <w:r>
              <w:rPr>
                <w:sz w:val="20"/>
              </w:rPr>
              <w:t xml:space="preserve">1</w:t>
            </w:r>
          </w:p>
        </w:tc>
        <w:tc>
          <w:tcPr>
            <w:tcW w:w="8277" w:type="dxa"/>
          </w:tcPr>
          <w:p>
            <w:pPr>
              <w:pStyle w:val="0"/>
              <w:jc w:val="center"/>
            </w:pPr>
            <w:r>
              <w:rPr>
                <w:sz w:val="20"/>
              </w:rPr>
              <w:t xml:space="preserve">2</w:t>
            </w:r>
          </w:p>
        </w:tc>
      </w:tr>
      <w:tr>
        <w:tc>
          <w:tcPr>
            <w:tcW w:w="794" w:type="dxa"/>
          </w:tcPr>
          <w:p>
            <w:pPr>
              <w:pStyle w:val="0"/>
            </w:pPr>
            <w:r>
              <w:rPr>
                <w:sz w:val="20"/>
              </w:rPr>
              <w:t xml:space="preserve">1</w:t>
            </w:r>
          </w:p>
        </w:tc>
        <w:tc>
          <w:tcPr>
            <w:tcW w:w="8277" w:type="dxa"/>
          </w:tcPr>
          <w:p>
            <w:pPr>
              <w:pStyle w:val="0"/>
            </w:pPr>
            <w:r>
              <w:rPr>
                <w:sz w:val="20"/>
              </w:rPr>
              <w:t xml:space="preserve">Устав участника отбора (для участников отбора, являющихся юридическими лицами)</w:t>
            </w:r>
          </w:p>
        </w:tc>
      </w:tr>
      <w:tr>
        <w:tc>
          <w:tcPr>
            <w:tcW w:w="794" w:type="dxa"/>
          </w:tcPr>
          <w:p>
            <w:pPr>
              <w:pStyle w:val="0"/>
            </w:pPr>
            <w:r>
              <w:rPr>
                <w:sz w:val="20"/>
              </w:rPr>
              <w:t xml:space="preserve">2</w:t>
            </w:r>
          </w:p>
        </w:tc>
        <w:tc>
          <w:tcPr>
            <w:tcW w:w="8277" w:type="dxa"/>
          </w:tcPr>
          <w:p>
            <w:pPr>
              <w:pStyle w:val="0"/>
            </w:pPr>
            <w:r>
              <w:rPr>
                <w:sz w:val="20"/>
              </w:rPr>
              <w:t xml:space="preserve">Выписка из реестра акционеров общества (для акционерных обществ), выданная не ранее чем за 30 календарных дней до даты подачи заявки</w:t>
            </w:r>
          </w:p>
        </w:tc>
      </w:tr>
      <w:tr>
        <w:tc>
          <w:tcPr>
            <w:tcW w:w="794" w:type="dxa"/>
          </w:tcPr>
          <w:p>
            <w:pPr>
              <w:pStyle w:val="0"/>
            </w:pPr>
            <w:r>
              <w:rPr>
                <w:sz w:val="20"/>
              </w:rPr>
              <w:t xml:space="preserve">3</w:t>
            </w:r>
          </w:p>
        </w:tc>
        <w:tc>
          <w:tcPr>
            <w:tcW w:w="8277" w:type="dxa"/>
          </w:tcPr>
          <w:p>
            <w:pPr>
              <w:pStyle w:val="0"/>
            </w:pPr>
            <w:r>
              <w:rPr>
                <w:sz w:val="20"/>
              </w:rPr>
              <w:t xml:space="preserve">Разрешение на строительство и (или) реконструкцию гостиничного комплекса</w:t>
            </w:r>
          </w:p>
        </w:tc>
      </w:tr>
      <w:tr>
        <w:tc>
          <w:tcPr>
            <w:tcW w:w="794" w:type="dxa"/>
          </w:tcPr>
          <w:p>
            <w:pPr>
              <w:pStyle w:val="0"/>
            </w:pPr>
            <w:r>
              <w:rPr>
                <w:sz w:val="20"/>
              </w:rPr>
              <w:t xml:space="preserve">4</w:t>
            </w:r>
          </w:p>
        </w:tc>
        <w:tc>
          <w:tcPr>
            <w:tcW w:w="8277" w:type="dxa"/>
          </w:tcPr>
          <w:p>
            <w:pPr>
              <w:pStyle w:val="0"/>
            </w:pPr>
            <w:r>
              <w:rPr>
                <w:sz w:val="20"/>
              </w:rPr>
              <w:t xml:space="preserve">Разрешение на ввод в эксплуатацию гостиничного комплекса (при наличии) или гарантийное письмо, подписанное руководителем участника отбора или иным уполномоченным лицом, содержащее обязательство о вводе в эксплуатацию гостиничного комплекса в срок не позднее 2 лет и 6 месяцев со дня заключения Соглашения</w:t>
            </w:r>
          </w:p>
        </w:tc>
      </w:tr>
      <w:tr>
        <w:tc>
          <w:tcPr>
            <w:tcW w:w="794" w:type="dxa"/>
          </w:tcPr>
          <w:p>
            <w:pPr>
              <w:pStyle w:val="0"/>
            </w:pPr>
            <w:r>
              <w:rPr>
                <w:sz w:val="20"/>
              </w:rPr>
              <w:t xml:space="preserve">5</w:t>
            </w:r>
          </w:p>
        </w:tc>
        <w:tc>
          <w:tcPr>
            <w:tcW w:w="8277" w:type="dxa"/>
          </w:tcPr>
          <w:p>
            <w:pPr>
              <w:pStyle w:val="0"/>
            </w:pPr>
            <w:r>
              <w:rPr>
                <w:sz w:val="20"/>
              </w:rPr>
              <w:t xml:space="preserve">Документы, подтверждающие оказание услуг по предоставлению права временного владения и пользования или временного пользования на созданный гостиничный комплекс, в отношении которого были произведены затраты, эксплуатантам гостиничного комплекса (если применимо)</w:t>
            </w:r>
          </w:p>
        </w:tc>
      </w:tr>
      <w:tr>
        <w:tc>
          <w:tcPr>
            <w:tcW w:w="794" w:type="dxa"/>
          </w:tcPr>
          <w:p>
            <w:pPr>
              <w:pStyle w:val="0"/>
            </w:pPr>
            <w:r>
              <w:rPr>
                <w:sz w:val="20"/>
              </w:rPr>
              <w:t xml:space="preserve">6</w:t>
            </w:r>
          </w:p>
        </w:tc>
        <w:tc>
          <w:tcPr>
            <w:tcW w:w="8277" w:type="dxa"/>
          </w:tcPr>
          <w:p>
            <w:pPr>
              <w:pStyle w:val="0"/>
            </w:pPr>
            <w:r>
              <w:rPr>
                <w:sz w:val="20"/>
              </w:rPr>
              <w:t xml:space="preserve">В случае оказания гостиничных услуг эксплуатантом гостиничного комплекса претендентом представляется письмо-согласие эксплуатанта гостиничного комплекса, составленное в свободной форме, на представление данных претенденту, необходимых для подтверждения сведений, предусмотренных </w:t>
            </w:r>
            <w:hyperlink w:history="0" w:anchor="P4985" w:tooltip="4) ведение основного или дополнительного вида деятельности в соответствии с подклассом 68.2 ОКВЭД и одновременно ведение эксплуатантом гостиничного комплекса основного вида деятельности в соответствии с подклассом 55.1 ОКВЭД (для претендентов, предоставляющих право временного владения и пользования или временного пользования недвижимым имуществом гостиничного комплекса, в отношении которого были понесены затраты, эксплуатантам гостиничного комплекса);">
              <w:r>
                <w:rPr>
                  <w:sz w:val="20"/>
                  <w:color w:val="0000ff"/>
                </w:rPr>
                <w:t xml:space="preserve">подпунктом 4 пункта 9</w:t>
              </w:r>
            </w:hyperlink>
            <w:r>
              <w:rPr>
                <w:sz w:val="20"/>
              </w:rPr>
              <w:t xml:space="preserve"> Порядка (если применимо)</w:t>
            </w:r>
          </w:p>
        </w:tc>
      </w:tr>
      <w:tr>
        <w:tc>
          <w:tcPr>
            <w:tcW w:w="794" w:type="dxa"/>
          </w:tcPr>
          <w:p>
            <w:pPr>
              <w:pStyle w:val="0"/>
            </w:pPr>
            <w:r>
              <w:rPr>
                <w:sz w:val="20"/>
              </w:rPr>
              <w:t xml:space="preserve">7</w:t>
            </w:r>
          </w:p>
        </w:tc>
        <w:tc>
          <w:tcPr>
            <w:tcW w:w="8277" w:type="dxa"/>
          </w:tcPr>
          <w:p>
            <w:pPr>
              <w:pStyle w:val="0"/>
            </w:pPr>
            <w:r>
              <w:rPr>
                <w:sz w:val="20"/>
              </w:rPr>
              <w:t xml:space="preserve">Документы, подтверждающие осуществление инвестиций на создание гостиничного комплекса, связанных со строительством и (или) реконструкцией гостиничного комплекса, а также со строительством объектов инженерной и дорожной инфраструктуры:</w:t>
            </w:r>
          </w:p>
        </w:tc>
      </w:tr>
      <w:tr>
        <w:tc>
          <w:tcPr>
            <w:tcW w:w="794" w:type="dxa"/>
          </w:tcPr>
          <w:p>
            <w:pPr>
              <w:pStyle w:val="0"/>
            </w:pPr>
            <w:r>
              <w:rPr>
                <w:sz w:val="20"/>
              </w:rPr>
              <w:t xml:space="preserve">7.1</w:t>
            </w:r>
          </w:p>
        </w:tc>
        <w:tc>
          <w:tcPr>
            <w:tcW w:w="8277" w:type="dxa"/>
          </w:tcPr>
          <w:p>
            <w:pPr>
              <w:pStyle w:val="0"/>
            </w:pPr>
            <w:r>
              <w:rPr>
                <w:sz w:val="20"/>
              </w:rPr>
              <w:t xml:space="preserve">Договоры (контракты)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на строительство и (или) реконструкцию объекта капитального строительства, договоры (контракты) на приобретение и доставку материалов (при наличии)</w:t>
            </w:r>
          </w:p>
        </w:tc>
      </w:tr>
      <w:tr>
        <w:tc>
          <w:tcPr>
            <w:tcW w:w="794" w:type="dxa"/>
          </w:tcPr>
          <w:p>
            <w:pPr>
              <w:pStyle w:val="0"/>
            </w:pPr>
            <w:r>
              <w:rPr>
                <w:sz w:val="20"/>
              </w:rPr>
              <w:t xml:space="preserve">7.2</w:t>
            </w:r>
          </w:p>
        </w:tc>
        <w:tc>
          <w:tcPr>
            <w:tcW w:w="8277" w:type="dxa"/>
          </w:tcPr>
          <w:p>
            <w:pPr>
              <w:pStyle w:val="0"/>
            </w:pPr>
            <w:r>
              <w:rPr>
                <w:sz w:val="20"/>
              </w:rPr>
              <w:t xml:space="preserve">Акты, подтверждающие затраты на строительство и (или) реконструкцию гостиничного комплекса:</w:t>
            </w:r>
          </w:p>
        </w:tc>
      </w:tr>
      <w:tr>
        <w:tc>
          <w:tcPr>
            <w:tcW w:w="794" w:type="dxa"/>
          </w:tcPr>
          <w:p>
            <w:pPr>
              <w:pStyle w:val="0"/>
            </w:pPr>
            <w:r>
              <w:rPr>
                <w:sz w:val="20"/>
              </w:rPr>
              <w:t xml:space="preserve">7.2.1</w:t>
            </w:r>
          </w:p>
        </w:tc>
        <w:tc>
          <w:tcPr>
            <w:tcW w:w="8277" w:type="dxa"/>
          </w:tcPr>
          <w:p>
            <w:pPr>
              <w:pStyle w:val="0"/>
            </w:pPr>
            <w:r>
              <w:rPr>
                <w:sz w:val="20"/>
              </w:rPr>
              <w:t xml:space="preserve">Акты КС-2 и (или) форма ОС-1, и (или) форма ОС-3, и (или) накладные на приобретение строительных материалов (представляются в случае проведения работ подрядным способом)</w:t>
            </w:r>
          </w:p>
        </w:tc>
      </w:tr>
      <w:tr>
        <w:tc>
          <w:tcPr>
            <w:tcW w:w="794" w:type="dxa"/>
          </w:tcPr>
          <w:p>
            <w:pPr>
              <w:pStyle w:val="0"/>
            </w:pPr>
            <w:r>
              <w:rPr>
                <w:sz w:val="20"/>
              </w:rPr>
              <w:t xml:space="preserve">7.2.2</w:t>
            </w:r>
          </w:p>
        </w:tc>
        <w:tc>
          <w:tcPr>
            <w:tcW w:w="8277" w:type="dxa"/>
          </w:tcPr>
          <w:p>
            <w:pPr>
              <w:pStyle w:val="0"/>
            </w:pPr>
            <w:r>
              <w:rPr>
                <w:sz w:val="20"/>
              </w:rPr>
              <w:t xml:space="preserve">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лицензии на осуществление строительства зданий и сооружений, свидетельство саморегулируемой организации (далее - СРО) на допуск к работам, оказывающим влияние на безопасность объектов капитального строительства при проведении претендентом строительно-монтажных работ хозяйственным способом (при наличии) (представляются в случае ведения работ хозяйственным способом)</w:t>
            </w:r>
          </w:p>
        </w:tc>
      </w:tr>
      <w:tr>
        <w:tc>
          <w:tcPr>
            <w:tcW w:w="794" w:type="dxa"/>
          </w:tcPr>
          <w:p>
            <w:pPr>
              <w:pStyle w:val="0"/>
            </w:pPr>
            <w:r>
              <w:rPr>
                <w:sz w:val="20"/>
              </w:rPr>
              <w:t xml:space="preserve">7.3</w:t>
            </w:r>
          </w:p>
        </w:tc>
        <w:tc>
          <w:tcPr>
            <w:tcW w:w="8277" w:type="dxa"/>
          </w:tcPr>
          <w:p>
            <w:pPr>
              <w:pStyle w:val="0"/>
            </w:pPr>
            <w:r>
              <w:rPr>
                <w:sz w:val="20"/>
              </w:rPr>
              <w:t xml:space="preserve">Платежные документы, подтверждающие оплату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и (или) реконструкцию объекта капитального строительства в рамках создания гостиничного комплекса, на приобретение и доставку материалов (при наличии)</w:t>
            </w:r>
          </w:p>
        </w:tc>
      </w:tr>
      <w:tr>
        <w:tc>
          <w:tcPr>
            <w:tcW w:w="794" w:type="dxa"/>
          </w:tcPr>
          <w:p>
            <w:pPr>
              <w:pStyle w:val="0"/>
            </w:pPr>
            <w:r>
              <w:rPr>
                <w:sz w:val="20"/>
              </w:rPr>
              <w:t xml:space="preserve">7.4</w:t>
            </w:r>
          </w:p>
        </w:tc>
        <w:tc>
          <w:tcPr>
            <w:tcW w:w="8277" w:type="dxa"/>
          </w:tcPr>
          <w:p>
            <w:pPr>
              <w:pStyle w:val="0"/>
            </w:pPr>
            <w:r>
              <w:rPr>
                <w:sz w:val="20"/>
              </w:rPr>
              <w:t xml:space="preserve">Инвестиционные договоры (контракты), акты сдачи-приемки выполненных работ или акты о приеме-передаче здания (сооружения) в рамках исполнения обязательств по инвестиционному договору (контракту), платежных поручений по выполненным работам (представляются в случае, если обязательства по выполнению работ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и (или) строительство и (или) реконструкцию объекта капитального строительства и (или) приобретение и доставку материалов возлагаются на технического заказчика (исполнителя) в рамках инвестиционного договора (контракта)</w:t>
            </w:r>
          </w:p>
        </w:tc>
      </w:tr>
      <w:tr>
        <w:tc>
          <w:tcPr>
            <w:tcW w:w="794" w:type="dxa"/>
          </w:tcPr>
          <w:p>
            <w:pPr>
              <w:pStyle w:val="0"/>
            </w:pPr>
            <w:r>
              <w:rPr>
                <w:sz w:val="20"/>
              </w:rPr>
              <w:t xml:space="preserve">8</w:t>
            </w:r>
          </w:p>
        </w:tc>
        <w:tc>
          <w:tcPr>
            <w:tcW w:w="8277" w:type="dxa"/>
          </w:tcPr>
          <w:p>
            <w:pPr>
              <w:pStyle w:val="0"/>
            </w:pPr>
            <w:r>
              <w:rPr>
                <w:sz w:val="20"/>
              </w:rPr>
              <w:t xml:space="preserve">Документы, подтверждающие осуществление инвестиций на создание гостиничного комплекса, связанных с приобретением оборудования для функционирования гостиничного комплекса:</w:t>
            </w:r>
          </w:p>
        </w:tc>
      </w:tr>
      <w:tr>
        <w:tc>
          <w:tcPr>
            <w:tcW w:w="794" w:type="dxa"/>
          </w:tcPr>
          <w:p>
            <w:pPr>
              <w:pStyle w:val="0"/>
            </w:pPr>
            <w:r>
              <w:rPr>
                <w:sz w:val="20"/>
              </w:rPr>
              <w:t xml:space="preserve">8.1</w:t>
            </w:r>
          </w:p>
        </w:tc>
        <w:tc>
          <w:tcPr>
            <w:tcW w:w="8277" w:type="dxa"/>
          </w:tcPr>
          <w:p>
            <w:pPr>
              <w:pStyle w:val="0"/>
            </w:pPr>
            <w:r>
              <w:rPr>
                <w:sz w:val="20"/>
              </w:rPr>
              <w:t xml:space="preserve">Договоры (контракты) на приобретение оборудования, включая затраты на монтаж и доставку оборудования. В случае если договор составлен на языке, отличном от русского, к договору (контракту) прилагается его нотариально заверенный перевод на русский язык</w:t>
            </w:r>
          </w:p>
        </w:tc>
      </w:tr>
      <w:tr>
        <w:tc>
          <w:tcPr>
            <w:tcW w:w="794" w:type="dxa"/>
          </w:tcPr>
          <w:p>
            <w:pPr>
              <w:pStyle w:val="0"/>
            </w:pPr>
            <w:r>
              <w:rPr>
                <w:sz w:val="20"/>
              </w:rPr>
              <w:t xml:space="preserve">8.2</w:t>
            </w:r>
          </w:p>
        </w:tc>
        <w:tc>
          <w:tcPr>
            <w:tcW w:w="8277" w:type="dxa"/>
          </w:tcPr>
          <w:p>
            <w:pPr>
              <w:pStyle w:val="0"/>
            </w:pPr>
            <w:r>
              <w:rPr>
                <w:sz w:val="20"/>
              </w:rPr>
              <w:t xml:space="preserve">Документы о постановке основных средств на баланс претендента (акт о приеме-передаче объекта основных средств (кроме зданий, сооружений) (по унифицированной </w:t>
            </w:r>
            <w:hyperlink w:history="0" r:id="rId36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N ОС-1</w:t>
              </w:r>
            </w:hyperlink>
            <w:r>
              <w:rPr>
                <w:sz w:val="20"/>
              </w:rPr>
              <w:t xml:space="preserve">,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tc>
      </w:tr>
      <w:tr>
        <w:tc>
          <w:tcPr>
            <w:tcW w:w="794" w:type="dxa"/>
          </w:tcPr>
          <w:p>
            <w:pPr>
              <w:pStyle w:val="0"/>
            </w:pPr>
            <w:r>
              <w:rPr>
                <w:sz w:val="20"/>
              </w:rPr>
              <w:t xml:space="preserve">8.3</w:t>
            </w:r>
          </w:p>
        </w:tc>
        <w:tc>
          <w:tcPr>
            <w:tcW w:w="8277" w:type="dxa"/>
          </w:tcPr>
          <w:p>
            <w:pPr>
              <w:pStyle w:val="0"/>
            </w:pPr>
            <w:r>
              <w:rPr>
                <w:sz w:val="20"/>
              </w:rPr>
              <w:t xml:space="preserve">Платежные документы, подтверждающие оплату договоров на приобретение оборудования, включая затраты на монтаж и доставку оборудования</w:t>
            </w:r>
          </w:p>
        </w:tc>
      </w:tr>
      <w:tr>
        <w:tc>
          <w:tcPr>
            <w:tcW w:w="794" w:type="dxa"/>
          </w:tcPr>
          <w:p>
            <w:pPr>
              <w:pStyle w:val="0"/>
            </w:pPr>
            <w:r>
              <w:rPr>
                <w:sz w:val="20"/>
              </w:rPr>
              <w:t xml:space="preserve">8.4</w:t>
            </w:r>
          </w:p>
        </w:tc>
        <w:tc>
          <w:tcPr>
            <w:tcW w:w="8277" w:type="dxa"/>
          </w:tcPr>
          <w:p>
            <w:pPr>
              <w:pStyle w:val="0"/>
            </w:pPr>
            <w:r>
              <w:rPr>
                <w:sz w:val="20"/>
              </w:rPr>
              <w:t xml:space="preserve">Инвестиционные договоры (контракты), акты о приеме-передаче объекта основных средств (кроме зданий, сооружений) в рамках исполнения обязательств по инвестиционному договору (контракту), платежных поручений на приобретенное оборудование (представляются в случае, если обязательства по приобретению оборудования, включая затраты на монтаж и доставку оборудования, возлагаются на технического заказчика (исполнителя) в рамках инвестиционного договора (контракта)</w:t>
            </w:r>
          </w:p>
        </w:tc>
      </w:tr>
      <w:tr>
        <w:tc>
          <w:tcPr>
            <w:tcW w:w="794" w:type="dxa"/>
          </w:tcPr>
          <w:p>
            <w:pPr>
              <w:pStyle w:val="0"/>
            </w:pPr>
            <w:r>
              <w:rPr>
                <w:sz w:val="20"/>
              </w:rPr>
              <w:t xml:space="preserve">9</w:t>
            </w:r>
          </w:p>
        </w:tc>
        <w:tc>
          <w:tcPr>
            <w:tcW w:w="8277" w:type="dxa"/>
          </w:tcPr>
          <w:p>
            <w:pPr>
              <w:pStyle w:val="0"/>
            </w:pPr>
            <w:r>
              <w:rPr>
                <w:sz w:val="20"/>
              </w:rPr>
              <w:t xml:space="preserve">Документы, подтверждающие осуществление затрат претендента, связанных с частичным возмещением затрат претендента на газоснабжение, газораспределение:</w:t>
            </w:r>
          </w:p>
        </w:tc>
      </w:tr>
      <w:tr>
        <w:tc>
          <w:tcPr>
            <w:tcW w:w="794" w:type="dxa"/>
          </w:tcPr>
          <w:p>
            <w:pPr>
              <w:pStyle w:val="0"/>
            </w:pPr>
            <w:r>
              <w:rPr>
                <w:sz w:val="20"/>
              </w:rPr>
              <w:t xml:space="preserve">9.1</w:t>
            </w:r>
          </w:p>
        </w:tc>
        <w:tc>
          <w:tcPr>
            <w:tcW w:w="8277" w:type="dxa"/>
          </w:tcPr>
          <w:p>
            <w:pPr>
              <w:pStyle w:val="0"/>
            </w:pPr>
            <w:r>
              <w:rPr>
                <w:sz w:val="20"/>
              </w:rPr>
              <w:t xml:space="preserve">Договоры на строительство объектов газоснабжения, газораспределения (в случае проведения работ по созданию объектов газоснабжения, газораспределения), подключение (технологическое присоединение) гостиничного комплекса к сетям газоснабжения, газораспределения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tc>
          <w:tcPr>
            <w:tcW w:w="794" w:type="dxa"/>
          </w:tcPr>
          <w:p>
            <w:pPr>
              <w:pStyle w:val="0"/>
            </w:pPr>
            <w:r>
              <w:rPr>
                <w:sz w:val="20"/>
              </w:rPr>
              <w:t xml:space="preserve">9.2</w:t>
            </w:r>
          </w:p>
        </w:tc>
        <w:tc>
          <w:tcPr>
            <w:tcW w:w="8277" w:type="dxa"/>
          </w:tcPr>
          <w:p>
            <w:pPr>
              <w:pStyle w:val="0"/>
            </w:pPr>
            <w:r>
              <w:rPr>
                <w:sz w:val="20"/>
              </w:rPr>
              <w:t xml:space="preserve">Договоры (контракты)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возмещения (при наличии)</w:t>
            </w:r>
          </w:p>
        </w:tc>
      </w:tr>
      <w:tr>
        <w:tc>
          <w:tcPr>
            <w:tcW w:w="794" w:type="dxa"/>
          </w:tcPr>
          <w:p>
            <w:pPr>
              <w:pStyle w:val="0"/>
            </w:pPr>
            <w:r>
              <w:rPr>
                <w:sz w:val="20"/>
              </w:rPr>
              <w:t xml:space="preserve">9.3</w:t>
            </w:r>
          </w:p>
        </w:tc>
        <w:tc>
          <w:tcPr>
            <w:tcW w:w="8277" w:type="dxa"/>
          </w:tcPr>
          <w:p>
            <w:pPr>
              <w:pStyle w:val="0"/>
            </w:pPr>
            <w:r>
              <w:rPr>
                <w:sz w:val="20"/>
              </w:rPr>
              <w:t xml:space="preserve">Технические условия на технологическое присоединение гостиничного комплекса к сетям газоснабжения, газораспределения за период возмещения</w:t>
            </w:r>
          </w:p>
        </w:tc>
      </w:tr>
      <w:tr>
        <w:tc>
          <w:tcPr>
            <w:tcW w:w="794" w:type="dxa"/>
          </w:tcPr>
          <w:p>
            <w:pPr>
              <w:pStyle w:val="0"/>
            </w:pPr>
            <w:r>
              <w:rPr>
                <w:sz w:val="20"/>
              </w:rPr>
              <w:t xml:space="preserve">9.4</w:t>
            </w:r>
          </w:p>
        </w:tc>
        <w:tc>
          <w:tcPr>
            <w:tcW w:w="8277" w:type="dxa"/>
          </w:tcPr>
          <w:p>
            <w:pPr>
              <w:pStyle w:val="0"/>
            </w:pPr>
            <w:r>
              <w:rPr>
                <w:sz w:val="20"/>
              </w:rPr>
              <w:t xml:space="preserve">Акты о технологическом присоединении гостиничного комплекса к сетям газоснабжения, газораспределения за период возмещения</w:t>
            </w:r>
          </w:p>
        </w:tc>
      </w:tr>
      <w:tr>
        <w:tc>
          <w:tcPr>
            <w:tcW w:w="794" w:type="dxa"/>
          </w:tcPr>
          <w:p>
            <w:pPr>
              <w:pStyle w:val="0"/>
            </w:pPr>
            <w:r>
              <w:rPr>
                <w:sz w:val="20"/>
              </w:rPr>
              <w:t xml:space="preserve">9.5</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объектов газоснабжения, газораспределения (при наличии), подключение (технологическое присоединение) к сетям газоснабжения, газораспределения,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9.6</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 стоимости строительства</w:t>
            </w:r>
          </w:p>
        </w:tc>
      </w:tr>
      <w:tr>
        <w:tc>
          <w:tcPr>
            <w:tcW w:w="794" w:type="dxa"/>
          </w:tcPr>
          <w:p>
            <w:pPr>
              <w:pStyle w:val="0"/>
            </w:pPr>
            <w:r>
              <w:rPr>
                <w:sz w:val="20"/>
              </w:rPr>
              <w:t xml:space="preserve">10</w:t>
            </w:r>
          </w:p>
        </w:tc>
        <w:tc>
          <w:tcPr>
            <w:tcW w:w="8277" w:type="dxa"/>
          </w:tcPr>
          <w:p>
            <w:pPr>
              <w:pStyle w:val="0"/>
            </w:pPr>
            <w:r>
              <w:rPr>
                <w:sz w:val="20"/>
              </w:rPr>
              <w:t xml:space="preserve">Документы, подтверждающие осуществление затрат претендента, связанных с частичным возмещением затрат претендента на электроснабжение:</w:t>
            </w:r>
          </w:p>
        </w:tc>
      </w:tr>
      <w:tr>
        <w:tc>
          <w:tcPr>
            <w:tcW w:w="794" w:type="dxa"/>
          </w:tcPr>
          <w:p>
            <w:pPr>
              <w:pStyle w:val="0"/>
            </w:pPr>
            <w:r>
              <w:rPr>
                <w:sz w:val="20"/>
              </w:rPr>
              <w:t xml:space="preserve">10.1</w:t>
            </w:r>
          </w:p>
        </w:tc>
        <w:tc>
          <w:tcPr>
            <w:tcW w:w="8277" w:type="dxa"/>
          </w:tcPr>
          <w:p>
            <w:pPr>
              <w:pStyle w:val="0"/>
            </w:pPr>
            <w:r>
              <w:rPr>
                <w:sz w:val="20"/>
              </w:rPr>
              <w:t xml:space="preserve">Договоры на строительство объектов электроснабжения (в случае проведения работ по созданию объектов электроснабжения), подключение (технологическое присоединение) гостиничного комплекса к сетям электроснабжения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tc>
          <w:tcPr>
            <w:tcW w:w="794" w:type="dxa"/>
          </w:tcPr>
          <w:p>
            <w:pPr>
              <w:pStyle w:val="0"/>
            </w:pPr>
            <w:r>
              <w:rPr>
                <w:sz w:val="20"/>
              </w:rPr>
              <w:t xml:space="preserve">10.2</w:t>
            </w:r>
          </w:p>
        </w:tc>
        <w:tc>
          <w:tcPr>
            <w:tcW w:w="8277" w:type="dxa"/>
          </w:tcPr>
          <w:p>
            <w:pPr>
              <w:pStyle w:val="0"/>
            </w:pPr>
            <w:r>
              <w:rPr>
                <w:sz w:val="20"/>
              </w:rPr>
              <w:t xml:space="preserve">Договоры (контракты)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электроснабжения за период возмещения (при наличии)</w:t>
            </w:r>
          </w:p>
        </w:tc>
      </w:tr>
      <w:tr>
        <w:tc>
          <w:tcPr>
            <w:tcW w:w="794" w:type="dxa"/>
          </w:tcPr>
          <w:p>
            <w:pPr>
              <w:pStyle w:val="0"/>
            </w:pPr>
            <w:r>
              <w:rPr>
                <w:sz w:val="20"/>
              </w:rPr>
              <w:t xml:space="preserve">10.3</w:t>
            </w:r>
          </w:p>
        </w:tc>
        <w:tc>
          <w:tcPr>
            <w:tcW w:w="8277" w:type="dxa"/>
          </w:tcPr>
          <w:p>
            <w:pPr>
              <w:pStyle w:val="0"/>
            </w:pPr>
            <w:r>
              <w:rPr>
                <w:sz w:val="20"/>
              </w:rPr>
              <w:t xml:space="preserve">Технические условия на технологическое присоединение к электрическим сетям гостиничного комплекса за период возмещения</w:t>
            </w:r>
          </w:p>
        </w:tc>
      </w:tr>
      <w:tr>
        <w:tblPrEx>
          <w:tblBorders>
            <w:insideH w:val="nil"/>
          </w:tblBorders>
        </w:tblPrEx>
        <w:tc>
          <w:tcPr>
            <w:tcW w:w="794" w:type="dxa"/>
            <w:tcBorders>
              <w:bottom w:val="nil"/>
            </w:tcBorders>
          </w:tcPr>
          <w:p>
            <w:pPr>
              <w:pStyle w:val="0"/>
            </w:pPr>
            <w:r>
              <w:rPr>
                <w:sz w:val="20"/>
              </w:rPr>
              <w:t xml:space="preserve">10.4</w:t>
            </w:r>
          </w:p>
        </w:tc>
        <w:tc>
          <w:tcPr>
            <w:tcW w:w="8277" w:type="dxa"/>
            <w:tcBorders>
              <w:bottom w:val="nil"/>
            </w:tcBorders>
          </w:tcPr>
          <w:p>
            <w:pPr>
              <w:pStyle w:val="0"/>
            </w:pPr>
            <w:r>
              <w:rPr>
                <w:sz w:val="20"/>
              </w:rPr>
              <w:t xml:space="preserve">Акты о технологическом присоединении гостиничного комплекса к электрическим сетям за период возмещения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66"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794" w:type="dxa"/>
          </w:tcPr>
          <w:p>
            <w:pPr>
              <w:pStyle w:val="0"/>
            </w:pPr>
            <w:r>
              <w:rPr>
                <w:sz w:val="20"/>
              </w:rPr>
              <w:t xml:space="preserve">10.5</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объектов электроснабжения (при наличии), подключение (технологическое присоединение) к сетям электроснабжения,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10.6</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 стоимости строительства</w:t>
            </w:r>
          </w:p>
        </w:tc>
      </w:tr>
      <w:tr>
        <w:tc>
          <w:tcPr>
            <w:tcW w:w="794" w:type="dxa"/>
          </w:tcPr>
          <w:p>
            <w:pPr>
              <w:pStyle w:val="0"/>
            </w:pPr>
            <w:r>
              <w:rPr>
                <w:sz w:val="20"/>
              </w:rPr>
              <w:t xml:space="preserve">11</w:t>
            </w:r>
          </w:p>
        </w:tc>
        <w:tc>
          <w:tcPr>
            <w:tcW w:w="8277" w:type="dxa"/>
          </w:tcPr>
          <w:p>
            <w:pPr>
              <w:pStyle w:val="0"/>
            </w:pPr>
            <w:r>
              <w:rPr>
                <w:sz w:val="20"/>
              </w:rPr>
              <w:t xml:space="preserve">Документы, подтверждающие осуществление затрат претендента, связанных с частичным возмещением затрат претендента на теплоснабжение:</w:t>
            </w:r>
          </w:p>
        </w:tc>
      </w:tr>
      <w:tr>
        <w:tc>
          <w:tcPr>
            <w:tcW w:w="794" w:type="dxa"/>
          </w:tcPr>
          <w:p>
            <w:pPr>
              <w:pStyle w:val="0"/>
            </w:pPr>
            <w:r>
              <w:rPr>
                <w:sz w:val="20"/>
              </w:rPr>
              <w:t xml:space="preserve">11.1</w:t>
            </w:r>
          </w:p>
        </w:tc>
        <w:tc>
          <w:tcPr>
            <w:tcW w:w="8277" w:type="dxa"/>
          </w:tcPr>
          <w:p>
            <w:pPr>
              <w:pStyle w:val="0"/>
            </w:pPr>
            <w:r>
              <w:rPr>
                <w:sz w:val="20"/>
              </w:rPr>
              <w:t xml:space="preserve">Договоры на строительство объектов теплоснабжения (в случае проведения работ по созданию объектов теплоснабжения), подключение (технологическое присоединение) гостиничного комплекса к сетям теплоснабжения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tc>
          <w:tcPr>
            <w:tcW w:w="794" w:type="dxa"/>
          </w:tcPr>
          <w:p>
            <w:pPr>
              <w:pStyle w:val="0"/>
            </w:pPr>
            <w:r>
              <w:rPr>
                <w:sz w:val="20"/>
              </w:rPr>
              <w:t xml:space="preserve">11.2</w:t>
            </w:r>
          </w:p>
        </w:tc>
        <w:tc>
          <w:tcPr>
            <w:tcW w:w="8277" w:type="dxa"/>
          </w:tcPr>
          <w:p>
            <w:pPr>
              <w:pStyle w:val="0"/>
            </w:pPr>
            <w:r>
              <w:rPr>
                <w:sz w:val="20"/>
              </w:rPr>
              <w:t xml:space="preserve">Договоры (контракты)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теплоснабжения за период возмещения (при наличии)</w:t>
            </w:r>
          </w:p>
        </w:tc>
      </w:tr>
      <w:tr>
        <w:tc>
          <w:tcPr>
            <w:tcW w:w="794" w:type="dxa"/>
          </w:tcPr>
          <w:p>
            <w:pPr>
              <w:pStyle w:val="0"/>
            </w:pPr>
            <w:r>
              <w:rPr>
                <w:sz w:val="20"/>
              </w:rPr>
              <w:t xml:space="preserve">11.3</w:t>
            </w:r>
          </w:p>
        </w:tc>
        <w:tc>
          <w:tcPr>
            <w:tcW w:w="8277" w:type="dxa"/>
          </w:tcPr>
          <w:p>
            <w:pPr>
              <w:pStyle w:val="0"/>
            </w:pPr>
            <w:r>
              <w:rPr>
                <w:sz w:val="20"/>
              </w:rPr>
              <w:t xml:space="preserve">Технические условия на технологическое присоединение гостиничного комплекса к сетям теплоснабжения за период возмещения (за исключением строительства котельной)</w:t>
            </w:r>
          </w:p>
        </w:tc>
      </w:tr>
      <w:tr>
        <w:tc>
          <w:tcPr>
            <w:tcW w:w="794" w:type="dxa"/>
          </w:tcPr>
          <w:p>
            <w:pPr>
              <w:pStyle w:val="0"/>
            </w:pPr>
            <w:r>
              <w:rPr>
                <w:sz w:val="20"/>
              </w:rPr>
              <w:t xml:space="preserve">11.4</w:t>
            </w:r>
          </w:p>
        </w:tc>
        <w:tc>
          <w:tcPr>
            <w:tcW w:w="8277" w:type="dxa"/>
          </w:tcPr>
          <w:p>
            <w:pPr>
              <w:pStyle w:val="0"/>
            </w:pPr>
            <w:r>
              <w:rPr>
                <w:sz w:val="20"/>
              </w:rPr>
              <w:t xml:space="preserve">Акты о технологическом присоединении гостиничного комплекса к сетям теплоснабжения за период возмещения (за исключением строительства котельной)</w:t>
            </w:r>
          </w:p>
        </w:tc>
      </w:tr>
      <w:tr>
        <w:tc>
          <w:tcPr>
            <w:tcW w:w="794" w:type="dxa"/>
          </w:tcPr>
          <w:p>
            <w:pPr>
              <w:pStyle w:val="0"/>
            </w:pPr>
            <w:r>
              <w:rPr>
                <w:sz w:val="20"/>
              </w:rPr>
              <w:t xml:space="preserve">11.5</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объектов теплоснабжения (при наличии),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11.6</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 стоимости строительства</w:t>
            </w:r>
          </w:p>
        </w:tc>
      </w:tr>
      <w:tr>
        <w:tc>
          <w:tcPr>
            <w:tcW w:w="794" w:type="dxa"/>
          </w:tcPr>
          <w:p>
            <w:pPr>
              <w:pStyle w:val="0"/>
            </w:pPr>
            <w:r>
              <w:rPr>
                <w:sz w:val="20"/>
              </w:rPr>
              <w:t xml:space="preserve">11.7</w:t>
            </w:r>
          </w:p>
        </w:tc>
        <w:tc>
          <w:tcPr>
            <w:tcW w:w="8277" w:type="dxa"/>
          </w:tcPr>
          <w:p>
            <w:pPr>
              <w:pStyle w:val="0"/>
            </w:pPr>
            <w:r>
              <w:rPr>
                <w:sz w:val="20"/>
              </w:rPr>
              <w:t xml:space="preserve">Документ от правомочной организации или ЦИО Московской области (в том числе администрации муниципального образования), подтверждающий отсутствие возможности подключения к центральным сетям теплоснабжения (в случае строительства котельной)</w:t>
            </w:r>
          </w:p>
        </w:tc>
      </w:tr>
      <w:tr>
        <w:tc>
          <w:tcPr>
            <w:tcW w:w="794" w:type="dxa"/>
          </w:tcPr>
          <w:p>
            <w:pPr>
              <w:pStyle w:val="0"/>
            </w:pPr>
            <w:r>
              <w:rPr>
                <w:sz w:val="20"/>
              </w:rPr>
              <w:t xml:space="preserve">12</w:t>
            </w:r>
          </w:p>
        </w:tc>
        <w:tc>
          <w:tcPr>
            <w:tcW w:w="8277" w:type="dxa"/>
          </w:tcPr>
          <w:p>
            <w:pPr>
              <w:pStyle w:val="0"/>
            </w:pPr>
            <w:r>
              <w:rPr>
                <w:sz w:val="20"/>
              </w:rPr>
              <w:t xml:space="preserve">Документы, подтверждающие осуществление затрат претендента, связанных с частичным возмещением затрат претендента на водоснабжение и водоотведение:</w:t>
            </w:r>
          </w:p>
        </w:tc>
      </w:tr>
      <w:tr>
        <w:tc>
          <w:tcPr>
            <w:tcW w:w="794" w:type="dxa"/>
          </w:tcPr>
          <w:p>
            <w:pPr>
              <w:pStyle w:val="0"/>
            </w:pPr>
            <w:r>
              <w:rPr>
                <w:sz w:val="20"/>
              </w:rPr>
              <w:t xml:space="preserve">12.1</w:t>
            </w:r>
          </w:p>
        </w:tc>
        <w:tc>
          <w:tcPr>
            <w:tcW w:w="8277" w:type="dxa"/>
          </w:tcPr>
          <w:p>
            <w:pPr>
              <w:pStyle w:val="0"/>
            </w:pPr>
            <w:r>
              <w:rPr>
                <w:sz w:val="20"/>
              </w:rPr>
              <w:t xml:space="preserve">Договоры на строительство объектов водоснабжения и водоотведения (в случае проведения работ по созданию объектов водоснабжения и водоотведения), подключение (технологическое присоединение) гостиничного комплекса к центральным сетям водоснабжения и водоотведения с приложением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tc>
          <w:tcPr>
            <w:tcW w:w="794" w:type="dxa"/>
          </w:tcPr>
          <w:p>
            <w:pPr>
              <w:pStyle w:val="0"/>
            </w:pPr>
            <w:r>
              <w:rPr>
                <w:sz w:val="20"/>
              </w:rPr>
              <w:t xml:space="preserve">12.2</w:t>
            </w:r>
          </w:p>
        </w:tc>
        <w:tc>
          <w:tcPr>
            <w:tcW w:w="8277" w:type="dxa"/>
          </w:tcPr>
          <w:p>
            <w:pPr>
              <w:pStyle w:val="0"/>
            </w:pPr>
            <w:r>
              <w:rPr>
                <w:sz w:val="20"/>
              </w:rPr>
              <w:t xml:space="preserve">Договоры (контракты)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водоснабжения и водоотведения за период возмещения (при наличии)</w:t>
            </w:r>
          </w:p>
        </w:tc>
      </w:tr>
      <w:tr>
        <w:tc>
          <w:tcPr>
            <w:tcW w:w="794" w:type="dxa"/>
          </w:tcPr>
          <w:p>
            <w:pPr>
              <w:pStyle w:val="0"/>
            </w:pPr>
            <w:r>
              <w:rPr>
                <w:sz w:val="20"/>
              </w:rPr>
              <w:t xml:space="preserve">12.3</w:t>
            </w:r>
          </w:p>
        </w:tc>
        <w:tc>
          <w:tcPr>
            <w:tcW w:w="8277" w:type="dxa"/>
          </w:tcPr>
          <w:p>
            <w:pPr>
              <w:pStyle w:val="0"/>
            </w:pPr>
            <w:r>
              <w:rPr>
                <w:sz w:val="20"/>
              </w:rPr>
              <w:t xml:space="preserve">Технические условия на технологическое присоединение гостиничного комплекса к центральным сетям водоснабжения и водоотведения за период возмещения</w:t>
            </w:r>
          </w:p>
        </w:tc>
      </w:tr>
      <w:tr>
        <w:tc>
          <w:tcPr>
            <w:tcW w:w="794" w:type="dxa"/>
          </w:tcPr>
          <w:p>
            <w:pPr>
              <w:pStyle w:val="0"/>
            </w:pPr>
            <w:r>
              <w:rPr>
                <w:sz w:val="20"/>
              </w:rPr>
              <w:t xml:space="preserve">12.4</w:t>
            </w:r>
          </w:p>
        </w:tc>
        <w:tc>
          <w:tcPr>
            <w:tcW w:w="8277" w:type="dxa"/>
          </w:tcPr>
          <w:p>
            <w:pPr>
              <w:pStyle w:val="0"/>
            </w:pPr>
            <w:r>
              <w:rPr>
                <w:sz w:val="20"/>
              </w:rPr>
              <w:t xml:space="preserve">Акты о технологическом присоединении гостиничного комплекса к центральным сетям водоснабжения и водоотведения за период возмещения</w:t>
            </w:r>
          </w:p>
        </w:tc>
      </w:tr>
      <w:tr>
        <w:tc>
          <w:tcPr>
            <w:tcW w:w="794" w:type="dxa"/>
          </w:tcPr>
          <w:p>
            <w:pPr>
              <w:pStyle w:val="0"/>
            </w:pPr>
            <w:r>
              <w:rPr>
                <w:sz w:val="20"/>
              </w:rPr>
              <w:t xml:space="preserve">12.5</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объектов водоснабжения и водоотведения (при наличии), подключение (технологическое присоединение) к сетям водоснабжения и водоотведения,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12.6</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 с приложением локальных и сводных сметных расчетов стоимости строительства</w:t>
            </w:r>
          </w:p>
        </w:tc>
      </w:tr>
      <w:tr>
        <w:tc>
          <w:tcPr>
            <w:tcW w:w="794" w:type="dxa"/>
          </w:tcPr>
          <w:p>
            <w:pPr>
              <w:pStyle w:val="0"/>
            </w:pPr>
            <w:r>
              <w:rPr>
                <w:sz w:val="20"/>
              </w:rPr>
              <w:t xml:space="preserve">13</w:t>
            </w:r>
          </w:p>
        </w:tc>
        <w:tc>
          <w:tcPr>
            <w:tcW w:w="8277" w:type="dxa"/>
          </w:tcPr>
          <w:p>
            <w:pPr>
              <w:pStyle w:val="0"/>
            </w:pPr>
            <w:r>
              <w:rPr>
                <w:sz w:val="20"/>
              </w:rPr>
              <w:t xml:space="preserve">Документы, подтверждающие осуществление затрат претендента на строительство и (или) реконструкцию (в том числе модернизацию), техническое перевооружение объектов очистных сооружений:</w:t>
            </w:r>
          </w:p>
        </w:tc>
      </w:tr>
      <w:tr>
        <w:tc>
          <w:tcPr>
            <w:tcW w:w="794" w:type="dxa"/>
          </w:tcPr>
          <w:p>
            <w:pPr>
              <w:pStyle w:val="0"/>
            </w:pPr>
            <w:r>
              <w:rPr>
                <w:sz w:val="20"/>
              </w:rPr>
              <w:t xml:space="preserve">13.1</w:t>
            </w:r>
          </w:p>
        </w:tc>
        <w:tc>
          <w:tcPr>
            <w:tcW w:w="8277" w:type="dxa"/>
          </w:tcPr>
          <w:p>
            <w:pPr>
              <w:pStyle w:val="0"/>
            </w:pPr>
            <w:r>
              <w:rPr>
                <w:sz w:val="20"/>
              </w:rPr>
              <w:t xml:space="preserve">Проектная документация, подтверждающая эксплуатационные характеристики построенных и (или) реконструированных объектов очистных сооружений (за исключением случаев технического перевооружения объектов очистных сооружений)</w:t>
            </w:r>
          </w:p>
        </w:tc>
      </w:tr>
      <w:tr>
        <w:tblPrEx>
          <w:tblBorders>
            <w:insideH w:val="nil"/>
          </w:tblBorders>
        </w:tblPrEx>
        <w:tc>
          <w:tcPr>
            <w:tcW w:w="794" w:type="dxa"/>
            <w:tcBorders>
              <w:bottom w:val="nil"/>
            </w:tcBorders>
          </w:tcPr>
          <w:p>
            <w:pPr>
              <w:pStyle w:val="0"/>
            </w:pPr>
            <w:r>
              <w:rPr>
                <w:sz w:val="20"/>
              </w:rPr>
              <w:t xml:space="preserve">13.2</w:t>
            </w:r>
          </w:p>
        </w:tc>
        <w:tc>
          <w:tcPr>
            <w:tcW w:w="8277" w:type="dxa"/>
            <w:tcBorders>
              <w:bottom w:val="nil"/>
            </w:tcBorders>
          </w:tcPr>
          <w:p>
            <w:pPr>
              <w:pStyle w:val="0"/>
            </w:pPr>
            <w:r>
              <w:rPr>
                <w:sz w:val="20"/>
              </w:rPr>
              <w:t xml:space="preserve">Договоры (контракты)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(при наличии), строительству, реконструкции (в том числе модернизации), техническому перевооружению объектов очистных сооружений, включая копии договоров подряда (контрактов) приобретения оборудования и материалов, транспортные услуги и работу техники, в том числе в рамках договоров лизинга, за период возмещения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6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794" w:type="dxa"/>
          </w:tcPr>
          <w:p>
            <w:pPr>
              <w:pStyle w:val="0"/>
            </w:pPr>
            <w:r>
              <w:rPr>
                <w:sz w:val="20"/>
              </w:rPr>
              <w:t xml:space="preserve">13.3</w:t>
            </w:r>
          </w:p>
        </w:tc>
        <w:tc>
          <w:tcPr>
            <w:tcW w:w="8277" w:type="dxa"/>
          </w:tcPr>
          <w:p>
            <w:pPr>
              <w:pStyle w:val="0"/>
            </w:pPr>
            <w:r>
              <w:rPr>
                <w:sz w:val="20"/>
              </w:rPr>
              <w:t xml:space="preserve">Разрешение на ввод в эксплуатацию объектов очистных сооружений (в том числе в составе общего разрешения на ввод в эксплуатацию гостиничного комплекса), за исключением случаев технического перевооружения объектов очистных сооружений, за период возмещения (при наличии)</w:t>
            </w:r>
          </w:p>
        </w:tc>
      </w:tr>
      <w:tr>
        <w:tc>
          <w:tcPr>
            <w:tcW w:w="794" w:type="dxa"/>
          </w:tcPr>
          <w:p>
            <w:pPr>
              <w:pStyle w:val="0"/>
            </w:pPr>
            <w:r>
              <w:rPr>
                <w:sz w:val="20"/>
              </w:rPr>
              <w:t xml:space="preserve">13.4</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строительство и (или) реконструкцию (в том числе модернизацию), техническое перевооружение объектов очистных сооружений, включая приобретение оборудования и (или) материалов, и (или) транспортные услуги и работу техники, в том числе в рамках договоров лизинга,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13.5</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 стоимости строительства</w:t>
            </w:r>
          </w:p>
        </w:tc>
      </w:tr>
      <w:tr>
        <w:tc>
          <w:tcPr>
            <w:tcW w:w="794" w:type="dxa"/>
          </w:tcPr>
          <w:p>
            <w:pPr>
              <w:pStyle w:val="0"/>
            </w:pPr>
            <w:r>
              <w:rPr>
                <w:sz w:val="20"/>
              </w:rPr>
              <w:t xml:space="preserve">14</w:t>
            </w:r>
          </w:p>
        </w:tc>
        <w:tc>
          <w:tcPr>
            <w:tcW w:w="8277" w:type="dxa"/>
          </w:tcPr>
          <w:p>
            <w:pPr>
              <w:pStyle w:val="0"/>
            </w:pPr>
            <w:r>
              <w:rPr>
                <w:sz w:val="20"/>
              </w:rPr>
              <w:t xml:space="preserve">Документы, подтверждающие осуществление затрат претендента на строительство и (или) реконструкцию объектов дорожной инфраструктуры (автомобильные дороги):</w:t>
            </w:r>
          </w:p>
        </w:tc>
      </w:tr>
      <w:tr>
        <w:tc>
          <w:tcPr>
            <w:tcW w:w="794" w:type="dxa"/>
          </w:tcPr>
          <w:p>
            <w:pPr>
              <w:pStyle w:val="0"/>
            </w:pPr>
            <w:r>
              <w:rPr>
                <w:sz w:val="20"/>
              </w:rPr>
              <w:t xml:space="preserve">14.1</w:t>
            </w:r>
          </w:p>
        </w:tc>
        <w:tc>
          <w:tcPr>
            <w:tcW w:w="8277" w:type="dxa"/>
          </w:tcPr>
          <w:p>
            <w:pPr>
              <w:pStyle w:val="0"/>
            </w:pPr>
            <w:r>
              <w:rPr>
                <w:sz w:val="20"/>
              </w:rPr>
              <w:t xml:space="preserve">Документ, подтверждающий право использования земельного участка, на котором создан объект дорожной инфраструктуры (автомобильная дорога) (в том числе все права третьих лиц на имущество (в том числе сервитут, право залога)</w:t>
            </w:r>
          </w:p>
        </w:tc>
      </w:tr>
      <w:tr>
        <w:tc>
          <w:tcPr>
            <w:tcW w:w="794" w:type="dxa"/>
          </w:tcPr>
          <w:p>
            <w:pPr>
              <w:pStyle w:val="0"/>
            </w:pPr>
            <w:r>
              <w:rPr>
                <w:sz w:val="20"/>
              </w:rPr>
              <w:t xml:space="preserve">14.2</w:t>
            </w:r>
          </w:p>
        </w:tc>
        <w:tc>
          <w:tcPr>
            <w:tcW w:w="8277" w:type="dxa"/>
          </w:tcPr>
          <w:p>
            <w:pPr>
              <w:pStyle w:val="0"/>
            </w:pPr>
            <w:r>
              <w:rPr>
                <w:sz w:val="20"/>
              </w:rPr>
              <w:t xml:space="preserve">Договоры (контракты) на строительство объектов дорожной инфраструктуры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tc>
          <w:tcPr>
            <w:tcW w:w="794" w:type="dxa"/>
          </w:tcPr>
          <w:p>
            <w:pPr>
              <w:pStyle w:val="0"/>
            </w:pPr>
            <w:r>
              <w:rPr>
                <w:sz w:val="20"/>
              </w:rPr>
              <w:t xml:space="preserve">14.3</w:t>
            </w:r>
          </w:p>
        </w:tc>
        <w:tc>
          <w:tcPr>
            <w:tcW w:w="8277" w:type="dxa"/>
          </w:tcPr>
          <w:p>
            <w:pPr>
              <w:pStyle w:val="0"/>
            </w:pPr>
            <w:r>
              <w:rPr>
                <w:sz w:val="20"/>
              </w:rPr>
              <w:t xml:space="preserve">Разрешение на строительство объекта дорожной инфраструктуры (автомобильной дороги) за период возмещения</w:t>
            </w:r>
          </w:p>
        </w:tc>
      </w:tr>
      <w:tr>
        <w:tc>
          <w:tcPr>
            <w:tcW w:w="794" w:type="dxa"/>
          </w:tcPr>
          <w:p>
            <w:pPr>
              <w:pStyle w:val="0"/>
            </w:pPr>
            <w:r>
              <w:rPr>
                <w:sz w:val="20"/>
              </w:rPr>
              <w:t xml:space="preserve">14.4</w:t>
            </w:r>
          </w:p>
        </w:tc>
        <w:tc>
          <w:tcPr>
            <w:tcW w:w="8277" w:type="dxa"/>
          </w:tcPr>
          <w:p>
            <w:pPr>
              <w:pStyle w:val="0"/>
            </w:pPr>
            <w:r>
              <w:rPr>
                <w:sz w:val="20"/>
              </w:rPr>
              <w:t xml:space="preserve">Разрешение на ввод в эксплуатацию объекта дорожной инфраструктуры (автомобильной дороги) за период возмещения</w:t>
            </w:r>
          </w:p>
        </w:tc>
      </w:tr>
      <w:tr>
        <w:tc>
          <w:tcPr>
            <w:tcW w:w="794" w:type="dxa"/>
          </w:tcPr>
          <w:p>
            <w:pPr>
              <w:pStyle w:val="0"/>
            </w:pPr>
            <w:r>
              <w:rPr>
                <w:sz w:val="20"/>
              </w:rPr>
              <w:t xml:space="preserve">14.5</w:t>
            </w:r>
          </w:p>
        </w:tc>
        <w:tc>
          <w:tcPr>
            <w:tcW w:w="8277" w:type="dxa"/>
          </w:tcPr>
          <w:p>
            <w:pPr>
              <w:pStyle w:val="0"/>
            </w:pPr>
            <w:r>
              <w:rPr>
                <w:sz w:val="20"/>
              </w:rPr>
              <w:t xml:space="preserve">Технические условия на строительство объектов дорожной инфраструктуры (автомобильных дорог) за период возмещения</w:t>
            </w:r>
          </w:p>
        </w:tc>
      </w:tr>
      <w:tr>
        <w:tc>
          <w:tcPr>
            <w:tcW w:w="794" w:type="dxa"/>
          </w:tcPr>
          <w:p>
            <w:pPr>
              <w:pStyle w:val="0"/>
            </w:pPr>
            <w:r>
              <w:rPr>
                <w:sz w:val="20"/>
              </w:rPr>
              <w:t xml:space="preserve">14.6</w:t>
            </w:r>
          </w:p>
        </w:tc>
        <w:tc>
          <w:tcPr>
            <w:tcW w:w="8277" w:type="dxa"/>
          </w:tcPr>
          <w:p>
            <w:pPr>
              <w:pStyle w:val="0"/>
            </w:pPr>
            <w:r>
              <w:rPr>
                <w:sz w:val="20"/>
              </w:rPr>
              <w:t xml:space="preserve">Схема расположения объекта дорожной инфраструктуры (автомобильной дороги) с привязкой к кадастровым границам земельного участка организации</w:t>
            </w:r>
          </w:p>
        </w:tc>
      </w:tr>
      <w:tr>
        <w:tc>
          <w:tcPr>
            <w:tcW w:w="794" w:type="dxa"/>
          </w:tcPr>
          <w:p>
            <w:pPr>
              <w:pStyle w:val="0"/>
            </w:pPr>
            <w:r>
              <w:rPr>
                <w:sz w:val="20"/>
              </w:rPr>
              <w:t xml:space="preserve">14.7</w:t>
            </w:r>
          </w:p>
        </w:tc>
        <w:tc>
          <w:tcPr>
            <w:tcW w:w="8277" w:type="dxa"/>
          </w:tcPr>
          <w:p>
            <w:pPr>
              <w:pStyle w:val="0"/>
            </w:pPr>
            <w:r>
              <w:rPr>
                <w:sz w:val="20"/>
              </w:rPr>
              <w:t xml:space="preserve">Экспертное заключение по проектной документации строительства объекта дорожной инфраструктуры (автомобильной дороги)</w:t>
            </w:r>
          </w:p>
        </w:tc>
      </w:tr>
      <w:tr>
        <w:tc>
          <w:tcPr>
            <w:tcW w:w="794" w:type="dxa"/>
          </w:tcPr>
          <w:p>
            <w:pPr>
              <w:pStyle w:val="0"/>
            </w:pPr>
            <w:r>
              <w:rPr>
                <w:sz w:val="20"/>
              </w:rPr>
              <w:t xml:space="preserve">14.8</w:t>
            </w:r>
          </w:p>
        </w:tc>
        <w:tc>
          <w:tcPr>
            <w:tcW w:w="8277" w:type="dxa"/>
          </w:tcPr>
          <w:p>
            <w:pPr>
              <w:pStyle w:val="0"/>
            </w:pPr>
            <w:r>
              <w:rPr>
                <w:sz w:val="20"/>
              </w:rPr>
              <w:t xml:space="preserve">Платежные поручения, подтверждающие оплату по договорам (контрактам) на прокладку (строительство) объектов дорожной инфраструктуры (автомобильных дорог),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14.9</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 стоимости строительства</w:t>
            </w:r>
          </w:p>
        </w:tc>
      </w:tr>
      <w:tr>
        <w:tc>
          <w:tcPr>
            <w:tcW w:w="794" w:type="dxa"/>
          </w:tcPr>
          <w:p>
            <w:pPr>
              <w:pStyle w:val="0"/>
            </w:pPr>
            <w:r>
              <w:rPr>
                <w:sz w:val="20"/>
              </w:rPr>
              <w:t xml:space="preserve">15</w:t>
            </w:r>
          </w:p>
        </w:tc>
        <w:tc>
          <w:tcPr>
            <w:tcW w:w="8277" w:type="dxa"/>
          </w:tcPr>
          <w:p>
            <w:pPr>
              <w:pStyle w:val="0"/>
            </w:pPr>
            <w:r>
              <w:rPr>
                <w:sz w:val="20"/>
              </w:rPr>
              <w:t xml:space="preserve">Документы, подтверждающие осуществление затрат претендента с частичным возмещением затрат претендента на создание ВЗС:</w:t>
            </w:r>
          </w:p>
        </w:tc>
      </w:tr>
      <w:tr>
        <w:tc>
          <w:tcPr>
            <w:tcW w:w="794" w:type="dxa"/>
          </w:tcPr>
          <w:p>
            <w:pPr>
              <w:pStyle w:val="0"/>
            </w:pPr>
            <w:r>
              <w:rPr>
                <w:sz w:val="20"/>
              </w:rPr>
              <w:t xml:space="preserve">15.1</w:t>
            </w:r>
          </w:p>
        </w:tc>
        <w:tc>
          <w:tcPr>
            <w:tcW w:w="8277" w:type="dxa"/>
          </w:tcPr>
          <w:p>
            <w:pPr>
              <w:pStyle w:val="0"/>
            </w:pPr>
            <w:r>
              <w:rPr>
                <w:sz w:val="20"/>
              </w:rPr>
              <w:t xml:space="preserve">Документ от правомочной организации или ЦИО Московской области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tc>
      </w:tr>
      <w:tr>
        <w:tc>
          <w:tcPr>
            <w:tcW w:w="794" w:type="dxa"/>
          </w:tcPr>
          <w:p>
            <w:pPr>
              <w:pStyle w:val="0"/>
            </w:pPr>
            <w:r>
              <w:rPr>
                <w:sz w:val="20"/>
              </w:rPr>
              <w:t xml:space="preserve">15.2</w:t>
            </w:r>
          </w:p>
        </w:tc>
        <w:tc>
          <w:tcPr>
            <w:tcW w:w="8277" w:type="dxa"/>
          </w:tcPr>
          <w:p>
            <w:pPr>
              <w:pStyle w:val="0"/>
            </w:pPr>
            <w:r>
              <w:rPr>
                <w:sz w:val="20"/>
              </w:rPr>
              <w:t xml:space="preserve">Лицензирующая документация на право пользования недрами (разрешения на водопользование)</w:t>
            </w:r>
          </w:p>
        </w:tc>
      </w:tr>
      <w:tr>
        <w:tc>
          <w:tcPr>
            <w:tcW w:w="794" w:type="dxa"/>
          </w:tcPr>
          <w:p>
            <w:pPr>
              <w:pStyle w:val="0"/>
            </w:pPr>
            <w:r>
              <w:rPr>
                <w:sz w:val="20"/>
              </w:rPr>
              <w:t xml:space="preserve">15.3</w:t>
            </w:r>
          </w:p>
        </w:tc>
        <w:tc>
          <w:tcPr>
            <w:tcW w:w="8277" w:type="dxa"/>
          </w:tcPr>
          <w:p>
            <w:pPr>
              <w:pStyle w:val="0"/>
            </w:pPr>
            <w:r>
              <w:rPr>
                <w:sz w:val="20"/>
              </w:rPr>
              <w:t xml:space="preserve">Договор (контракт)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технологическое оборудование при создании ВЗС и дополнительных соглашений, в том числе работы по монтажу и установке оборудования при создании ВЗС, за период возмещения</w:t>
            </w:r>
          </w:p>
        </w:tc>
      </w:tr>
      <w:tr>
        <w:tc>
          <w:tcPr>
            <w:tcW w:w="794" w:type="dxa"/>
          </w:tcPr>
          <w:p>
            <w:pPr>
              <w:pStyle w:val="0"/>
            </w:pPr>
            <w:r>
              <w:rPr>
                <w:sz w:val="20"/>
              </w:rPr>
              <w:t xml:space="preserve">15.4</w:t>
            </w:r>
          </w:p>
        </w:tc>
        <w:tc>
          <w:tcPr>
            <w:tcW w:w="8277" w:type="dxa"/>
          </w:tcPr>
          <w:p>
            <w:pPr>
              <w:pStyle w:val="0"/>
            </w:pPr>
            <w:r>
              <w:rPr>
                <w:sz w:val="20"/>
              </w:rPr>
              <w:t xml:space="preserve">Платежные поручения, подтверждающие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(при наличии), технологическое оборудование при создании ВЗС и дополнительных соглашений, в том числе работы по монтажу и установке оборудования при создании ВЗС, заверенные печатью банка или имеющие оригинальный оттиск штампа и подпись операциониста банка либо имеющие отметку "клиент-банк", за период возмещения</w:t>
            </w:r>
          </w:p>
        </w:tc>
      </w:tr>
      <w:tr>
        <w:tc>
          <w:tcPr>
            <w:tcW w:w="794" w:type="dxa"/>
          </w:tcPr>
          <w:p>
            <w:pPr>
              <w:pStyle w:val="0"/>
            </w:pPr>
            <w:r>
              <w:rPr>
                <w:sz w:val="20"/>
              </w:rPr>
              <w:t xml:space="preserve">15.5</w:t>
            </w:r>
          </w:p>
        </w:tc>
        <w:tc>
          <w:tcPr>
            <w:tcW w:w="8277" w:type="dxa"/>
          </w:tcPr>
          <w:p>
            <w:pPr>
              <w:pStyle w:val="0"/>
            </w:pPr>
            <w:r>
              <w:rPr>
                <w:sz w:val="20"/>
              </w:rPr>
              <w:t xml:space="preserve">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с приложением локальных и сводных сметных расчетов стоимости строительства</w:t>
            </w:r>
          </w:p>
        </w:tc>
      </w:tr>
      <w:tr>
        <w:tc>
          <w:tcPr>
            <w:tcW w:w="794" w:type="dxa"/>
          </w:tcPr>
          <w:p>
            <w:pPr>
              <w:pStyle w:val="0"/>
            </w:pPr>
            <w:r>
              <w:rPr>
                <w:sz w:val="20"/>
              </w:rPr>
              <w:t xml:space="preserve">16</w:t>
            </w:r>
          </w:p>
        </w:tc>
        <w:tc>
          <w:tcPr>
            <w:tcW w:w="8277" w:type="dxa"/>
          </w:tcPr>
          <w:p>
            <w:pPr>
              <w:pStyle w:val="0"/>
            </w:pPr>
            <w:r>
              <w:rPr>
                <w:sz w:val="20"/>
              </w:rPr>
              <w:t xml:space="preserve">Экспликация гостиничного комплекса в составе проектной документации гостиничного комплекса</w:t>
            </w:r>
          </w:p>
        </w:tc>
      </w:tr>
      <w:tr>
        <w:tc>
          <w:tcPr>
            <w:tcW w:w="794" w:type="dxa"/>
          </w:tcPr>
          <w:p>
            <w:pPr>
              <w:pStyle w:val="0"/>
            </w:pPr>
            <w:r>
              <w:rPr>
                <w:sz w:val="20"/>
              </w:rPr>
              <w:t xml:space="preserve">17</w:t>
            </w:r>
          </w:p>
        </w:tc>
        <w:tc>
          <w:tcPr>
            <w:tcW w:w="8277" w:type="dxa"/>
          </w:tcPr>
          <w:p>
            <w:pPr>
              <w:pStyle w:val="0"/>
            </w:pPr>
            <w:r>
              <w:rPr>
                <w:sz w:val="20"/>
              </w:rPr>
              <w:t xml:space="preserve">Штатное расписание (при наличии) или гарантийное письмо, подписанное руководителем участника отбора или иным уполномоченным лицом, содержащее обязательство о создании не менее 10 рабочих мест в срок не позднее 2 лет и 6 месяцев со дня заключения Соглашения при создании гостиничного комплекса</w:t>
            </w:r>
          </w:p>
        </w:tc>
      </w:tr>
    </w:tbl>
    <w:p>
      <w:pPr>
        <w:pStyle w:val="0"/>
        <w:jc w:val="both"/>
      </w:pPr>
      <w:r>
        <w:rPr>
          <w:sz w:val="20"/>
        </w:rPr>
      </w:r>
    </w:p>
    <w:p>
      <w:pPr>
        <w:pStyle w:val="2"/>
        <w:outlineLvl w:val="3"/>
        <w:jc w:val="center"/>
      </w:pPr>
      <w:r>
        <w:rPr>
          <w:sz w:val="20"/>
        </w:rPr>
        <w:t xml:space="preserve">5.3.7.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на возмещение части на уплату процентов по кредитам,</w:t>
      </w:r>
    </w:p>
    <w:p>
      <w:pPr>
        <w:pStyle w:val="2"/>
        <w:jc w:val="center"/>
      </w:pPr>
      <w:r>
        <w:rPr>
          <w:sz w:val="20"/>
        </w:rPr>
        <w:t xml:space="preserve">полученным в российских кредитных организациях</w:t>
      </w:r>
    </w:p>
    <w:p>
      <w:pPr>
        <w:pStyle w:val="2"/>
        <w:jc w:val="center"/>
      </w:pPr>
      <w:r>
        <w:rPr>
          <w:sz w:val="20"/>
        </w:rPr>
        <w:t xml:space="preserve">на строительство и (или) реконструкцию гостиничных</w:t>
      </w:r>
    </w:p>
    <w:p>
      <w:pPr>
        <w:pStyle w:val="2"/>
        <w:jc w:val="center"/>
      </w:pPr>
      <w:r>
        <w:rPr>
          <w:sz w:val="20"/>
        </w:rPr>
        <w:t xml:space="preserve">комплексов, в рамках реализации мероприятия 06.02</w:t>
      </w:r>
    </w:p>
    <w:p>
      <w:pPr>
        <w:pStyle w:val="2"/>
        <w:jc w:val="center"/>
      </w:pPr>
      <w:r>
        <w:rPr>
          <w:sz w:val="20"/>
        </w:rPr>
        <w:t xml:space="preserve">"Возмещение части затрат юридических лиц и индивидуальных</w:t>
      </w:r>
    </w:p>
    <w:p>
      <w:pPr>
        <w:pStyle w:val="2"/>
        <w:jc w:val="center"/>
      </w:pPr>
      <w:r>
        <w:rPr>
          <w:sz w:val="20"/>
        </w:rPr>
        <w:t xml:space="preserve">предпринимателей на уплату процентов по кредитам, полученным</w:t>
      </w:r>
    </w:p>
    <w:p>
      <w:pPr>
        <w:pStyle w:val="2"/>
        <w:jc w:val="center"/>
      </w:pPr>
      <w:r>
        <w:rPr>
          <w:sz w:val="20"/>
        </w:rPr>
        <w:t xml:space="preserve">в российских кредитных организациях на строительство и (или)</w:t>
      </w:r>
    </w:p>
    <w:p>
      <w:pPr>
        <w:pStyle w:val="2"/>
        <w:jc w:val="center"/>
      </w:pPr>
      <w:r>
        <w:rPr>
          <w:sz w:val="20"/>
        </w:rPr>
        <w:t xml:space="preserve">реконструкцию гостиничных комплексов"</w:t>
      </w:r>
    </w:p>
    <w:p>
      <w:pPr>
        <w:pStyle w:val="0"/>
        <w:jc w:val="center"/>
      </w:pPr>
      <w:r>
        <w:rPr>
          <w:sz w:val="20"/>
        </w:rPr>
      </w:r>
    </w:p>
    <w:p>
      <w:pPr>
        <w:pStyle w:val="0"/>
        <w:jc w:val="center"/>
      </w:pPr>
      <w:r>
        <w:rPr>
          <w:sz w:val="20"/>
        </w:rPr>
        <w:t xml:space="preserve">(в ред. </w:t>
      </w:r>
      <w:hyperlink w:history="0" r:id="rId368"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индивидуальным предпринимателям на возмещение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(далее соответственно - Порядок, субсидия), в рамках </w:t>
      </w:r>
      <w:hyperlink w:history="0" w:anchor="P2115" w:tooltip="Мероприятие 06.02.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а строительство и (или) реконструкцию гостиничных комплексов">
        <w:r>
          <w:rPr>
            <w:sz w:val="20"/>
            <w:color w:val="0000ff"/>
          </w:rPr>
          <w:t xml:space="preserve">мероприятия 06.02</w:t>
        </w:r>
      </w:hyperlink>
      <w:r>
        <w:rPr>
          <w:sz w:val="20"/>
        </w:rPr>
        <w:t xml:space="preserve">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на строительство и (или) реконструкцию гостиничных комплексов" разработан в соответствии со </w:t>
      </w:r>
      <w:hyperlink w:history="0" r:id="rId3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37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субсидий;</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претендент - юридическое лицо (за исключением государственных (муниципальных) учреждений) или индивидуальный предприниматель, понесший затраты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w:t>
      </w:r>
    </w:p>
    <w:p>
      <w:pPr>
        <w:pStyle w:val="0"/>
        <w:spacing w:before="200" w:line-rule="auto"/>
        <w:ind w:firstLine="540"/>
        <w:jc w:val="both"/>
      </w:pPr>
      <w:r>
        <w:rPr>
          <w:sz w:val="20"/>
        </w:rPr>
        <w:t xml:space="preserve">период возмещения - период, за который возмещаются затраты и который составляет 3 календарных года со дня заключения кредитного договора (или нескольких кредитных договоров) на цели реализации строительства и (или) реконструкции гостиничного комплекса с российской кредитной организацией (или несколькими кредитными организациями), входящей в перечень системно значимых кредитных организаций, утвержденный в соответствии с </w:t>
      </w:r>
      <w:hyperlink w:history="0" r:id="rId371"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абзацем шестым статьи 57</w:t>
        </w:r>
      </w:hyperlink>
      <w:r>
        <w:rPr>
          <w:sz w:val="20"/>
        </w:rPr>
        <w:t xml:space="preserve"> Федерального закона от 10.07.2002 N 86-ФЗ "О Центральном банке Российской Федерации (Банке России)" (далее - Кредит, Кредитный договор), или получения денежных средств по Кредиту (в случае осуществления кредитования в рамках открытой кредитной линии) до даты подачи заявки.</w:t>
      </w:r>
    </w:p>
    <w:p>
      <w:pPr>
        <w:pStyle w:val="0"/>
        <w:spacing w:before="200" w:line-rule="auto"/>
        <w:ind w:firstLine="540"/>
        <w:jc w:val="both"/>
      </w:pPr>
      <w:r>
        <w:rPr>
          <w:sz w:val="20"/>
        </w:rPr>
        <w:t xml:space="preserve">Иные термины и понятия, используемые для целей Порядка, применяются в значениях, установленных законодательством Российской Федерации и законодательством Московской области.</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5372" w:tooltip="5. Целью предоставления субсидии является возмещение затрат получателя субсидии, понесенных в период возмещения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5372" w:name="P5372"/>
    <w:bookmarkEnd w:id="5372"/>
    <w:p>
      <w:pPr>
        <w:pStyle w:val="0"/>
        <w:spacing w:before="200" w:line-rule="auto"/>
        <w:ind w:firstLine="540"/>
        <w:jc w:val="both"/>
      </w:pPr>
      <w:r>
        <w:rPr>
          <w:sz w:val="20"/>
        </w:rPr>
        <w:t xml:space="preserve">5. Целью предоставления субсидии является возмещение затрат получателя субсидии, понесенных в период возмещения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bookmarkStart w:id="5380" w:name="P5380"/>
    <w:bookmarkEnd w:id="5380"/>
    <w:p>
      <w:pPr>
        <w:pStyle w:val="0"/>
        <w:spacing w:before="200" w:line-rule="auto"/>
        <w:ind w:firstLine="540"/>
        <w:jc w:val="both"/>
      </w:pPr>
      <w:r>
        <w:rPr>
          <w:sz w:val="20"/>
        </w:rPr>
        <w:t xml:space="preserve">9. Категория отбора: претенденты, осуществляющие деятельность в сфере оказания гостиничных услуг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сфере оказания гостиничных услуг на территории Московской области посредством указанных обособленных подразделений, состоящие на учете в налоговых органах по Московской области, или претенденты, зарегистрированные в установленном законодательством Российской Федерации порядке на территории Московской области и состоящие на учете в налоговых органах по Московской области, и предоставляющие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в сфере оказания гостиничных услуг на территории Московской области, в том числе посредством обособленного подразделения, поставленного на учет в налоговых органах по Московской области.</w:t>
      </w:r>
    </w:p>
    <w:p>
      <w:pPr>
        <w:pStyle w:val="0"/>
        <w:spacing w:before="200" w:line-rule="auto"/>
        <w:ind w:firstLine="540"/>
        <w:jc w:val="both"/>
      </w:pPr>
      <w:r>
        <w:rPr>
          <w:sz w:val="20"/>
        </w:rPr>
        <w:t xml:space="preserve">В категории отбора не входят претенденты:</w:t>
      </w:r>
    </w:p>
    <w:p>
      <w:pPr>
        <w:pStyle w:val="0"/>
        <w:spacing w:before="200" w:line-rule="auto"/>
        <w:ind w:firstLine="540"/>
        <w:jc w:val="both"/>
      </w:pPr>
      <w:r>
        <w:rPr>
          <w:sz w:val="20"/>
        </w:rPr>
        <w:t xml:space="preserve">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осуществляющие предпринимательскую деятельность в сфере игорного бизнеса;</w:t>
      </w:r>
    </w:p>
    <w:p>
      <w:pPr>
        <w:pStyle w:val="0"/>
        <w:spacing w:before="200" w:line-rule="auto"/>
        <w:ind w:firstLine="540"/>
        <w:jc w:val="both"/>
      </w:pPr>
      <w:r>
        <w:rPr>
          <w:sz w:val="20"/>
        </w:rPr>
        <w:t xml:space="preserve">ранее допустившие нарушения условий предоставленных субсидий, в том числе не обеспечившие их целевого использования в случае, если с момента совершения указанных нарушений прошло менее трех лет;</w:t>
      </w:r>
    </w:p>
    <w:p>
      <w:pPr>
        <w:pStyle w:val="0"/>
        <w:spacing w:before="200" w:line-rule="auto"/>
        <w:ind w:firstLine="540"/>
        <w:jc w:val="both"/>
      </w:pPr>
      <w:r>
        <w:rPr>
          <w:sz w:val="20"/>
        </w:rPr>
        <w:t xml:space="preserve">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pPr>
        <w:pStyle w:val="0"/>
        <w:spacing w:before="200" w:line-rule="auto"/>
        <w:ind w:firstLine="540"/>
        <w:jc w:val="both"/>
      </w:pPr>
      <w:r>
        <w:rPr>
          <w:sz w:val="20"/>
        </w:rPr>
        <w:t xml:space="preserve">государственные корпорации и государственные компании и их дочерние хозяйствующие субъекты.</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1) планируемый общий объем инвестиций в размере не менее 300 млн рублей на строительство и (или) реконструкцию гостиничного комплекса, за исключением следующих муниципальных образований Московской области, для территорий которых планируемый общий объем инвестиций на строительство и (или) реконструкцию гостиничного комплекса должен составлять не менее 50 млн рублей:</w:t>
      </w:r>
    </w:p>
    <w:p>
      <w:pPr>
        <w:pStyle w:val="0"/>
        <w:spacing w:before="200" w:line-rule="auto"/>
        <w:ind w:firstLine="540"/>
        <w:jc w:val="both"/>
      </w:pPr>
      <w:r>
        <w:rPr>
          <w:sz w:val="20"/>
        </w:rPr>
        <w:t xml:space="preserve">Дмитровский городской округ;</w:t>
      </w:r>
    </w:p>
    <w:p>
      <w:pPr>
        <w:pStyle w:val="0"/>
        <w:spacing w:before="200" w:line-rule="auto"/>
        <w:ind w:firstLine="540"/>
        <w:jc w:val="both"/>
      </w:pPr>
      <w:r>
        <w:rPr>
          <w:sz w:val="20"/>
        </w:rPr>
        <w:t xml:space="preserve">городской округ Дубна;</w:t>
      </w:r>
    </w:p>
    <w:p>
      <w:pPr>
        <w:pStyle w:val="0"/>
        <w:spacing w:before="200" w:line-rule="auto"/>
        <w:ind w:firstLine="540"/>
        <w:jc w:val="both"/>
      </w:pPr>
      <w:r>
        <w:rPr>
          <w:sz w:val="20"/>
        </w:rPr>
        <w:t xml:space="preserve">городской округ Зарайск;</w:t>
      </w:r>
    </w:p>
    <w:p>
      <w:pPr>
        <w:pStyle w:val="0"/>
        <w:spacing w:before="200" w:line-rule="auto"/>
        <w:ind w:firstLine="540"/>
        <w:jc w:val="both"/>
      </w:pPr>
      <w:r>
        <w:rPr>
          <w:sz w:val="20"/>
        </w:rPr>
        <w:t xml:space="preserve">городской округ Истра;</w:t>
      </w:r>
    </w:p>
    <w:p>
      <w:pPr>
        <w:pStyle w:val="0"/>
        <w:spacing w:before="200" w:line-rule="auto"/>
        <w:ind w:firstLine="540"/>
        <w:jc w:val="both"/>
      </w:pPr>
      <w:r>
        <w:rPr>
          <w:sz w:val="20"/>
        </w:rPr>
        <w:t xml:space="preserve">городской округ Клин;</w:t>
      </w:r>
    </w:p>
    <w:p>
      <w:pPr>
        <w:pStyle w:val="0"/>
        <w:spacing w:before="200" w:line-rule="auto"/>
        <w:ind w:firstLine="540"/>
        <w:jc w:val="both"/>
      </w:pPr>
      <w:r>
        <w:rPr>
          <w:sz w:val="20"/>
        </w:rPr>
        <w:t xml:space="preserve">городской округ Коломна;</w:t>
      </w:r>
    </w:p>
    <w:p>
      <w:pPr>
        <w:pStyle w:val="0"/>
        <w:spacing w:before="200" w:line-rule="auto"/>
        <w:ind w:firstLine="540"/>
        <w:jc w:val="both"/>
      </w:pPr>
      <w:r>
        <w:rPr>
          <w:sz w:val="20"/>
        </w:rPr>
        <w:t xml:space="preserve">Одинцовский городской округ (в пределах города Звенигород);</w:t>
      </w:r>
    </w:p>
    <w:p>
      <w:pPr>
        <w:pStyle w:val="0"/>
        <w:spacing w:before="200" w:line-rule="auto"/>
        <w:ind w:firstLine="540"/>
        <w:jc w:val="both"/>
      </w:pPr>
      <w:r>
        <w:rPr>
          <w:sz w:val="20"/>
        </w:rPr>
        <w:t xml:space="preserve">Орехово-Зуевский городской округ;</w:t>
      </w:r>
    </w:p>
    <w:p>
      <w:pPr>
        <w:pStyle w:val="0"/>
        <w:spacing w:before="200" w:line-rule="auto"/>
        <w:ind w:firstLine="540"/>
        <w:jc w:val="both"/>
      </w:pPr>
      <w:r>
        <w:rPr>
          <w:sz w:val="20"/>
        </w:rPr>
        <w:t xml:space="preserve">городской округ Павловский Посад;</w:t>
      </w:r>
    </w:p>
    <w:p>
      <w:pPr>
        <w:pStyle w:val="0"/>
        <w:spacing w:before="200" w:line-rule="auto"/>
        <w:ind w:firstLine="540"/>
        <w:jc w:val="both"/>
      </w:pPr>
      <w:r>
        <w:rPr>
          <w:sz w:val="20"/>
        </w:rPr>
        <w:t xml:space="preserve">городской округ Пушкинский;</w:t>
      </w:r>
    </w:p>
    <w:p>
      <w:pPr>
        <w:pStyle w:val="0"/>
        <w:spacing w:before="200" w:line-rule="auto"/>
        <w:ind w:firstLine="540"/>
        <w:jc w:val="both"/>
      </w:pPr>
      <w:r>
        <w:rPr>
          <w:sz w:val="20"/>
        </w:rPr>
        <w:t xml:space="preserve">Раменский городской округ;</w:t>
      </w:r>
    </w:p>
    <w:p>
      <w:pPr>
        <w:pStyle w:val="0"/>
        <w:spacing w:before="200" w:line-rule="auto"/>
        <w:ind w:firstLine="540"/>
        <w:jc w:val="both"/>
      </w:pPr>
      <w:r>
        <w:rPr>
          <w:sz w:val="20"/>
        </w:rPr>
        <w:t xml:space="preserve">Сергиево-Посадский городской округ;</w:t>
      </w:r>
    </w:p>
    <w:p>
      <w:pPr>
        <w:pStyle w:val="0"/>
        <w:spacing w:before="200" w:line-rule="auto"/>
        <w:ind w:firstLine="540"/>
        <w:jc w:val="both"/>
      </w:pPr>
      <w:r>
        <w:rPr>
          <w:sz w:val="20"/>
        </w:rPr>
        <w:t xml:space="preserve">городской округ Серпухов;</w:t>
      </w:r>
    </w:p>
    <w:p>
      <w:pPr>
        <w:pStyle w:val="0"/>
        <w:spacing w:before="200" w:line-rule="auto"/>
        <w:ind w:firstLine="540"/>
        <w:jc w:val="both"/>
      </w:pPr>
      <w:r>
        <w:rPr>
          <w:sz w:val="20"/>
        </w:rPr>
        <w:t xml:space="preserve">городской округ Солнечногорск;</w:t>
      </w:r>
    </w:p>
    <w:p>
      <w:pPr>
        <w:pStyle w:val="0"/>
        <w:spacing w:before="200" w:line-rule="auto"/>
        <w:ind w:firstLine="540"/>
        <w:jc w:val="both"/>
      </w:pPr>
      <w:r>
        <w:rPr>
          <w:sz w:val="20"/>
        </w:rPr>
        <w:t xml:space="preserve">Талдомский городской округ;</w:t>
      </w:r>
    </w:p>
    <w:p>
      <w:pPr>
        <w:pStyle w:val="0"/>
        <w:spacing w:before="200" w:line-rule="auto"/>
        <w:ind w:firstLine="540"/>
        <w:jc w:val="both"/>
      </w:pPr>
      <w:r>
        <w:rPr>
          <w:sz w:val="20"/>
        </w:rPr>
        <w:t xml:space="preserve">2) наличие Кредитного договора;</w:t>
      </w:r>
    </w:p>
    <w:p>
      <w:pPr>
        <w:pStyle w:val="0"/>
        <w:spacing w:before="200" w:line-rule="auto"/>
        <w:ind w:firstLine="540"/>
        <w:jc w:val="both"/>
      </w:pPr>
      <w:r>
        <w:rPr>
          <w:sz w:val="20"/>
        </w:rPr>
        <w:t xml:space="preserve">3) ведение основного вида деятельности в соответствии с </w:t>
      </w:r>
      <w:hyperlink w:history="0" r:id="rId37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(для претендентов, осуществляющих деятельность в сфере оказания гостиничных услуг);</w:t>
      </w:r>
    </w:p>
    <w:p>
      <w:pPr>
        <w:pStyle w:val="0"/>
        <w:spacing w:before="200" w:line-rule="auto"/>
        <w:ind w:firstLine="540"/>
        <w:jc w:val="both"/>
      </w:pPr>
      <w:r>
        <w:rPr>
          <w:sz w:val="20"/>
        </w:rPr>
        <w:t xml:space="preserve">4) ведение основного или дополнительного вида деятельности в соответствии с </w:t>
      </w:r>
      <w:hyperlink w:history="0" r:id="rId37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68.2</w:t>
        </w:r>
      </w:hyperlink>
      <w:r>
        <w:rPr>
          <w:sz w:val="20"/>
        </w:rPr>
        <w:t xml:space="preserve"> ОКВЭД и одновременно ведение эксплуатантом гостиничного комплекса основного вида деятельности в соответствии с </w:t>
      </w:r>
      <w:hyperlink w:history="0" r:id="rId37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(для претендентов, предоставляющих право временного владения и пользования или временного пользования недвижимым имуществом гостиничного комплекса, в отношении которого были понесены затраты, эксплуатантам гостиничного комплекса);</w:t>
      </w:r>
    </w:p>
    <w:p>
      <w:pPr>
        <w:pStyle w:val="0"/>
        <w:spacing w:before="200" w:line-rule="auto"/>
        <w:ind w:firstLine="540"/>
        <w:jc w:val="both"/>
      </w:pPr>
      <w:r>
        <w:rPr>
          <w:sz w:val="20"/>
        </w:rPr>
        <w:t xml:space="preserve">5) количество создаваемых рабочих мест в результате создания гостиничного комплекса не менее 10 единиц;</w:t>
      </w:r>
    </w:p>
    <w:p>
      <w:pPr>
        <w:pStyle w:val="0"/>
        <w:spacing w:before="200" w:line-rule="auto"/>
        <w:ind w:firstLine="540"/>
        <w:jc w:val="both"/>
      </w:pPr>
      <w:r>
        <w:rPr>
          <w:sz w:val="20"/>
        </w:rPr>
        <w:t xml:space="preserve">6) соответствие создаваемого гостиничного комплекса следующим требованиям:</w:t>
      </w:r>
    </w:p>
    <w:p>
      <w:pPr>
        <w:pStyle w:val="0"/>
        <w:spacing w:before="200" w:line-rule="auto"/>
        <w:ind w:firstLine="540"/>
        <w:jc w:val="both"/>
      </w:pPr>
      <w:r>
        <w:rPr>
          <w:sz w:val="20"/>
        </w:rPr>
        <w:t xml:space="preserve">наличие разрешения на строительство и (или) реконструкцию гостиничного комплекса, полученного не ранее 2020 года;</w:t>
      </w:r>
    </w:p>
    <w:p>
      <w:pPr>
        <w:pStyle w:val="0"/>
        <w:spacing w:before="200" w:line-rule="auto"/>
        <w:ind w:firstLine="540"/>
        <w:jc w:val="both"/>
      </w:pPr>
      <w:r>
        <w:rPr>
          <w:sz w:val="20"/>
        </w:rPr>
        <w:t xml:space="preserve">ввод в эксплуатацию построенного и (или) реконструированного гостиничного комплекса в период не ранее 2020 года и не позднее 3 лет со дня заключения Соглашения о предоставлении субсидии;</w:t>
      </w:r>
    </w:p>
    <w:p>
      <w:pPr>
        <w:pStyle w:val="0"/>
        <w:spacing w:before="200" w:line-rule="auto"/>
        <w:ind w:firstLine="540"/>
        <w:jc w:val="both"/>
      </w:pPr>
      <w:r>
        <w:rPr>
          <w:sz w:val="20"/>
        </w:rPr>
        <w:t xml:space="preserve">плановая величина вновь создаваемого номерного фонда гостиничного комплекса не менее 20 номеров;</w:t>
      </w:r>
    </w:p>
    <w:p>
      <w:pPr>
        <w:pStyle w:val="0"/>
        <w:spacing w:before="200" w:line-rule="auto"/>
        <w:ind w:firstLine="540"/>
        <w:jc w:val="both"/>
      </w:pPr>
      <w:r>
        <w:rPr>
          <w:sz w:val="20"/>
        </w:rPr>
        <w:t xml:space="preserve">одноместные, двухместные, многокомнатные и соединенные номера составляют 100 процентов номерного фонда;</w:t>
      </w:r>
    </w:p>
    <w:p>
      <w:pPr>
        <w:pStyle w:val="0"/>
        <w:spacing w:before="200" w:line-rule="auto"/>
        <w:ind w:firstLine="540"/>
        <w:jc w:val="both"/>
      </w:pPr>
      <w:r>
        <w:rPr>
          <w:sz w:val="20"/>
        </w:rPr>
        <w:t xml:space="preserve">все номера гостиничного комплекса оборудованы собственными санузлами;</w:t>
      </w:r>
    </w:p>
    <w:p>
      <w:pPr>
        <w:pStyle w:val="0"/>
        <w:spacing w:before="200" w:line-rule="auto"/>
        <w:ind w:firstLine="540"/>
        <w:jc w:val="both"/>
      </w:pPr>
      <w:r>
        <w:rPr>
          <w:sz w:val="20"/>
        </w:rPr>
        <w:t xml:space="preserve">гостиничный комплекс имеет собственную площадку для парковки автотранспорта;</w:t>
      </w:r>
    </w:p>
    <w:p>
      <w:pPr>
        <w:pStyle w:val="0"/>
        <w:spacing w:before="200" w:line-rule="auto"/>
        <w:ind w:firstLine="540"/>
        <w:jc w:val="both"/>
      </w:pPr>
      <w:r>
        <w:rPr>
          <w:sz w:val="20"/>
        </w:rPr>
        <w:t xml:space="preserve">на территории гостиничного комплекса расположен пункт питания (ресторан, кафе или другие типы предприятий питания);</w:t>
      </w:r>
    </w:p>
    <w:p>
      <w:pPr>
        <w:pStyle w:val="0"/>
        <w:spacing w:before="200" w:line-rule="auto"/>
        <w:ind w:firstLine="540"/>
        <w:jc w:val="both"/>
      </w:pPr>
      <w:r>
        <w:rPr>
          <w:sz w:val="20"/>
        </w:rPr>
        <w:t xml:space="preserve">наличие в здании гостиничного комплекса лифта (для зданий этажностью свыше трехэтажного уровня);</w:t>
      </w:r>
    </w:p>
    <w:p>
      <w:pPr>
        <w:pStyle w:val="0"/>
        <w:spacing w:before="200" w:line-rule="auto"/>
        <w:ind w:firstLine="540"/>
        <w:jc w:val="both"/>
      </w:pPr>
      <w:r>
        <w:rPr>
          <w:sz w:val="20"/>
        </w:rPr>
        <w:t xml:space="preserve">площадь одноместного/двухместного номера не менее 12/15 квадратных метров соответственно.</w:t>
      </w:r>
    </w:p>
    <w:p>
      <w:pPr>
        <w:pStyle w:val="0"/>
        <w:spacing w:before="200" w:line-rule="auto"/>
        <w:ind w:firstLine="540"/>
        <w:jc w:val="both"/>
      </w:pPr>
      <w:r>
        <w:rPr>
          <w:sz w:val="20"/>
        </w:rPr>
        <w:t xml:space="preserve">10. В целях проведения отбора Мининвестом Московской области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(или уполномоченного им лица), размещается на едином портале не позднее 5-го календарного дня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w:t>
      </w:r>
    </w:p>
    <w:p>
      <w:pPr>
        <w:pStyle w:val="0"/>
        <w:spacing w:before="200" w:line-rule="auto"/>
        <w:ind w:firstLine="540"/>
        <w:jc w:val="both"/>
      </w:pPr>
      <w:r>
        <w:rPr>
          <w:sz w:val="20"/>
        </w:rPr>
        <w:t xml:space="preserve">4) результат предоставления субсидии, характеристика результата предоставления субсидии;</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bookmarkStart w:id="5432" w:name="P5432"/>
    <w:bookmarkEnd w:id="5432"/>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w:t>
      </w:r>
    </w:p>
    <w:p>
      <w:pPr>
        <w:pStyle w:val="0"/>
        <w:spacing w:before="200" w:line-rule="auto"/>
        <w:ind w:firstLine="540"/>
        <w:jc w:val="both"/>
      </w:pPr>
      <w:r>
        <w:rPr>
          <w:sz w:val="20"/>
        </w:rPr>
        <w:t xml:space="preserve">18) порядок открытия доступа и взаимодействия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bookmarkStart w:id="5438" w:name="P5438"/>
    <w:bookmarkEnd w:id="5438"/>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37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376"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377"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участник отбора соответствует категории и критериям отбора, установленным </w:t>
      </w:r>
      <w:hyperlink w:history="0" w:anchor="P5380" w:tooltip="9. Категория отбора: претенденты, осуществляющие деятельность в сфере оказания гостиничных услуг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е оказания гостиничных услуг на территории Московской области посредством указанных обособленных подразделений, состоящие на учете в налоговых органах по Московской области, или претенденты, зарегистрированные в установленном законодате...">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участником отбора представлена заявка на возмещение затрат, которые не были возмещены за счет средств бюджета Московской области.</w:t>
      </w:r>
    </w:p>
    <w:p>
      <w:pPr>
        <w:pStyle w:val="0"/>
        <w:spacing w:before="200" w:line-rule="auto"/>
        <w:ind w:firstLine="540"/>
        <w:jc w:val="both"/>
      </w:pPr>
      <w:r>
        <w:rPr>
          <w:sz w:val="20"/>
        </w:rPr>
        <w:t xml:space="preserve">12. Представление в Мининвест Московской области документов, подтверждающих соответствие участников отбора требованиям, установленным Порядком, а также документов, подтверждающих фактически произведенные затраты, на возмещение которых предоставляется субсидия,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Мининвест Московской области документы, подтверждающие соответствие участника отбора требованиям, установленным Порядком, а также документы, подтверждающие фактически произведенные затраты, на возмещение которых предоставляется субсидия, в соответствии с </w:t>
      </w:r>
      <w:hyperlink w:history="0" w:anchor="P5604" w:tooltip="ПЕРЕЧЕНЬ">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bookmarkStart w:id="5453" w:name="P5453"/>
    <w:bookmarkEnd w:id="5453"/>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документ, подтверждающий полномочия лица, подписавшего заявку;</w:t>
      </w:r>
    </w:p>
    <w:p>
      <w:pPr>
        <w:pStyle w:val="0"/>
        <w:spacing w:before="200" w:line-rule="auto"/>
        <w:ind w:firstLine="540"/>
        <w:jc w:val="both"/>
      </w:pPr>
      <w:r>
        <w:rPr>
          <w:sz w:val="20"/>
        </w:rPr>
        <w:t xml:space="preserve">документ, подтверждающий полномочия главного бухгалтера;</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 юридического лица или уполномоченного им лица, участника отбора - индивидуального предпринимателя или уполномоченного им лица;</w:t>
      </w:r>
    </w:p>
    <w:p>
      <w:pPr>
        <w:pStyle w:val="0"/>
        <w:spacing w:before="200" w:line-rule="auto"/>
        <w:ind w:firstLine="540"/>
        <w:jc w:val="both"/>
      </w:pPr>
      <w:r>
        <w:rPr>
          <w:sz w:val="20"/>
        </w:rPr>
        <w:t xml:space="preserve">4)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5453"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15. Доступ Мининвесту Московской области к поданным участниками отбора заявкам в системе "Электронный бюджет" для их рассмотрения открывается не позднее 1-го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16. Взаимодействие Мининвеста Московской области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17. Протокол вскрытия заявок автоматически формируется на едином портале и подписывается не позднее 1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bookmarkStart w:id="5475" w:name="P5475"/>
    <w:bookmarkEnd w:id="5475"/>
    <w:p>
      <w:pPr>
        <w:pStyle w:val="0"/>
        <w:spacing w:before="200" w:line-rule="auto"/>
        <w:ind w:firstLine="540"/>
        <w:jc w:val="both"/>
      </w:pPr>
      <w:r>
        <w:rPr>
          <w:sz w:val="20"/>
        </w:rPr>
        <w:t xml:space="preserve">18. Мининвест Московской области в течение срока, не превышающего 20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Мининвестом Московской области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21. При проведении отбора предусмотрен возврат заявок участникам отбора на доработку по решению Мининвеста Московской области. 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"Электронный бюджет"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участниками отбора. 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1-го рабочего дня, но не позднее даты окончания срока рассмотрения заявок.</w:t>
      </w:r>
    </w:p>
    <w:p>
      <w:pPr>
        <w:pStyle w:val="0"/>
        <w:spacing w:before="200" w:line-rule="auto"/>
        <w:ind w:firstLine="540"/>
        <w:jc w:val="both"/>
      </w:pPr>
      <w:r>
        <w:rPr>
          <w:sz w:val="20"/>
        </w:rPr>
        <w:t xml:space="preserve">22. Проверка участника отбора на соответствие требованиям, определенным в соответствии с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Мининвест Московской области в пределах срока рассмотрения заявок, установленного </w:t>
      </w:r>
      <w:hyperlink w:history="0" w:anchor="P5475" w:tooltip="18. Мининвест Московской области в течение срока, не превышающего 20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
        <w:r>
          <w:rPr>
            <w:sz w:val="20"/>
            <w:color w:val="0000ff"/>
          </w:rPr>
          <w:t xml:space="preserve">пунктом 18</w:t>
        </w:r>
      </w:hyperlink>
      <w:r>
        <w:rPr>
          <w:sz w:val="20"/>
        </w:rPr>
        <w:t xml:space="preserve"> Порядка, запрашивает сведения в государственных информационных системах, в том числе с использованием единой системы межведомственного электронного взаимодействия, включая направление межведомственного запроса в Федеральную налоговую службу.</w:t>
      </w:r>
    </w:p>
    <w:bookmarkStart w:id="5492" w:name="P5492"/>
    <w:bookmarkEnd w:id="5492"/>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5493" w:name="P5493"/>
    <w:bookmarkEnd w:id="5493"/>
    <w:p>
      <w:pPr>
        <w:pStyle w:val="0"/>
        <w:spacing w:before="200" w:line-rule="auto"/>
        <w:ind w:firstLine="540"/>
        <w:jc w:val="both"/>
      </w:pPr>
      <w:r>
        <w:rPr>
          <w:sz w:val="20"/>
        </w:rPr>
        <w:t xml:space="preserve">В запросе, указанном в </w:t>
      </w:r>
      <w:hyperlink w:history="0" w:anchor="P5492"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w:t>
      </w:r>
      <w:hyperlink w:history="0" w:anchor="P5492"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абзацем четвертым</w:t>
        </w:r>
      </w:hyperlink>
      <w:r>
        <w:rPr>
          <w:sz w:val="20"/>
        </w:rPr>
        <w:t xml:space="preserve"> настоящего пункта, в сроки, установленные соответствующим запросом с учетом положений </w:t>
      </w:r>
      <w:hyperlink w:history="0" w:anchor="P5493"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p>
      <w:pPr>
        <w:pStyle w:val="0"/>
        <w:spacing w:before="200" w:line-rule="auto"/>
        <w:ind w:firstLine="540"/>
        <w:jc w:val="both"/>
      </w:pPr>
      <w:r>
        <w:rPr>
          <w:sz w:val="20"/>
        </w:rPr>
        <w:t xml:space="preserve">23. Мининвест Московской области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Мининвесту Московской области по собственной инициативе.</w:t>
      </w:r>
    </w:p>
    <w:p>
      <w:pPr>
        <w:pStyle w:val="0"/>
        <w:spacing w:before="200" w:line-rule="auto"/>
        <w:ind w:firstLine="540"/>
        <w:jc w:val="both"/>
      </w:pPr>
      <w:r>
        <w:rPr>
          <w:sz w:val="20"/>
        </w:rPr>
        <w:t xml:space="preserve">24.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25.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Днем принятия решения о предоставлении субсидии является дата подписания протокола подведения итогов отбора руководителем Мининвеста Московской области (уполномоченным им лицом).</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Мининвестом Московской области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5432" w:tooltip="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
        <w:r>
          <w:rPr>
            <w:sz w:val="20"/>
            <w:color w:val="0000ff"/>
          </w:rPr>
          <w:t xml:space="preserve">подпунктом 13 пункта 10</w:t>
        </w:r>
      </w:hyperlink>
      <w:r>
        <w:rPr>
          <w:sz w:val="20"/>
        </w:rPr>
        <w:t xml:space="preserve"> Порядка.</w:t>
      </w:r>
    </w:p>
    <w:p>
      <w:pPr>
        <w:pStyle w:val="0"/>
        <w:spacing w:before="200" w:line-rule="auto"/>
        <w:ind w:firstLine="540"/>
        <w:jc w:val="both"/>
      </w:pPr>
      <w:r>
        <w:rPr>
          <w:sz w:val="20"/>
        </w:rPr>
        <w:t xml:space="preserve">26. Отбор признается несостоявшимся в следующих случаях:</w:t>
      </w:r>
    </w:p>
    <w:bookmarkStart w:id="5505" w:name="P5505"/>
    <w:bookmarkEnd w:id="5505"/>
    <w:p>
      <w:pPr>
        <w:pStyle w:val="0"/>
        <w:spacing w:before="200" w:line-rule="auto"/>
        <w:ind w:firstLine="540"/>
        <w:jc w:val="both"/>
      </w:pPr>
      <w:r>
        <w:rPr>
          <w:sz w:val="20"/>
        </w:rPr>
        <w:t xml:space="preserve">1) если по окончании срока подачи заявок не подано ни одной заявки;</w:t>
      </w:r>
    </w:p>
    <w:bookmarkStart w:id="5506" w:name="P5506"/>
    <w:bookmarkEnd w:id="5506"/>
    <w:p>
      <w:pPr>
        <w:pStyle w:val="0"/>
        <w:spacing w:before="200" w:line-rule="auto"/>
        <w:ind w:firstLine="540"/>
        <w:jc w:val="both"/>
      </w:pPr>
      <w:r>
        <w:rPr>
          <w:sz w:val="20"/>
        </w:rPr>
        <w:t xml:space="preserve">2) если по результатам рассмотрения заявок отклонены все заявки;</w:t>
      </w:r>
    </w:p>
    <w:bookmarkStart w:id="5507" w:name="P5507"/>
    <w:bookmarkEnd w:id="5507"/>
    <w:p>
      <w:pPr>
        <w:pStyle w:val="0"/>
        <w:spacing w:before="200" w:line-rule="auto"/>
        <w:ind w:firstLine="540"/>
        <w:jc w:val="both"/>
      </w:pPr>
      <w:r>
        <w:rPr>
          <w:sz w:val="20"/>
        </w:rPr>
        <w:t xml:space="preserve">3) если по результатам рассмотрения заявок принято решение об отказе всем участникам отбора.</w:t>
      </w:r>
    </w:p>
    <w:p>
      <w:pPr>
        <w:pStyle w:val="0"/>
        <w:spacing w:before="200" w:line-rule="auto"/>
        <w:ind w:firstLine="540"/>
        <w:jc w:val="both"/>
      </w:pPr>
      <w:r>
        <w:rPr>
          <w:sz w:val="20"/>
        </w:rPr>
        <w:t xml:space="preserve">Решение Мининвеста Московской области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w:t>
      </w:r>
      <w:hyperlink w:history="0" w:anchor="P5505" w:tooltip="1) если по окончании срока подачи заявок не подано ни одной заявки;">
        <w:r>
          <w:rPr>
            <w:sz w:val="20"/>
            <w:color w:val="0000ff"/>
          </w:rPr>
          <w:t xml:space="preserve">подпунктах 1</w:t>
        </w:r>
      </w:hyperlink>
      <w:r>
        <w:rPr>
          <w:sz w:val="20"/>
        </w:rPr>
        <w:t xml:space="preserve">, </w:t>
      </w:r>
      <w:hyperlink w:history="0" w:anchor="P5506" w:tooltip="2) если по результатам рассмотрения заявок отклонены все заявки;">
        <w:r>
          <w:rPr>
            <w:sz w:val="20"/>
            <w:color w:val="0000ff"/>
          </w:rPr>
          <w:t xml:space="preserve">2</w:t>
        </w:r>
      </w:hyperlink>
      <w:r>
        <w:rPr>
          <w:sz w:val="20"/>
        </w:rPr>
        <w:t xml:space="preserve"> и </w:t>
      </w:r>
      <w:hyperlink w:history="0" w:anchor="P5507" w:tooltip="3) если по результатам рассмотрения заявок принято решение об отказе всем участникам отбора.">
        <w:r>
          <w:rPr>
            <w:sz w:val="20"/>
            <w:color w:val="0000ff"/>
          </w:rPr>
          <w:t xml:space="preserve">3</w:t>
        </w:r>
      </w:hyperlink>
      <w:r>
        <w:rPr>
          <w:sz w:val="20"/>
        </w:rPr>
        <w:t xml:space="preserve"> настоящего пункта, Мининвест Московской области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27.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5516" w:name="P5516"/>
    <w:bookmarkEnd w:id="5516"/>
    <w:p>
      <w:pPr>
        <w:pStyle w:val="0"/>
        <w:spacing w:before="200" w:line-rule="auto"/>
        <w:ind w:firstLine="540"/>
        <w:jc w:val="both"/>
      </w:pPr>
      <w:r>
        <w:rPr>
          <w:sz w:val="20"/>
        </w:rPr>
        <w:t xml:space="preserve">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Мининвест Московской области в ответ на запрос, указанный в </w:t>
      </w:r>
      <w:hyperlink w:history="0" w:anchor="P5516" w:tooltip="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29. Направления затрат, на возмещение которых предоставляется субсидия:</w:t>
      </w:r>
    </w:p>
    <w:p>
      <w:pPr>
        <w:pStyle w:val="0"/>
        <w:spacing w:before="200" w:line-rule="auto"/>
        <w:ind w:firstLine="540"/>
        <w:jc w:val="both"/>
      </w:pPr>
      <w:r>
        <w:rPr>
          <w:sz w:val="20"/>
        </w:rPr>
        <w:t xml:space="preserve">затраты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w:t>
      </w:r>
    </w:p>
    <w:p>
      <w:pPr>
        <w:pStyle w:val="0"/>
        <w:spacing w:before="200" w:line-rule="auto"/>
        <w:ind w:firstLine="540"/>
        <w:jc w:val="both"/>
      </w:pPr>
      <w:r>
        <w:rPr>
          <w:sz w:val="20"/>
        </w:rPr>
        <w:t xml:space="preserve">30. Размер субсидии определяется по следующей формуле:</w:t>
      </w:r>
    </w:p>
    <w:p>
      <w:pPr>
        <w:pStyle w:val="0"/>
        <w:jc w:val="both"/>
      </w:pPr>
      <w:r>
        <w:rPr>
          <w:sz w:val="20"/>
        </w:rPr>
      </w:r>
    </w:p>
    <w:p>
      <w:pPr>
        <w:pStyle w:val="0"/>
        <w:ind w:firstLine="540"/>
        <w:jc w:val="both"/>
      </w:pPr>
      <w:r>
        <w:rPr>
          <w:sz w:val="20"/>
        </w:rPr>
        <w:t xml:space="preserve">Суб = КСцб x Фпр / Эпс,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Суб - размер субсидии;</w:t>
      </w:r>
    </w:p>
    <w:p>
      <w:pPr>
        <w:pStyle w:val="0"/>
        <w:spacing w:before="200" w:line-rule="auto"/>
        <w:ind w:firstLine="540"/>
        <w:jc w:val="both"/>
      </w:pPr>
      <w:r>
        <w:rPr>
          <w:sz w:val="20"/>
        </w:rPr>
        <w:t xml:space="preserve">КСцб - ключевая ставка, установленная Центральным банком Российской Федерации на дату заключения Кредитного договора;</w:t>
      </w:r>
    </w:p>
    <w:p>
      <w:pPr>
        <w:pStyle w:val="0"/>
        <w:spacing w:before="200" w:line-rule="auto"/>
        <w:ind w:firstLine="540"/>
        <w:jc w:val="both"/>
      </w:pPr>
      <w:r>
        <w:rPr>
          <w:sz w:val="20"/>
        </w:rPr>
        <w:t xml:space="preserve">Фпр - объем фактически произведенных в период возмещения затрат на уплату процентов по Кредиту на дату подачи заявки;</w:t>
      </w:r>
    </w:p>
    <w:p>
      <w:pPr>
        <w:pStyle w:val="0"/>
        <w:spacing w:before="200" w:line-rule="auto"/>
        <w:ind w:firstLine="540"/>
        <w:jc w:val="both"/>
      </w:pPr>
      <w:r>
        <w:rPr>
          <w:sz w:val="20"/>
        </w:rPr>
        <w:t xml:space="preserve">Эпс - процентная ставка по Кредиту, определяемая в соответствии с условиями Кредитного договора.</w:t>
      </w:r>
    </w:p>
    <w:p>
      <w:pPr>
        <w:pStyle w:val="0"/>
        <w:jc w:val="both"/>
      </w:pPr>
      <w:r>
        <w:rPr>
          <w:sz w:val="20"/>
        </w:rPr>
      </w:r>
    </w:p>
    <w:p>
      <w:pPr>
        <w:pStyle w:val="0"/>
        <w:ind w:firstLine="540"/>
        <w:jc w:val="both"/>
      </w:pPr>
      <w:r>
        <w:rPr>
          <w:sz w:val="20"/>
        </w:rPr>
        <w:t xml:space="preserve">В случае если величина Эпс ниже КСцб, то размер субсидии определяется по следующей формуле:</w:t>
      </w:r>
    </w:p>
    <w:p>
      <w:pPr>
        <w:pStyle w:val="0"/>
        <w:jc w:val="both"/>
      </w:pPr>
      <w:r>
        <w:rPr>
          <w:sz w:val="20"/>
        </w:rPr>
      </w:r>
    </w:p>
    <w:p>
      <w:pPr>
        <w:pStyle w:val="0"/>
        <w:ind w:firstLine="540"/>
        <w:jc w:val="both"/>
      </w:pPr>
      <w:r>
        <w:rPr>
          <w:sz w:val="20"/>
        </w:rPr>
        <w:t xml:space="preserve">Суб = Фпр.</w:t>
      </w:r>
    </w:p>
    <w:p>
      <w:pPr>
        <w:pStyle w:val="0"/>
        <w:jc w:val="both"/>
      </w:pPr>
      <w:r>
        <w:rPr>
          <w:sz w:val="20"/>
        </w:rPr>
      </w:r>
    </w:p>
    <w:p>
      <w:pPr>
        <w:pStyle w:val="0"/>
        <w:ind w:firstLine="540"/>
        <w:jc w:val="both"/>
      </w:pPr>
      <w:r>
        <w:rPr>
          <w:sz w:val="20"/>
        </w:rPr>
        <w:t xml:space="preserve">Размер предоставляемых субсидий не должен превышать размер документально обоснованных затрат.</w:t>
      </w:r>
    </w:p>
    <w:p>
      <w:pPr>
        <w:pStyle w:val="0"/>
        <w:spacing w:before="200" w:line-rule="auto"/>
        <w:ind w:firstLine="540"/>
        <w:jc w:val="both"/>
      </w:pPr>
      <w:r>
        <w:rPr>
          <w:sz w:val="20"/>
        </w:rPr>
        <w:t xml:space="preserve">Размер субсидии не может превышать фактически понесенных в период возмещения и документально подтвержденных затрат получателя субсидии на строительство и (или) реконструкцию гостиничного комплекса и не может составлять более 300 млн рублей и более 20 процентов от общего объема инвестиций на строительство и (или) реконструкцию одного и того же гостиничного комплекса.</w:t>
      </w:r>
    </w:p>
    <w:p>
      <w:pPr>
        <w:pStyle w:val="0"/>
        <w:spacing w:before="200" w:line-rule="auto"/>
        <w:ind w:firstLine="540"/>
        <w:jc w:val="both"/>
      </w:pPr>
      <w:r>
        <w:rPr>
          <w:sz w:val="20"/>
        </w:rPr>
        <w:t xml:space="preserve">Под общим объемом инвестиций на строительство и (или) реконструкцию гостиничного комплекса подразумеваются следующие затраты:</w:t>
      </w:r>
    </w:p>
    <w:p>
      <w:pPr>
        <w:pStyle w:val="0"/>
        <w:spacing w:before="200" w:line-rule="auto"/>
        <w:ind w:firstLine="540"/>
        <w:jc w:val="both"/>
      </w:pPr>
      <w:r>
        <w:rPr>
          <w:sz w:val="20"/>
        </w:rPr>
        <w:t xml:space="preserve">на строительство и (или) реконструкцию гостиничного комплекса при условии наличия разрешения на строительство (реконструкцию) и разрешения на ввод в эксплуатацию, выданных в установленном законодательством Российской Федерации порядке;</w:t>
      </w:r>
    </w:p>
    <w:p>
      <w:pPr>
        <w:pStyle w:val="0"/>
        <w:spacing w:before="200" w:line-rule="auto"/>
        <w:ind w:firstLine="540"/>
        <w:jc w:val="both"/>
      </w:pPr>
      <w:r>
        <w:rPr>
          <w:sz w:val="20"/>
        </w:rPr>
        <w:t xml:space="preserve">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гостиничного комплекса;</w:t>
      </w:r>
    </w:p>
    <w:p>
      <w:pPr>
        <w:pStyle w:val="0"/>
        <w:spacing w:before="200" w:line-rule="auto"/>
        <w:ind w:firstLine="540"/>
        <w:jc w:val="both"/>
      </w:pPr>
      <w:r>
        <w:rPr>
          <w:sz w:val="20"/>
        </w:rPr>
        <w:t xml:space="preserve">на закупку оборудования для функционирования гостиничного комплекса.</w:t>
      </w:r>
    </w:p>
    <w:p>
      <w:pPr>
        <w:pStyle w:val="0"/>
        <w:spacing w:before="200" w:line-rule="auto"/>
        <w:ind w:firstLine="540"/>
        <w:jc w:val="both"/>
      </w:pPr>
      <w:r>
        <w:rPr>
          <w:sz w:val="20"/>
        </w:rPr>
        <w:t xml:space="preserve">Превышение потребностей участников отбора, соответствующих категории, критериям и требованиям, установленным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history="0" w:anchor="P2115" w:tooltip="Мероприятие 06.02.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а строительство и (или) реконструкцию гостиничных комплексов">
        <w:r>
          <w:rPr>
            <w:sz w:val="20"/>
            <w:color w:val="0000ff"/>
          </w:rPr>
          <w:t xml:space="preserve">мероприятия 06.02</w:t>
        </w:r>
      </w:hyperlink>
      <w:r>
        <w:rPr>
          <w:sz w:val="20"/>
        </w:rPr>
        <w:t xml:space="preserve">,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pPr>
        <w:pStyle w:val="0"/>
        <w:spacing w:before="200" w:line-rule="auto"/>
        <w:ind w:firstLine="540"/>
        <w:jc w:val="both"/>
      </w:pPr>
      <w:r>
        <w:rPr>
          <w:sz w:val="20"/>
        </w:rPr>
        <w:t xml:space="preserve">Распределение субсидий осуществляется в пределах средств бюджета Московской области, доведенных до Мининвеста Московской области, на цели, предусмотренные Порядком, в порядке очередности поступивших, рассмотренных и не отклоненных Мининвестом Московской области заявок.</w:t>
      </w:r>
    </w:p>
    <w:p>
      <w:pPr>
        <w:pStyle w:val="0"/>
        <w:spacing w:before="200" w:line-rule="auto"/>
        <w:ind w:firstLine="540"/>
        <w:jc w:val="both"/>
      </w:pPr>
      <w:r>
        <w:rPr>
          <w:sz w:val="20"/>
        </w:rPr>
        <w:t xml:space="preserve">Субсидия предоставляется при условии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Российской Федерации и Московской области в соответствии со </w:t>
      </w:r>
      <w:hyperlink w:history="0" r:id="rId3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31. По результатам отбора с победителем отбора заключается Соглашение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субсидии) требованиям, установленным </w:t>
      </w:r>
      <w:hyperlink w:history="0" w:anchor="P5438"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32. Мининвест Московской области не позднее 1-го рабочего дня, следующего за днем принятия решения о предоставлении субсидии, формирует Соглашение в форме электронного документа в системе ГИС "РЭБ".</w:t>
      </w:r>
    </w:p>
    <w:bookmarkStart w:id="5554" w:name="P5554"/>
    <w:bookmarkEnd w:id="5554"/>
    <w:p>
      <w:pPr>
        <w:pStyle w:val="0"/>
        <w:spacing w:before="200" w:line-rule="auto"/>
        <w:ind w:firstLine="540"/>
        <w:jc w:val="both"/>
      </w:pPr>
      <w:r>
        <w:rPr>
          <w:sz w:val="20"/>
        </w:rPr>
        <w:t xml:space="preserve">Получатели субсидий не позднее 2-х рабочих дней, следующих за днем формирования Соглашения в системе ГИС "РЭБ", подписывают Соглашения в системе ГИС "РЭБ"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получателем субсидии Соглашения в системе ГИС "РЭБ" в срок, установленный </w:t>
      </w:r>
      <w:hyperlink w:history="0" w:anchor="P5554"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ГИС "РЭБ" в срок, установленный </w:t>
      </w:r>
      <w:hyperlink w:history="0" w:anchor="P5554"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5 рабочих дней, следующих за днем формирования Соглашения в системе ГИС "РЭБ".</w:t>
      </w:r>
    </w:p>
    <w:p>
      <w:pPr>
        <w:pStyle w:val="0"/>
        <w:spacing w:before="200" w:line-rule="auto"/>
        <w:ind w:firstLine="540"/>
        <w:jc w:val="both"/>
      </w:pPr>
      <w:r>
        <w:rPr>
          <w:sz w:val="20"/>
        </w:rPr>
        <w:t xml:space="preserve">33.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w:t>
      </w:r>
      <w:hyperlink w:history="0" r:id="rId38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о создании не менее 10 рабочих мест в срок не позднее 3 лет со дня заключения Соглашения в результате создания гостиничного комплекса (в случае если на дату подачи заявки не созданы рабочие места);</w:t>
      </w:r>
    </w:p>
    <w:p>
      <w:pPr>
        <w:pStyle w:val="0"/>
        <w:spacing w:before="200" w:line-rule="auto"/>
        <w:ind w:firstLine="540"/>
        <w:jc w:val="both"/>
      </w:pPr>
      <w:r>
        <w:rPr>
          <w:sz w:val="20"/>
        </w:rPr>
        <w:t xml:space="preserve">о вводе в эксплуатацию гостиничного комплекса в срок не позднее 3 лет со дня заключения Соглашения (в случае если на дату подачи заявки гостиничный комплекс не введен в эксплуатацию).</w:t>
      </w:r>
    </w:p>
    <w:p>
      <w:pPr>
        <w:pStyle w:val="0"/>
        <w:spacing w:before="200" w:line-rule="auto"/>
        <w:ind w:firstLine="540"/>
        <w:jc w:val="both"/>
      </w:pPr>
      <w:r>
        <w:rPr>
          <w:sz w:val="20"/>
        </w:rPr>
        <w:t xml:space="preserve">34. Основания для отказа получателю субсидии в предоставлении субсидии:</w:t>
      </w:r>
    </w:p>
    <w:p>
      <w:pPr>
        <w:pStyle w:val="0"/>
        <w:spacing w:before="200" w:line-rule="auto"/>
        <w:ind w:firstLine="540"/>
        <w:jc w:val="both"/>
      </w:pPr>
      <w:r>
        <w:rPr>
          <w:sz w:val="20"/>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признание победителя отбора уклонившимся от заключения Соглашения.</w:t>
      </w:r>
    </w:p>
    <w:p>
      <w:pPr>
        <w:pStyle w:val="0"/>
        <w:spacing w:before="200" w:line-rule="auto"/>
        <w:ind w:firstLine="540"/>
        <w:jc w:val="both"/>
      </w:pPr>
      <w:r>
        <w:rPr>
          <w:sz w:val="20"/>
        </w:rPr>
        <w:t xml:space="preserve">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36. Результатом предоставления субсидии является создание гостиничного комплекса.</w:t>
      </w:r>
    </w:p>
    <w:p>
      <w:pPr>
        <w:pStyle w:val="0"/>
        <w:spacing w:before="200" w:line-rule="auto"/>
        <w:ind w:firstLine="540"/>
        <w:jc w:val="both"/>
      </w:pPr>
      <w:r>
        <w:rPr>
          <w:sz w:val="20"/>
        </w:rPr>
        <w:t xml:space="preserve">Характеристиками результата предоставления субсидии являются:</w:t>
      </w:r>
    </w:p>
    <w:p>
      <w:pPr>
        <w:pStyle w:val="0"/>
        <w:spacing w:before="200" w:line-rule="auto"/>
        <w:ind w:firstLine="540"/>
        <w:jc w:val="both"/>
      </w:pPr>
      <w:r>
        <w:rPr>
          <w:sz w:val="20"/>
        </w:rPr>
        <w:t xml:space="preserve">общий объем инвестиций на строительство и (или) реконструкцию гостиничного комплекса;</w:t>
      </w:r>
    </w:p>
    <w:p>
      <w:pPr>
        <w:pStyle w:val="0"/>
        <w:spacing w:before="200" w:line-rule="auto"/>
        <w:ind w:firstLine="540"/>
        <w:jc w:val="both"/>
      </w:pPr>
      <w:r>
        <w:rPr>
          <w:sz w:val="20"/>
        </w:rPr>
        <w:t xml:space="preserve">величина вновь создаваемого номерного фонда гостиничного комплекса.</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37. Перечисление субсидии осуществляется не позднее 10-го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w:t>
      </w:r>
    </w:p>
    <w:p>
      <w:pPr>
        <w:pStyle w:val="0"/>
        <w:spacing w:before="200" w:line-rule="auto"/>
        <w:ind w:firstLine="540"/>
        <w:jc w:val="both"/>
      </w:pPr>
      <w:r>
        <w:rPr>
          <w:sz w:val="20"/>
        </w:rPr>
        <w:t xml:space="preserve">38. Субсидия подлежит перечислению на расчетный счет, открытый получателю субсидии в кредитной организации, указанный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bookmarkStart w:id="5578" w:name="P5578"/>
    <w:bookmarkEnd w:id="5578"/>
    <w:p>
      <w:pPr>
        <w:pStyle w:val="0"/>
        <w:ind w:firstLine="540"/>
        <w:jc w:val="both"/>
      </w:pPr>
      <w:r>
        <w:rPr>
          <w:sz w:val="20"/>
        </w:rPr>
        <w:t xml:space="preserve">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Последним отчетным кварталом является квартал, следующий за кварталом, в котором достигнут результат предоставления субсидии.</w:t>
      </w:r>
    </w:p>
    <w:p>
      <w:pPr>
        <w:pStyle w:val="0"/>
        <w:spacing w:before="200" w:line-rule="auto"/>
        <w:ind w:firstLine="540"/>
        <w:jc w:val="both"/>
      </w:pPr>
      <w:r>
        <w:rPr>
          <w:sz w:val="20"/>
        </w:rPr>
        <w:t xml:space="preserve">К отчету за квартал, в котором достигнут результат предоставления субсидии, получателем субсидии прилагается разрешение на ввод в эксплуатацию гостиничного комплекса.</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40. Проверка и принятие отчетности, представляемой в соответствии с </w:t>
      </w:r>
      <w:hyperlink w:history="0" w:anchor="P5578" w:tooltip="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
        <w:r>
          <w:rPr>
            <w:sz w:val="20"/>
            <w:color w:val="0000ff"/>
          </w:rPr>
          <w:t xml:space="preserve">пунктом 39</w:t>
        </w:r>
      </w:hyperlink>
      <w:r>
        <w:rPr>
          <w:sz w:val="20"/>
        </w:rPr>
        <w:t xml:space="preserve"> Порядка, осуществляется Мининвестом Московской области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5591" w:tooltip="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41</w:t>
        </w:r>
      </w:hyperlink>
      <w:r>
        <w:rPr>
          <w:sz w:val="20"/>
        </w:rPr>
        <w:t xml:space="preserve"> Порядка.</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5591" w:name="P5591"/>
    <w:bookmarkEnd w:id="5591"/>
    <w:p>
      <w:pPr>
        <w:pStyle w:val="0"/>
        <w:ind w:firstLine="540"/>
        <w:jc w:val="both"/>
      </w:pPr>
      <w:r>
        <w:rPr>
          <w:sz w:val="20"/>
        </w:rPr>
        <w:t xml:space="preserve">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38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8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43. В случае недостижения значений результата предоставления субсидии получатель субсидии обеспечивает возврат средств субсидии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в полном объеме.</w:t>
      </w:r>
    </w:p>
    <w:p>
      <w:pPr>
        <w:pStyle w:val="0"/>
        <w:spacing w:before="200" w:line-rule="auto"/>
        <w:ind w:firstLine="540"/>
        <w:jc w:val="both"/>
      </w:pPr>
      <w:r>
        <w:rPr>
          <w:sz w:val="20"/>
        </w:rPr>
        <w:t xml:space="preserve">44. В случае неисполнения получателем субсидии требования о возврате средств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45.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расторжения Соглашения с получателем субсидии Мининвест Московской области принимает решение о проведении дополнительного отбора в соответствии с положениями Порядка, предусмотренными для проведения отбора.</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5604" w:name="P5604"/>
    <w:bookmarkEnd w:id="5604"/>
    <w:p>
      <w:pPr>
        <w:pStyle w:val="2"/>
        <w:jc w:val="center"/>
      </w:pPr>
      <w:r>
        <w:rPr>
          <w:sz w:val="20"/>
        </w:rPr>
        <w:t xml:space="preserve">ПЕРЕЧЕНЬ</w:t>
      </w:r>
    </w:p>
    <w:p>
      <w:pPr>
        <w:pStyle w:val="2"/>
        <w:jc w:val="center"/>
      </w:pPr>
      <w:r>
        <w:rPr>
          <w:sz w:val="20"/>
        </w:rPr>
        <w:t xml:space="preserve">ДОКУМЕНТОВ, ПРЕДСТАВЛЯЕМЫХ УЧАСТНИКАМИ ОТБОРА В ЦЕЛЯХ</w:t>
      </w:r>
    </w:p>
    <w:p>
      <w:pPr>
        <w:pStyle w:val="2"/>
        <w:jc w:val="center"/>
      </w:pPr>
      <w:r>
        <w:rPr>
          <w:sz w:val="20"/>
        </w:rPr>
        <w:t xml:space="preserve">ПОЛУЧЕНИЯ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77"/>
      </w:tblGrid>
      <w:tr>
        <w:tc>
          <w:tcPr>
            <w:tcW w:w="794" w:type="dxa"/>
          </w:tcPr>
          <w:p>
            <w:pPr>
              <w:pStyle w:val="0"/>
              <w:jc w:val="center"/>
            </w:pPr>
            <w:r>
              <w:rPr>
                <w:sz w:val="20"/>
              </w:rPr>
              <w:t xml:space="preserve">N п/п</w:t>
            </w:r>
          </w:p>
        </w:tc>
        <w:tc>
          <w:tcPr>
            <w:tcW w:w="8277" w:type="dxa"/>
          </w:tcPr>
          <w:p>
            <w:pPr>
              <w:pStyle w:val="0"/>
              <w:jc w:val="center"/>
            </w:pPr>
            <w:r>
              <w:rPr>
                <w:sz w:val="20"/>
              </w:rPr>
              <w:t xml:space="preserve">Наименование документа</w:t>
            </w:r>
          </w:p>
        </w:tc>
      </w:tr>
      <w:tr>
        <w:tc>
          <w:tcPr>
            <w:tcW w:w="794" w:type="dxa"/>
          </w:tcPr>
          <w:p>
            <w:pPr>
              <w:pStyle w:val="0"/>
              <w:jc w:val="center"/>
            </w:pPr>
            <w:r>
              <w:rPr>
                <w:sz w:val="20"/>
              </w:rPr>
              <w:t xml:space="preserve">1</w:t>
            </w:r>
          </w:p>
        </w:tc>
        <w:tc>
          <w:tcPr>
            <w:tcW w:w="8277" w:type="dxa"/>
          </w:tcPr>
          <w:p>
            <w:pPr>
              <w:pStyle w:val="0"/>
              <w:jc w:val="center"/>
            </w:pPr>
            <w:r>
              <w:rPr>
                <w:sz w:val="20"/>
              </w:rPr>
              <w:t xml:space="preserve">2</w:t>
            </w:r>
          </w:p>
        </w:tc>
      </w:tr>
      <w:tr>
        <w:tc>
          <w:tcPr>
            <w:tcW w:w="794" w:type="dxa"/>
          </w:tcPr>
          <w:p>
            <w:pPr>
              <w:pStyle w:val="0"/>
            </w:pPr>
            <w:r>
              <w:rPr>
                <w:sz w:val="20"/>
              </w:rPr>
              <w:t xml:space="preserve">1</w:t>
            </w:r>
          </w:p>
        </w:tc>
        <w:tc>
          <w:tcPr>
            <w:tcW w:w="8277" w:type="dxa"/>
          </w:tcPr>
          <w:p>
            <w:pPr>
              <w:pStyle w:val="0"/>
            </w:pPr>
            <w:r>
              <w:rPr>
                <w:sz w:val="20"/>
              </w:rPr>
              <w:t xml:space="preserve">Устав участника отбора (для участников отбора, являющихся юридическими лицами)</w:t>
            </w:r>
          </w:p>
        </w:tc>
      </w:tr>
      <w:tr>
        <w:tc>
          <w:tcPr>
            <w:tcW w:w="794" w:type="dxa"/>
          </w:tcPr>
          <w:p>
            <w:pPr>
              <w:pStyle w:val="0"/>
            </w:pPr>
            <w:r>
              <w:rPr>
                <w:sz w:val="20"/>
              </w:rPr>
              <w:t xml:space="preserve">2</w:t>
            </w:r>
          </w:p>
        </w:tc>
        <w:tc>
          <w:tcPr>
            <w:tcW w:w="8277" w:type="dxa"/>
          </w:tcPr>
          <w:p>
            <w:pPr>
              <w:pStyle w:val="0"/>
            </w:pPr>
            <w:r>
              <w:rPr>
                <w:sz w:val="20"/>
              </w:rPr>
              <w:t xml:space="preserve">Выписка из реестра акционеров общества (для акционерных обществ), выданная не ранее чем за 30 календарных дней до даты подачи заявки</w:t>
            </w:r>
          </w:p>
        </w:tc>
      </w:tr>
      <w:tr>
        <w:tc>
          <w:tcPr>
            <w:tcW w:w="794" w:type="dxa"/>
          </w:tcPr>
          <w:p>
            <w:pPr>
              <w:pStyle w:val="0"/>
            </w:pPr>
            <w:r>
              <w:rPr>
                <w:sz w:val="20"/>
              </w:rPr>
              <w:t xml:space="preserve">3</w:t>
            </w:r>
          </w:p>
        </w:tc>
        <w:tc>
          <w:tcPr>
            <w:tcW w:w="8277" w:type="dxa"/>
          </w:tcPr>
          <w:p>
            <w:pPr>
              <w:pStyle w:val="0"/>
            </w:pPr>
            <w:r>
              <w:rPr>
                <w:sz w:val="20"/>
              </w:rPr>
              <w:t xml:space="preserve">Разрешение на строительство и (или) реконструкцию гостиничного комплекса</w:t>
            </w:r>
          </w:p>
        </w:tc>
      </w:tr>
      <w:tr>
        <w:tc>
          <w:tcPr>
            <w:tcW w:w="794" w:type="dxa"/>
          </w:tcPr>
          <w:p>
            <w:pPr>
              <w:pStyle w:val="0"/>
            </w:pPr>
            <w:r>
              <w:rPr>
                <w:sz w:val="20"/>
              </w:rPr>
              <w:t xml:space="preserve">4</w:t>
            </w:r>
          </w:p>
        </w:tc>
        <w:tc>
          <w:tcPr>
            <w:tcW w:w="8277" w:type="dxa"/>
          </w:tcPr>
          <w:p>
            <w:pPr>
              <w:pStyle w:val="0"/>
            </w:pPr>
            <w:r>
              <w:rPr>
                <w:sz w:val="20"/>
              </w:rPr>
              <w:t xml:space="preserve">Разрешение на ввод в эксплуатацию гостиничного комплекса (при наличии) или гарантийное письмо, подписанное руководителем участника отбора или иным уполномоченным лицом, содержащее обязательство о вводе в эксплуатацию гостиничного комплекса в срок не позднее 3 лет со дня заключения Соглашения</w:t>
            </w:r>
          </w:p>
        </w:tc>
      </w:tr>
      <w:tr>
        <w:tc>
          <w:tcPr>
            <w:tcW w:w="794" w:type="dxa"/>
          </w:tcPr>
          <w:p>
            <w:pPr>
              <w:pStyle w:val="0"/>
            </w:pPr>
            <w:r>
              <w:rPr>
                <w:sz w:val="20"/>
              </w:rPr>
              <w:t xml:space="preserve">5</w:t>
            </w:r>
          </w:p>
        </w:tc>
        <w:tc>
          <w:tcPr>
            <w:tcW w:w="8277" w:type="dxa"/>
          </w:tcPr>
          <w:p>
            <w:pPr>
              <w:pStyle w:val="0"/>
            </w:pPr>
            <w:r>
              <w:rPr>
                <w:sz w:val="20"/>
              </w:rPr>
              <w:t xml:space="preserve">Документы, подтверждающие оказание претендентом услуг по предоставлению права временного владения и пользования или временного пользования на созданный гостиничный комплекс, в отношении которого были произведены затраты, эксплуатантам гостиничного комплекса (если применимо)</w:t>
            </w:r>
          </w:p>
        </w:tc>
      </w:tr>
      <w:tr>
        <w:tc>
          <w:tcPr>
            <w:tcW w:w="794" w:type="dxa"/>
          </w:tcPr>
          <w:p>
            <w:pPr>
              <w:pStyle w:val="0"/>
            </w:pPr>
            <w:r>
              <w:rPr>
                <w:sz w:val="20"/>
              </w:rPr>
              <w:t xml:space="preserve">6</w:t>
            </w:r>
          </w:p>
        </w:tc>
        <w:tc>
          <w:tcPr>
            <w:tcW w:w="8277" w:type="dxa"/>
          </w:tcPr>
          <w:p>
            <w:pPr>
              <w:pStyle w:val="0"/>
            </w:pPr>
            <w:r>
              <w:rPr>
                <w:sz w:val="20"/>
              </w:rPr>
              <w:t xml:space="preserve">В случае оказания гостиничных услуг эксплуатантом гостиничного комплекса претендентом представляется письмо-согласие эксплуатанта гостиничного комплекса, составленное в свободной форме, на представление данных претенденту, необходимых для представления претендентом отчетности, предусмотренной Порядком (если применимо)</w:t>
            </w:r>
          </w:p>
        </w:tc>
      </w:tr>
      <w:tr>
        <w:tc>
          <w:tcPr>
            <w:tcW w:w="794" w:type="dxa"/>
          </w:tcPr>
          <w:p>
            <w:pPr>
              <w:pStyle w:val="0"/>
            </w:pPr>
            <w:r>
              <w:rPr>
                <w:sz w:val="20"/>
              </w:rPr>
              <w:t xml:space="preserve">7</w:t>
            </w:r>
          </w:p>
        </w:tc>
        <w:tc>
          <w:tcPr>
            <w:tcW w:w="8277" w:type="dxa"/>
          </w:tcPr>
          <w:p>
            <w:pPr>
              <w:pStyle w:val="0"/>
            </w:pPr>
            <w:r>
              <w:rPr>
                <w:sz w:val="20"/>
              </w:rPr>
              <w:t xml:space="preserve">Кредитный договор</w:t>
            </w:r>
          </w:p>
        </w:tc>
      </w:tr>
      <w:tr>
        <w:tc>
          <w:tcPr>
            <w:tcW w:w="794" w:type="dxa"/>
          </w:tcPr>
          <w:p>
            <w:pPr>
              <w:pStyle w:val="0"/>
            </w:pPr>
            <w:r>
              <w:rPr>
                <w:sz w:val="20"/>
              </w:rPr>
              <w:t xml:space="preserve">8</w:t>
            </w:r>
          </w:p>
        </w:tc>
        <w:tc>
          <w:tcPr>
            <w:tcW w:w="8277" w:type="dxa"/>
          </w:tcPr>
          <w:p>
            <w:pPr>
              <w:pStyle w:val="0"/>
            </w:pPr>
            <w:r>
              <w:rPr>
                <w:sz w:val="20"/>
              </w:rPr>
              <w:t xml:space="preserve">График погашения Кредита и уплаты процентов по нему</w:t>
            </w:r>
          </w:p>
        </w:tc>
      </w:tr>
      <w:tr>
        <w:tc>
          <w:tcPr>
            <w:tcW w:w="794" w:type="dxa"/>
          </w:tcPr>
          <w:p>
            <w:pPr>
              <w:pStyle w:val="0"/>
            </w:pPr>
            <w:r>
              <w:rPr>
                <w:sz w:val="20"/>
              </w:rPr>
              <w:t xml:space="preserve">9</w:t>
            </w:r>
          </w:p>
        </w:tc>
        <w:tc>
          <w:tcPr>
            <w:tcW w:w="8277" w:type="dxa"/>
          </w:tcPr>
          <w:p>
            <w:pPr>
              <w:pStyle w:val="0"/>
            </w:pPr>
            <w:r>
              <w:rPr>
                <w:sz w:val="20"/>
              </w:rPr>
              <w:t xml:space="preserve">Платежные поручения, подтверждающие исполнение обязательств по Кредиту</w:t>
            </w:r>
          </w:p>
        </w:tc>
      </w:tr>
      <w:tr>
        <w:tc>
          <w:tcPr>
            <w:tcW w:w="794" w:type="dxa"/>
          </w:tcPr>
          <w:p>
            <w:pPr>
              <w:pStyle w:val="0"/>
            </w:pPr>
            <w:r>
              <w:rPr>
                <w:sz w:val="20"/>
              </w:rPr>
              <w:t xml:space="preserve">10</w:t>
            </w:r>
          </w:p>
        </w:tc>
        <w:tc>
          <w:tcPr>
            <w:tcW w:w="8277" w:type="dxa"/>
          </w:tcPr>
          <w:p>
            <w:pPr>
              <w:pStyle w:val="0"/>
            </w:pPr>
            <w:r>
              <w:rPr>
                <w:sz w:val="20"/>
              </w:rPr>
              <w:t xml:space="preserve">Документы, подтверждающие осуществление инвестиций претендентом, связанных со строительством и (или) реконструкцией гостиничного комплекса, по состоянию на дату подачи заявки:</w:t>
            </w:r>
          </w:p>
        </w:tc>
      </w:tr>
      <w:tr>
        <w:tc>
          <w:tcPr>
            <w:tcW w:w="794" w:type="dxa"/>
          </w:tcPr>
          <w:p>
            <w:pPr>
              <w:pStyle w:val="0"/>
            </w:pPr>
            <w:r>
              <w:rPr>
                <w:sz w:val="20"/>
              </w:rPr>
              <w:t xml:space="preserve">10.1</w:t>
            </w:r>
          </w:p>
        </w:tc>
        <w:tc>
          <w:tcPr>
            <w:tcW w:w="8277"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объекта капитального строительства, договоры на приобретение и доставку материалов, работу техники в рамках строительства или реконструкции гостиничного комплекса</w:t>
            </w:r>
          </w:p>
        </w:tc>
      </w:tr>
      <w:tr>
        <w:tc>
          <w:tcPr>
            <w:tcW w:w="794" w:type="dxa"/>
          </w:tcPr>
          <w:p>
            <w:pPr>
              <w:pStyle w:val="0"/>
            </w:pPr>
            <w:r>
              <w:rPr>
                <w:sz w:val="20"/>
              </w:rPr>
              <w:t xml:space="preserve">10.2</w:t>
            </w:r>
          </w:p>
        </w:tc>
        <w:tc>
          <w:tcPr>
            <w:tcW w:w="8277" w:type="dxa"/>
          </w:tcPr>
          <w:p>
            <w:pPr>
              <w:pStyle w:val="0"/>
            </w:pPr>
            <w:r>
              <w:rPr>
                <w:sz w:val="20"/>
              </w:rPr>
              <w:t xml:space="preserve">Акты, подтверждающие затраты на строительство и (или) реконструкцию объекта капитального строительства в рамках строительства и (или) реконструкции гостиничного комплекса:</w:t>
            </w:r>
          </w:p>
          <w:p>
            <w:pPr>
              <w:pStyle w:val="0"/>
            </w:pPr>
            <w:r>
              <w:rPr>
                <w:sz w:val="20"/>
              </w:rPr>
              <w:t xml:space="preserve">в случае проведения работ подрядным способом - акты КС-3, форма ОС-1 и (или) форма ОС-3, накладные на приобретение строительных материалов;</w:t>
            </w:r>
          </w:p>
          <w:p>
            <w:pPr>
              <w:pStyle w:val="0"/>
            </w:pPr>
            <w:r>
              <w:rPr>
                <w:sz w:val="20"/>
              </w:rPr>
              <w:t xml:space="preserve">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лицензия на осуществление строительства зданий и сооружений, свидетельство саморегулируемой организации (далее - СРО) на допуск к работам, оказывающим влияние на безопасность объектов капитального строительства при проведении претендентом строительно-монтажных работ хозяйственным способом (при наличии)</w:t>
            </w:r>
          </w:p>
        </w:tc>
      </w:tr>
      <w:tr>
        <w:tc>
          <w:tcPr>
            <w:tcW w:w="794" w:type="dxa"/>
          </w:tcPr>
          <w:p>
            <w:pPr>
              <w:pStyle w:val="0"/>
            </w:pPr>
            <w:r>
              <w:rPr>
                <w:sz w:val="20"/>
              </w:rPr>
              <w:t xml:space="preserve">10.3</w:t>
            </w:r>
          </w:p>
        </w:tc>
        <w:tc>
          <w:tcPr>
            <w:tcW w:w="8277" w:type="dxa"/>
          </w:tcPr>
          <w:p>
            <w:pPr>
              <w:pStyle w:val="0"/>
            </w:pPr>
            <w:r>
              <w:rPr>
                <w:sz w:val="20"/>
              </w:rPr>
              <w:t xml:space="preserve">Платежные документы, подтверждающие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объекта капитального строительства в рамках строительства или реконструкции гостиничного комплекса</w:t>
            </w:r>
          </w:p>
        </w:tc>
      </w:tr>
      <w:tr>
        <w:tc>
          <w:tcPr>
            <w:tcW w:w="794" w:type="dxa"/>
          </w:tcPr>
          <w:p>
            <w:pPr>
              <w:pStyle w:val="0"/>
            </w:pPr>
            <w:r>
              <w:rPr>
                <w:sz w:val="20"/>
              </w:rPr>
              <w:t xml:space="preserve">10.4</w:t>
            </w:r>
          </w:p>
        </w:tc>
        <w:tc>
          <w:tcPr>
            <w:tcW w:w="8277" w:type="dxa"/>
          </w:tcPr>
          <w:p>
            <w:pPr>
              <w:pStyle w:val="0"/>
            </w:pPr>
            <w:r>
              <w:rPr>
                <w:sz w:val="20"/>
              </w:rPr>
              <w:t xml:space="preserve">Договоры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tc>
          <w:tcPr>
            <w:tcW w:w="794" w:type="dxa"/>
          </w:tcPr>
          <w:p>
            <w:pPr>
              <w:pStyle w:val="0"/>
            </w:pPr>
            <w:r>
              <w:rPr>
                <w:sz w:val="20"/>
              </w:rPr>
              <w:t xml:space="preserve">10.5</w:t>
            </w:r>
          </w:p>
        </w:tc>
        <w:tc>
          <w:tcPr>
            <w:tcW w:w="8277" w:type="dxa"/>
          </w:tcPr>
          <w:p>
            <w:pPr>
              <w:pStyle w:val="0"/>
            </w:pPr>
            <w:r>
              <w:rPr>
                <w:sz w:val="20"/>
              </w:rPr>
              <w:t xml:space="preserve">Документы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w:history="0" r:id="rId384"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N ОС-1</w:t>
              </w:r>
            </w:hyperlink>
            <w:r>
              <w:rPr>
                <w:sz w:val="20"/>
              </w:rPr>
              <w:t xml:space="preserve">,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w:t>
            </w:r>
          </w:p>
        </w:tc>
      </w:tr>
      <w:tr>
        <w:tc>
          <w:tcPr>
            <w:tcW w:w="794" w:type="dxa"/>
          </w:tcPr>
          <w:p>
            <w:pPr>
              <w:pStyle w:val="0"/>
            </w:pPr>
            <w:r>
              <w:rPr>
                <w:sz w:val="20"/>
              </w:rPr>
              <w:t xml:space="preserve">10.6</w:t>
            </w:r>
          </w:p>
        </w:tc>
        <w:tc>
          <w:tcPr>
            <w:tcW w:w="8277" w:type="dxa"/>
          </w:tcPr>
          <w:p>
            <w:pPr>
              <w:pStyle w:val="0"/>
            </w:pPr>
            <w:r>
              <w:rPr>
                <w:sz w:val="20"/>
              </w:rPr>
              <w:t xml:space="preserve">Платежные документы, подтверждающие оплату договоров на приобретение в собственность оборудования, включая затраты на монтаж и доставку оборудования</w:t>
            </w:r>
          </w:p>
        </w:tc>
      </w:tr>
      <w:tr>
        <w:tc>
          <w:tcPr>
            <w:tcW w:w="794" w:type="dxa"/>
          </w:tcPr>
          <w:p>
            <w:pPr>
              <w:pStyle w:val="0"/>
            </w:pPr>
            <w:r>
              <w:rPr>
                <w:sz w:val="20"/>
              </w:rPr>
              <w:t xml:space="preserve">11</w:t>
            </w:r>
          </w:p>
        </w:tc>
        <w:tc>
          <w:tcPr>
            <w:tcW w:w="8277" w:type="dxa"/>
          </w:tcPr>
          <w:p>
            <w:pPr>
              <w:pStyle w:val="0"/>
            </w:pPr>
            <w:r>
              <w:rPr>
                <w:sz w:val="20"/>
              </w:rPr>
              <w:t xml:space="preserve">Экспликация гостиничного комплекса в составе проектной документации гостиничного комплекса</w:t>
            </w:r>
          </w:p>
        </w:tc>
      </w:tr>
      <w:tr>
        <w:tc>
          <w:tcPr>
            <w:tcW w:w="794" w:type="dxa"/>
          </w:tcPr>
          <w:p>
            <w:pPr>
              <w:pStyle w:val="0"/>
            </w:pPr>
            <w:r>
              <w:rPr>
                <w:sz w:val="20"/>
              </w:rPr>
              <w:t xml:space="preserve">12</w:t>
            </w:r>
          </w:p>
        </w:tc>
        <w:tc>
          <w:tcPr>
            <w:tcW w:w="8277" w:type="dxa"/>
          </w:tcPr>
          <w:p>
            <w:pPr>
              <w:pStyle w:val="0"/>
            </w:pPr>
            <w:r>
              <w:rPr>
                <w:sz w:val="20"/>
              </w:rPr>
              <w:t xml:space="preserve">Штатное расписание (при наличии) или гарантийное письмо, подписанное руководителем участника отбора или иным уполномоченным лицом, содержащее обязательство о создании не менее 10 рабочих мест в срок не позднее 3 лет со дня заключения Соглашения при создании гостиничного комплекса</w:t>
            </w:r>
          </w:p>
        </w:tc>
      </w:tr>
    </w:tbl>
    <w:p>
      <w:pPr>
        <w:pStyle w:val="0"/>
        <w:jc w:val="both"/>
      </w:pPr>
      <w:r>
        <w:rPr>
          <w:sz w:val="20"/>
        </w:rPr>
      </w:r>
    </w:p>
    <w:p>
      <w:pPr>
        <w:pStyle w:val="2"/>
        <w:outlineLvl w:val="3"/>
        <w:jc w:val="center"/>
      </w:pPr>
      <w:r>
        <w:rPr>
          <w:sz w:val="20"/>
        </w:rPr>
        <w:t xml:space="preserve">5.3.8.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на возмещение части затрат на уплату процентов по кредитам,</w:t>
      </w:r>
    </w:p>
    <w:p>
      <w:pPr>
        <w:pStyle w:val="2"/>
        <w:jc w:val="center"/>
      </w:pPr>
      <w:r>
        <w:rPr>
          <w:sz w:val="20"/>
        </w:rPr>
        <w:t xml:space="preserve">полученным в российских кредитных организациях, необходимым</w:t>
      </w:r>
    </w:p>
    <w:p>
      <w:pPr>
        <w:pStyle w:val="2"/>
        <w:jc w:val="center"/>
      </w:pPr>
      <w:r>
        <w:rPr>
          <w:sz w:val="20"/>
        </w:rPr>
        <w:t xml:space="preserve">для последующего ведения деятельности на территории</w:t>
      </w:r>
    </w:p>
    <w:p>
      <w:pPr>
        <w:pStyle w:val="2"/>
        <w:jc w:val="center"/>
      </w:pPr>
      <w:r>
        <w:rPr>
          <w:sz w:val="20"/>
        </w:rPr>
        <w:t xml:space="preserve">муниципальных образований Московской области, в рамках</w:t>
      </w:r>
    </w:p>
    <w:p>
      <w:pPr>
        <w:pStyle w:val="2"/>
        <w:jc w:val="center"/>
      </w:pPr>
      <w:r>
        <w:rPr>
          <w:sz w:val="20"/>
        </w:rPr>
        <w:t xml:space="preserve">реализации мероприятия 08.01 "Возмещение части затрат</w:t>
      </w:r>
    </w:p>
    <w:p>
      <w:pPr>
        <w:pStyle w:val="2"/>
        <w:jc w:val="center"/>
      </w:pPr>
      <w:r>
        <w:rPr>
          <w:sz w:val="20"/>
        </w:rPr>
        <w:t xml:space="preserve">юридических лиц и индивидуальных предпринимателей на уплату</w:t>
      </w:r>
    </w:p>
    <w:p>
      <w:pPr>
        <w:pStyle w:val="2"/>
        <w:jc w:val="center"/>
      </w:pPr>
      <w:r>
        <w:rPr>
          <w:sz w:val="20"/>
        </w:rPr>
        <w:t xml:space="preserve">процентов по кредитам, полученным в российских кредитных</w:t>
      </w:r>
    </w:p>
    <w:p>
      <w:pPr>
        <w:pStyle w:val="2"/>
        <w:jc w:val="center"/>
      </w:pPr>
      <w:r>
        <w:rPr>
          <w:sz w:val="20"/>
        </w:rPr>
        <w:t xml:space="preserve">организациях, необходимым для последующего ведения</w:t>
      </w:r>
    </w:p>
    <w:p>
      <w:pPr>
        <w:pStyle w:val="2"/>
        <w:jc w:val="center"/>
      </w:pPr>
      <w:r>
        <w:rPr>
          <w:sz w:val="20"/>
        </w:rPr>
        <w:t xml:space="preserve">деятельности на территории муниципальных образований</w:t>
      </w:r>
    </w:p>
    <w:p>
      <w:pPr>
        <w:pStyle w:val="2"/>
        <w:jc w:val="center"/>
      </w:pPr>
      <w:r>
        <w:rPr>
          <w:sz w:val="20"/>
        </w:rPr>
        <w:t xml:space="preserve">Московской области"</w:t>
      </w:r>
    </w:p>
    <w:p>
      <w:pPr>
        <w:pStyle w:val="0"/>
        <w:jc w:val="center"/>
      </w:pPr>
      <w:r>
        <w:rPr>
          <w:sz w:val="20"/>
        </w:rPr>
      </w:r>
    </w:p>
    <w:p>
      <w:pPr>
        <w:pStyle w:val="0"/>
        <w:jc w:val="center"/>
      </w:pPr>
      <w:r>
        <w:rPr>
          <w:sz w:val="20"/>
        </w:rPr>
        <w:t xml:space="preserve">(в ред. </w:t>
      </w:r>
      <w:hyperlink w:history="0" r:id="rId385"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индивидуальным предпринимателям на возмещение части затрат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необходимым для последующего ведения деятельности на территории муниципальных образований Московской области (далее соответственно - Порядок, субсидия), в рамках </w:t>
      </w:r>
      <w:hyperlink w:history="0" w:anchor="P2305" w:tooltip="Мероприятие 08.01.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муниципальных образований Московской области">
        <w:r>
          <w:rPr>
            <w:sz w:val="20"/>
            <w:color w:val="0000ff"/>
          </w:rPr>
          <w:t xml:space="preserve">мероприятия 08.01</w:t>
        </w:r>
      </w:hyperlink>
      <w:r>
        <w:rPr>
          <w:sz w:val="20"/>
        </w:rPr>
        <w:t xml:space="preserve">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муниципальных образований Московской области" Подпрограммы 1 государственной программы разработан в соответствии со </w:t>
      </w:r>
      <w:hyperlink w:history="0" r:id="rId38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38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претендент - юридическое лицо (за исключением государственных (муниципальных) учреждений) или индивидуальный предприниматель, понесший затраты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необходимым для последующего ведения деятельности на территории муниципальных образований Московской области;</w:t>
      </w:r>
    </w:p>
    <w:p>
      <w:pPr>
        <w:pStyle w:val="0"/>
        <w:spacing w:before="200" w:line-rule="auto"/>
        <w:ind w:firstLine="540"/>
        <w:jc w:val="both"/>
      </w:pPr>
      <w:r>
        <w:rPr>
          <w:sz w:val="20"/>
        </w:rPr>
        <w:t xml:space="preserve">период - период, за который возмещаются затраты, составляет 2 календарных года с даты заключения кредитного договора до даты подачи заявки или 2 календарных года со дня получения денежных средств по кредиту в случае осуществления кредитования получателя субсидии в рамках открытой кредитной линии до даты подачи заявки;</w:t>
      </w:r>
    </w:p>
    <w:p>
      <w:pPr>
        <w:pStyle w:val="0"/>
        <w:spacing w:before="200" w:line-rule="auto"/>
        <w:ind w:firstLine="540"/>
        <w:jc w:val="both"/>
      </w:pPr>
      <w:r>
        <w:rPr>
          <w:sz w:val="20"/>
        </w:rPr>
        <w:t xml:space="preserve">муниципальные образования - муниципальные образования Московской области, </w:t>
      </w:r>
      <w:hyperlink w:history="0" r:id="rId388" w:tooltip="Закон Московской области от 24.11.2004 N 151/2004-ОЗ (ред. от 25.12.2024)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при реализации инвестиционных проектов, предусмотренных пунктом 1 статьи 26.15 и подпунктами 3-9 пункта 1 статьи 26.18 Закона Московской области N 151/2004-ОЗ &quot;О льготном налогообложении в Московской области&quot;, &quot;Перечнем видов экономической деятельност {КонсультантПлюс}">
        <w:r>
          <w:rPr>
            <w:sz w:val="20"/>
            <w:color w:val="0000ff"/>
          </w:rPr>
          <w:t xml:space="preserve">перечень</w:t>
        </w:r>
      </w:hyperlink>
      <w:r>
        <w:rPr>
          <w:sz w:val="20"/>
        </w:rPr>
        <w:t xml:space="preserve"> которых указан в приложении 8 к Закону N 151/2004-ОЗ.</w:t>
      </w:r>
    </w:p>
    <w:p>
      <w:pPr>
        <w:pStyle w:val="0"/>
        <w:spacing w:before="200" w:line-rule="auto"/>
        <w:ind w:firstLine="540"/>
        <w:jc w:val="both"/>
      </w:pPr>
      <w:r>
        <w:rPr>
          <w:sz w:val="20"/>
        </w:rPr>
        <w:t xml:space="preserve">Термины и понятия, используемые для целей Порядка, применяются в значениях, установленных законодательством Российской Федерации и законодательством Московской области.</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5683" w:tooltip="5. Целью предоставления субсидии является возмещение затрат получателя субсидии, понесенных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х для последующего ведения деятельности на территории муниципальных образований:">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5683" w:name="P5683"/>
    <w:bookmarkEnd w:id="5683"/>
    <w:p>
      <w:pPr>
        <w:pStyle w:val="0"/>
        <w:spacing w:before="200" w:line-rule="auto"/>
        <w:ind w:firstLine="540"/>
        <w:jc w:val="both"/>
      </w:pPr>
      <w:r>
        <w:rPr>
          <w:sz w:val="20"/>
        </w:rPr>
        <w:t xml:space="preserve">5. Целью предоставления субсидии является возмещение затрат получателя субсидии, понесенных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необходимых для последующего ведения деятельности на территории муниципальных образований:</w:t>
      </w:r>
    </w:p>
    <w:p>
      <w:pPr>
        <w:pStyle w:val="0"/>
        <w:spacing w:before="200" w:line-rule="auto"/>
        <w:ind w:firstLine="540"/>
        <w:jc w:val="both"/>
      </w:pPr>
      <w:r>
        <w:rPr>
          <w:sz w:val="20"/>
        </w:rPr>
        <w:t xml:space="preserve">субъектами деятельности в сфере промышленности в связи с производством (реализацией) товаров, выполнением работ, оказанием услуг в сфере промышленного производства;</w:t>
      </w:r>
    </w:p>
    <w:p>
      <w:pPr>
        <w:pStyle w:val="0"/>
        <w:spacing w:before="200" w:line-rule="auto"/>
        <w:ind w:firstLine="540"/>
        <w:jc w:val="both"/>
      </w:pPr>
      <w:r>
        <w:rPr>
          <w:sz w:val="20"/>
        </w:rPr>
        <w:t xml:space="preserve">субъектами деятельности в сфере сельского хозяйства в связи с производством (реализацией) продукции сельского хозяйства;</w:t>
      </w:r>
    </w:p>
    <w:p>
      <w:pPr>
        <w:pStyle w:val="0"/>
        <w:spacing w:before="200" w:line-rule="auto"/>
        <w:ind w:firstLine="540"/>
        <w:jc w:val="both"/>
      </w:pPr>
      <w:r>
        <w:rPr>
          <w:sz w:val="20"/>
        </w:rPr>
        <w:t xml:space="preserve">субъектами деятельности в сфере оказания гостиничных услуг в связи со строительством и (или) реконструкцией гостиничных комплексов;</w:t>
      </w:r>
    </w:p>
    <w:p>
      <w:pPr>
        <w:pStyle w:val="0"/>
        <w:spacing w:before="200" w:line-rule="auto"/>
        <w:ind w:firstLine="540"/>
        <w:jc w:val="both"/>
      </w:pPr>
      <w:r>
        <w:rPr>
          <w:sz w:val="20"/>
        </w:rPr>
        <w:t xml:space="preserve">субъектами деятельности в сфере транспортировки и хранения.</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bookmarkStart w:id="5695" w:name="P5695"/>
    <w:bookmarkEnd w:id="5695"/>
    <w:p>
      <w:pPr>
        <w:pStyle w:val="0"/>
        <w:spacing w:before="200" w:line-rule="auto"/>
        <w:ind w:firstLine="540"/>
        <w:jc w:val="both"/>
      </w:pPr>
      <w:r>
        <w:rPr>
          <w:sz w:val="20"/>
        </w:rPr>
        <w:t xml:space="preserve">9. Категория отбора - претенденты, осуществляющие деятельность в сферах промышленного производства, сельского хозяйства, гостиничных услуг, транспортировки и хранения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сферах промышленного производства, сельского хозяйства, гостиничных услуг, транспортировки и хранения на территории Московской области посредством указанных обособленных подразделений, состоящие на учете в налоговых органах Московской области и зарегистрированные в установленном законодательством Российской Федерации порядке на территории Московской области.</w:t>
      </w:r>
    </w:p>
    <w:p>
      <w:pPr>
        <w:pStyle w:val="0"/>
        <w:spacing w:before="200" w:line-rule="auto"/>
        <w:ind w:firstLine="540"/>
        <w:jc w:val="both"/>
      </w:pPr>
      <w:r>
        <w:rPr>
          <w:sz w:val="20"/>
        </w:rPr>
        <w:t xml:space="preserve">В категорию отбора не входят претенденты:</w:t>
      </w:r>
    </w:p>
    <w:p>
      <w:pPr>
        <w:pStyle w:val="0"/>
        <w:spacing w:before="200" w:line-rule="auto"/>
        <w:ind w:firstLine="540"/>
        <w:jc w:val="both"/>
      </w:pPr>
      <w:r>
        <w:rPr>
          <w:sz w:val="20"/>
        </w:rPr>
        <w:t xml:space="preserve">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осуществляющие предпринимательскую деятельность в сфере игорного бизнеса;</w:t>
      </w:r>
    </w:p>
    <w:p>
      <w:pPr>
        <w:pStyle w:val="0"/>
        <w:spacing w:before="200" w:line-rule="auto"/>
        <w:ind w:firstLine="540"/>
        <w:jc w:val="both"/>
      </w:pPr>
      <w:r>
        <w:rPr>
          <w:sz w:val="20"/>
        </w:rPr>
        <w:t xml:space="preserve">ранее допустившие нарушения условий предоставленных субсидий, в том числе не обеспечившие их целевого использования в случае, если с момента совершения указанных нарушений прошло менее трех лет;</w:t>
      </w:r>
    </w:p>
    <w:p>
      <w:pPr>
        <w:pStyle w:val="0"/>
        <w:spacing w:before="200" w:line-rule="auto"/>
        <w:ind w:firstLine="540"/>
        <w:jc w:val="both"/>
      </w:pPr>
      <w:r>
        <w:rPr>
          <w:sz w:val="20"/>
        </w:rPr>
        <w:t xml:space="preserve">не являющиеся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pPr>
        <w:pStyle w:val="0"/>
        <w:spacing w:before="200" w:line-rule="auto"/>
        <w:ind w:firstLine="540"/>
        <w:jc w:val="both"/>
      </w:pPr>
      <w:r>
        <w:rPr>
          <w:sz w:val="20"/>
        </w:rPr>
        <w:t xml:space="preserve">государственные корпорации и государственные компании и их дочерние хозяйствующие субъекты.</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1) строительство и (или) реконструкция объектов капитального строительства, необходимых для последующего ведения соответствующего вида деятельности, осуществляется на территории одного из муниципальных образований;</w:t>
      </w:r>
    </w:p>
    <w:p>
      <w:pPr>
        <w:pStyle w:val="0"/>
        <w:spacing w:before="200" w:line-rule="auto"/>
        <w:ind w:firstLine="540"/>
        <w:jc w:val="both"/>
      </w:pPr>
      <w:r>
        <w:rPr>
          <w:sz w:val="20"/>
        </w:rPr>
        <w:t xml:space="preserve">2) планируемый общий объем инвестиций в размере:</w:t>
      </w:r>
    </w:p>
    <w:p>
      <w:pPr>
        <w:pStyle w:val="0"/>
        <w:spacing w:before="200" w:line-rule="auto"/>
        <w:ind w:firstLine="540"/>
        <w:jc w:val="both"/>
      </w:pPr>
      <w:r>
        <w:rPr>
          <w:sz w:val="20"/>
        </w:rPr>
        <w:t xml:space="preserve">не менее 50 млн рублей на строительство и (или) реконструкцию объектов капитального строительства, необходимых для последующего ведения видов деятельности в соответствии с </w:t>
      </w:r>
      <w:hyperlink w:history="0" r:id="rId38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разделами "A"</w:t>
        </w:r>
      </w:hyperlink>
      <w:r>
        <w:rPr>
          <w:sz w:val="20"/>
        </w:rPr>
        <w:t xml:space="preserve"> или </w:t>
      </w:r>
      <w:hyperlink w:history="0" r:id="rId39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"C"</w:t>
        </w:r>
      </w:hyperlink>
      <w:r>
        <w:rPr>
          <w:sz w:val="20"/>
        </w:rPr>
        <w:t xml:space="preserve"> ОКВЭД на территории одного из муниципальных образований;</w:t>
      </w:r>
    </w:p>
    <w:p>
      <w:pPr>
        <w:pStyle w:val="0"/>
        <w:spacing w:before="200" w:line-rule="auto"/>
        <w:ind w:firstLine="540"/>
        <w:jc w:val="both"/>
      </w:pPr>
      <w:r>
        <w:rPr>
          <w:sz w:val="20"/>
        </w:rPr>
        <w:t xml:space="preserve">не менее 20 млн рублей на строительство и (или) реконструкцию объектов капитального строительства, необходимых для последующего ведения видов деятельности в соответствии с </w:t>
      </w:r>
      <w:hyperlink w:history="0" r:id="rId39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разделом "H"</w:t>
        </w:r>
      </w:hyperlink>
      <w:r>
        <w:rPr>
          <w:sz w:val="20"/>
        </w:rPr>
        <w:t xml:space="preserve">, </w:t>
      </w:r>
      <w:hyperlink w:history="0" r:id="rId39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на территории одного из муниципальных образований;</w:t>
      </w:r>
    </w:p>
    <w:p>
      <w:pPr>
        <w:pStyle w:val="0"/>
        <w:spacing w:before="200" w:line-rule="auto"/>
        <w:ind w:firstLine="540"/>
        <w:jc w:val="both"/>
      </w:pPr>
      <w:r>
        <w:rPr>
          <w:sz w:val="20"/>
        </w:rPr>
        <w:t xml:space="preserve">3) балансовая стоимость планируемых к строительству и (или) реконструкции объектов капитального строительства:</w:t>
      </w:r>
    </w:p>
    <w:p>
      <w:pPr>
        <w:pStyle w:val="0"/>
        <w:spacing w:before="200" w:line-rule="auto"/>
        <w:ind w:firstLine="540"/>
        <w:jc w:val="both"/>
      </w:pPr>
      <w:r>
        <w:rPr>
          <w:sz w:val="20"/>
        </w:rPr>
        <w:t xml:space="preserve">необходимых для последующего ведения видов деятельности в соответствии с </w:t>
      </w:r>
      <w:hyperlink w:history="0" r:id="rId39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разделами "A"</w:t>
        </w:r>
      </w:hyperlink>
      <w:r>
        <w:rPr>
          <w:sz w:val="20"/>
        </w:rPr>
        <w:t xml:space="preserve"> и </w:t>
      </w:r>
      <w:hyperlink w:history="0" r:id="rId39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"C"</w:t>
        </w:r>
      </w:hyperlink>
      <w:r>
        <w:rPr>
          <w:sz w:val="20"/>
        </w:rPr>
        <w:t xml:space="preserve"> ОКВЭД на территории одного из муниципальных образований, должна составлять не менее 35 млн рублей;</w:t>
      </w:r>
    </w:p>
    <w:p>
      <w:pPr>
        <w:pStyle w:val="0"/>
        <w:spacing w:before="200" w:line-rule="auto"/>
        <w:ind w:firstLine="540"/>
        <w:jc w:val="both"/>
      </w:pPr>
      <w:r>
        <w:rPr>
          <w:sz w:val="20"/>
        </w:rPr>
        <w:t xml:space="preserve">необходимых для последующего ведения видов деятельности в соответствии с </w:t>
      </w:r>
      <w:hyperlink w:history="0" r:id="rId39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разделом "H"</w:t>
        </w:r>
      </w:hyperlink>
      <w:r>
        <w:rPr>
          <w:sz w:val="20"/>
        </w:rPr>
        <w:t xml:space="preserve">, </w:t>
      </w:r>
      <w:hyperlink w:history="0" r:id="rId39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 раздела "I"</w:t>
        </w:r>
      </w:hyperlink>
      <w:r>
        <w:rPr>
          <w:sz w:val="20"/>
        </w:rPr>
        <w:t xml:space="preserve"> ОКВЭД на территории одного из муниципальных образований, должна составлять не менее 15 млн рублей;</w:t>
      </w:r>
    </w:p>
    <w:p>
      <w:pPr>
        <w:pStyle w:val="0"/>
        <w:spacing w:before="200" w:line-rule="auto"/>
        <w:ind w:firstLine="540"/>
        <w:jc w:val="both"/>
      </w:pPr>
      <w:r>
        <w:rPr>
          <w:sz w:val="20"/>
        </w:rPr>
        <w:t xml:space="preserve">4) наличие целевого кредитного договора (или нескольких кредитных договоров) на цели строительства и (или) реконструкции объектов капитального строительства, необходимых для последующего ведения соответствующего вида деятельности в сферах, указанных в </w:t>
      </w:r>
      <w:hyperlink w:history="0" w:anchor="P5683" w:tooltip="5. Целью предоставления субсидии является возмещение затрат получателя субсидии, понесенных на уплату процентов по кредитам, полученным в российских кредитных организациях, на строительство и (или) реконструкцию объектов капитального строительства, необходимых для последующего ведения деятельности на территории муниципальных образований:">
        <w:r>
          <w:rPr>
            <w:sz w:val="20"/>
            <w:color w:val="0000ff"/>
          </w:rPr>
          <w:t xml:space="preserve">пункте 5</w:t>
        </w:r>
      </w:hyperlink>
      <w:r>
        <w:rPr>
          <w:sz w:val="20"/>
        </w:rPr>
        <w:t xml:space="preserve"> Порядка, заключенного не ранее 1 июня 2019 года с российской кредитной организацией (или несколькими кредитными организациями), входящей в перечень системно значимых кредитных организаций, утвержденный в соответствии с </w:t>
      </w:r>
      <w:hyperlink w:history="0" r:id="rId397"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абзацем седьмым статьи 57</w:t>
        </w:r>
      </w:hyperlink>
      <w:r>
        <w:rPr>
          <w:sz w:val="20"/>
        </w:rPr>
        <w:t xml:space="preserve"> Федерального закона от 10.07.2002 N 86-ФЗ "О Центральном банке Российской Федерации (Банке России)" (далее - Кредитный договор);</w:t>
      </w:r>
    </w:p>
    <w:p>
      <w:pPr>
        <w:pStyle w:val="0"/>
        <w:spacing w:before="200" w:line-rule="auto"/>
        <w:ind w:firstLine="540"/>
        <w:jc w:val="both"/>
      </w:pPr>
      <w:r>
        <w:rPr>
          <w:sz w:val="20"/>
        </w:rPr>
        <w:t xml:space="preserve">5) ведение основной деятельности в соответствии с </w:t>
      </w:r>
      <w:hyperlink w:history="0" r:id="rId39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разделами "A"</w:t>
        </w:r>
      </w:hyperlink>
      <w:r>
        <w:rPr>
          <w:sz w:val="20"/>
        </w:rPr>
        <w:t xml:space="preserve">, или </w:t>
      </w:r>
      <w:hyperlink w:history="0" r:id="rId39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"C"</w:t>
        </w:r>
      </w:hyperlink>
      <w:r>
        <w:rPr>
          <w:sz w:val="20"/>
        </w:rPr>
        <w:t xml:space="preserve">, или </w:t>
      </w:r>
      <w:hyperlink w:history="0" r:id="rId40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"H"</w:t>
        </w:r>
      </w:hyperlink>
      <w:r>
        <w:rPr>
          <w:sz w:val="20"/>
        </w:rPr>
        <w:t xml:space="preserve">, или </w:t>
      </w:r>
      <w:hyperlink w:history="0" r:id="rId40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подклассом 55.1</w:t>
        </w:r>
      </w:hyperlink>
      <w:r>
        <w:rPr>
          <w:sz w:val="20"/>
        </w:rPr>
        <w:t xml:space="preserve"> ОКВЭД, информация о котором содержится в ЕГРЮЛ или ЕГРИП;</w:t>
      </w:r>
    </w:p>
    <w:p>
      <w:pPr>
        <w:pStyle w:val="0"/>
        <w:spacing w:before="200" w:line-rule="auto"/>
        <w:ind w:firstLine="540"/>
        <w:jc w:val="both"/>
      </w:pPr>
      <w:r>
        <w:rPr>
          <w:sz w:val="20"/>
        </w:rPr>
        <w:t xml:space="preserve">6) количество создаваемых рабочих мест в результате строительства и (или) реконструкции объектов капитального строительства, необходимых для последующего ведения соответствующего вида деятельности, не менее 10 единиц;</w:t>
      </w:r>
    </w:p>
    <w:p>
      <w:pPr>
        <w:pStyle w:val="0"/>
        <w:spacing w:before="200" w:line-rule="auto"/>
        <w:ind w:firstLine="540"/>
        <w:jc w:val="both"/>
      </w:pPr>
      <w:r>
        <w:rPr>
          <w:sz w:val="20"/>
        </w:rPr>
        <w:t xml:space="preserve">7) наличие разрешения на строительство и (или) реконструкцию объекта капитального строительства, полученного не ранее 2020 года;</w:t>
      </w:r>
    </w:p>
    <w:p>
      <w:pPr>
        <w:pStyle w:val="0"/>
        <w:spacing w:before="200" w:line-rule="auto"/>
        <w:ind w:firstLine="540"/>
        <w:jc w:val="both"/>
      </w:pPr>
      <w:r>
        <w:rPr>
          <w:sz w:val="20"/>
        </w:rPr>
        <w:t xml:space="preserve">8) ввод в эксплуатацию объекта (объектов) капитального строительства в период не ранее 2020 года и не позднее 3 лет со дня заключения Соглашения о предоставлении субсидии.</w:t>
      </w:r>
    </w:p>
    <w:p>
      <w:pPr>
        <w:pStyle w:val="0"/>
        <w:spacing w:before="200" w:line-rule="auto"/>
        <w:ind w:firstLine="540"/>
        <w:jc w:val="both"/>
      </w:pPr>
      <w:r>
        <w:rPr>
          <w:sz w:val="20"/>
        </w:rPr>
        <w:t xml:space="preserve">10. В целях проведения отбора Мининвестом Московской области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(или уполномоченного им лица), размещается на едином портале не позднее 5-го календарного дня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w:t>
      </w:r>
    </w:p>
    <w:p>
      <w:pPr>
        <w:pStyle w:val="0"/>
        <w:spacing w:before="200" w:line-rule="auto"/>
        <w:ind w:firstLine="540"/>
        <w:jc w:val="both"/>
      </w:pPr>
      <w:r>
        <w:rPr>
          <w:sz w:val="20"/>
        </w:rPr>
        <w:t xml:space="preserve">4) результат предоставления субсидии, характеристика результата предоставления субсидии;</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bookmarkStart w:id="5729" w:name="P5729"/>
    <w:bookmarkEnd w:id="5729"/>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которые не могут быть позднее 1 рабочего дня, следующего за днем его подписания;</w:t>
      </w:r>
    </w:p>
    <w:p>
      <w:pPr>
        <w:pStyle w:val="0"/>
        <w:spacing w:before="200" w:line-rule="auto"/>
        <w:ind w:firstLine="540"/>
        <w:jc w:val="both"/>
      </w:pPr>
      <w:r>
        <w:rPr>
          <w:sz w:val="20"/>
        </w:rPr>
        <w:t xml:space="preserve">18) порядок открытия доступа и взаимодействия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bookmarkStart w:id="5735" w:name="P5735"/>
    <w:bookmarkEnd w:id="5735"/>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40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403"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404"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участник отбора соответствует категории и критериям отбора, установленным </w:t>
      </w:r>
      <w:hyperlink w:history="0" w:anchor="P5695" w:tooltip="9. Категория отбора - претенденты, осуществляющие деятельность в сферах промышленного производства, сельского хозяйства, гостиничных услуг, транспортировки и хранения на территории Московской области и состоящие на учете в налоговых органах по Московской области, или обособленные подразделения претендентов, осуществляющих деятельность в сферах промышленного производства, сельского хозяйства, гостиничных услуг, транспортировки и хранения на территории Московской области посредством указанных обособленных ...">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участником отбора представлена заявка на возмещение затрат, которые не были возмещены за счет средств бюджета Московской области.</w:t>
      </w:r>
    </w:p>
    <w:p>
      <w:pPr>
        <w:pStyle w:val="0"/>
        <w:spacing w:before="200" w:line-rule="auto"/>
        <w:ind w:firstLine="540"/>
        <w:jc w:val="both"/>
      </w:pPr>
      <w:r>
        <w:rPr>
          <w:sz w:val="20"/>
        </w:rPr>
        <w:t xml:space="preserve">12. Представление в Мининвест Московской области документов, подтверждающих соответствие участников отбора требованиям, установленным Порядком, а также документов, подтверждающих фактически произведенные затраты, на возмещение которых предоставляется субсидия,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Мининвест Московской области документы, подтверждающие соответствие участника отбора требованиям, установленным Порядком, а также документы, подтверждающие фактически произведенные затраты, на возмещение которых предоставляется субсидия, в соответствии с </w:t>
      </w:r>
      <w:hyperlink w:history="0" w:anchor="P5905" w:tooltip="ПЕРЕЧЕНЬ">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Электронные копии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bookmarkStart w:id="5750" w:name="P5750"/>
    <w:bookmarkEnd w:id="5750"/>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документ, подтверждающий полномочия лица, подписавшего заявку;</w:t>
      </w:r>
    </w:p>
    <w:p>
      <w:pPr>
        <w:pStyle w:val="0"/>
        <w:spacing w:before="200" w:line-rule="auto"/>
        <w:ind w:firstLine="540"/>
        <w:jc w:val="both"/>
      </w:pPr>
      <w:r>
        <w:rPr>
          <w:sz w:val="20"/>
        </w:rPr>
        <w:t xml:space="preserve">документ, подтверждающий полномочия главного бухгалтера;</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 юридического лица или уполномоченного им лица, участника отбора - индивидуального предпринимателя или уполномоченного им лица;</w:t>
      </w:r>
    </w:p>
    <w:p>
      <w:pPr>
        <w:pStyle w:val="0"/>
        <w:spacing w:before="200" w:line-rule="auto"/>
        <w:ind w:firstLine="540"/>
        <w:jc w:val="both"/>
      </w:pPr>
      <w:r>
        <w:rPr>
          <w:sz w:val="20"/>
        </w:rPr>
        <w:t xml:space="preserve">4)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5750"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15. Доступ Мининвесту Московской области к поданным участниками отбора заявкам в системе "Электронный бюджет" для их рассмотрения открывается не позднее 1-го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16. Взаимодействие Мининвеста Московской области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17. Протокол вскрытия заявок автоматически формируется на едином портале и подписывается не позднее 1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bookmarkStart w:id="5772" w:name="P5772"/>
    <w:bookmarkEnd w:id="5772"/>
    <w:p>
      <w:pPr>
        <w:pStyle w:val="0"/>
        <w:spacing w:before="200" w:line-rule="auto"/>
        <w:ind w:firstLine="540"/>
        <w:jc w:val="both"/>
      </w:pPr>
      <w:r>
        <w:rPr>
          <w:sz w:val="20"/>
        </w:rPr>
        <w:t xml:space="preserve">18. Мининвест Московской области в течение срока, не превышающего 20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Мининвестом Московской области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21. При проведении отбора предусмотрен возврат заявок участникам отбора на доработку по решению Мининвеста Московской области. 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"Электронный бюджет" в течение одного рабочего дня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участниками отбора. 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1-го рабочего дня, но не позднее даты окончания срока рассмотрения заявок.</w:t>
      </w:r>
    </w:p>
    <w:p>
      <w:pPr>
        <w:pStyle w:val="0"/>
        <w:spacing w:before="200" w:line-rule="auto"/>
        <w:ind w:firstLine="540"/>
        <w:jc w:val="both"/>
      </w:pPr>
      <w:r>
        <w:rPr>
          <w:sz w:val="20"/>
        </w:rPr>
        <w:t xml:space="preserve">22. Проверка участника отбора на соответствие требованиям, определенным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Мининвест Московской области в пределах срока рассмотрения заявок, установленного </w:t>
      </w:r>
      <w:hyperlink w:history="0" w:anchor="P5772" w:tooltip="18. Мининвест Московской области в течение срока, не превышающего 20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или) критериям отбора и принимает в отношении участников отбора одно из следующих решений:">
        <w:r>
          <w:rPr>
            <w:sz w:val="20"/>
            <w:color w:val="0000ff"/>
          </w:rPr>
          <w:t xml:space="preserve">пунктом 18</w:t>
        </w:r>
      </w:hyperlink>
      <w:r>
        <w:rPr>
          <w:sz w:val="20"/>
        </w:rPr>
        <w:t xml:space="preserve"> Порядка, запрашивает сведения в государственных информационных системах, в том числе с использованием единой системы межведомственного электронного взаимодействия, включая направление межведомственного запроса в Федеральную налоговую службу.</w:t>
      </w:r>
    </w:p>
    <w:bookmarkStart w:id="5789" w:name="P5789"/>
    <w:bookmarkEnd w:id="5789"/>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5790" w:name="P5790"/>
    <w:bookmarkEnd w:id="5790"/>
    <w:p>
      <w:pPr>
        <w:pStyle w:val="0"/>
        <w:spacing w:before="200" w:line-rule="auto"/>
        <w:ind w:firstLine="540"/>
        <w:jc w:val="both"/>
      </w:pPr>
      <w:r>
        <w:rPr>
          <w:sz w:val="20"/>
        </w:rPr>
        <w:t xml:space="preserve">В запросе, указанном в </w:t>
      </w:r>
      <w:hyperlink w:history="0" w:anchor="P5789"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w:t>
      </w:r>
      <w:hyperlink w:history="0" w:anchor="P5789"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нвестом Московской области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абзацем четвертым</w:t>
        </w:r>
      </w:hyperlink>
      <w:r>
        <w:rPr>
          <w:sz w:val="20"/>
        </w:rPr>
        <w:t xml:space="preserve"> настоящего пункта, в сроки, установленные соответствующим запросом с учетом положений </w:t>
      </w:r>
      <w:hyperlink w:history="0" w:anchor="P5790"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p>
      <w:pPr>
        <w:pStyle w:val="0"/>
        <w:spacing w:before="200" w:line-rule="auto"/>
        <w:ind w:firstLine="540"/>
        <w:jc w:val="both"/>
      </w:pPr>
      <w:r>
        <w:rPr>
          <w:sz w:val="20"/>
        </w:rPr>
        <w:t xml:space="preserve">23. Мининвест Московской области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Мининвесту Московской области по собственной инициативе.</w:t>
      </w:r>
    </w:p>
    <w:p>
      <w:pPr>
        <w:pStyle w:val="0"/>
        <w:spacing w:before="200" w:line-rule="auto"/>
        <w:ind w:firstLine="540"/>
        <w:jc w:val="both"/>
      </w:pPr>
      <w:r>
        <w:rPr>
          <w:sz w:val="20"/>
        </w:rPr>
        <w:t xml:space="preserve">24.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25.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Днем принятия решения о предоставлении субсидии является дата подписания протокола подведения итогов отбора руководителем Мининвеста Московской области (уполномоченным им лицом).</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Мининвестом Московской области по результатам ранжирования поступивших заявок и в пределах объема распределяемой субсидии, указанного в объявлении о проведении отбора в соответствии с </w:t>
      </w:r>
      <w:hyperlink w:history="0" w:anchor="P5729" w:tooltip="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в том числе максимальный размер субсидии, предоставляемой победителю отбора;">
        <w:r>
          <w:rPr>
            <w:sz w:val="20"/>
            <w:color w:val="0000ff"/>
          </w:rPr>
          <w:t xml:space="preserve">подпунктом 13 пункта 10</w:t>
        </w:r>
      </w:hyperlink>
      <w:r>
        <w:rPr>
          <w:sz w:val="20"/>
        </w:rPr>
        <w:t xml:space="preserve"> Порядка.</w:t>
      </w:r>
    </w:p>
    <w:p>
      <w:pPr>
        <w:pStyle w:val="0"/>
        <w:spacing w:before="200" w:line-rule="auto"/>
        <w:ind w:firstLine="540"/>
        <w:jc w:val="both"/>
      </w:pPr>
      <w:r>
        <w:rPr>
          <w:sz w:val="20"/>
        </w:rPr>
        <w:t xml:space="preserve">26. Отбор признается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3) если по результатам рассмотрения заявок принято решение об отказе всем участникам отбора.</w:t>
      </w:r>
    </w:p>
    <w:p>
      <w:pPr>
        <w:pStyle w:val="0"/>
        <w:spacing w:before="200" w:line-rule="auto"/>
        <w:ind w:firstLine="540"/>
        <w:jc w:val="both"/>
      </w:pPr>
      <w:r>
        <w:rPr>
          <w:sz w:val="20"/>
        </w:rPr>
        <w:t xml:space="preserve">Решение Мининвеста Московской области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настоящем пункте, Мининвест Московской области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27.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5813" w:name="P5813"/>
    <w:bookmarkEnd w:id="5813"/>
    <w:p>
      <w:pPr>
        <w:pStyle w:val="0"/>
        <w:spacing w:before="200" w:line-rule="auto"/>
        <w:ind w:firstLine="540"/>
        <w:jc w:val="both"/>
      </w:pPr>
      <w:r>
        <w:rPr>
          <w:sz w:val="20"/>
        </w:rPr>
        <w:t xml:space="preserve">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Мининвест Московской области в ответ на запрос, указанный в </w:t>
      </w:r>
      <w:hyperlink w:history="0" w:anchor="P5813" w:tooltip="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нвесту Московской области запросы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29. Направления затрат, на возмещение которых предоставляется субсидия:</w:t>
      </w:r>
    </w:p>
    <w:p>
      <w:pPr>
        <w:pStyle w:val="0"/>
        <w:spacing w:before="200" w:line-rule="auto"/>
        <w:ind w:firstLine="540"/>
        <w:jc w:val="both"/>
      </w:pPr>
      <w:r>
        <w:rPr>
          <w:sz w:val="20"/>
        </w:rPr>
        <w:t xml:space="preserve">затраты на уплату процентов по Кредитному договору на строительство и (или) реконструкцию объектов капитального строительства для последующего ведения деятельности на территории муниципальных образований Московской области:</w:t>
      </w:r>
    </w:p>
    <w:p>
      <w:pPr>
        <w:pStyle w:val="0"/>
        <w:spacing w:before="200" w:line-rule="auto"/>
        <w:ind w:firstLine="540"/>
        <w:jc w:val="both"/>
      </w:pPr>
      <w:r>
        <w:rPr>
          <w:sz w:val="20"/>
        </w:rPr>
        <w:t xml:space="preserve">в сфере промышленности в связи с производством (реализацией) товаров, выполнением работ, оказанием услуг в сфере промышленного производства;</w:t>
      </w:r>
    </w:p>
    <w:p>
      <w:pPr>
        <w:pStyle w:val="0"/>
        <w:spacing w:before="200" w:line-rule="auto"/>
        <w:ind w:firstLine="540"/>
        <w:jc w:val="both"/>
      </w:pPr>
      <w:r>
        <w:rPr>
          <w:sz w:val="20"/>
        </w:rPr>
        <w:t xml:space="preserve">в сфере сельского хозяйства в связи с производством (реализацией) продукции сельского хозяйства;</w:t>
      </w:r>
    </w:p>
    <w:p>
      <w:pPr>
        <w:pStyle w:val="0"/>
        <w:spacing w:before="200" w:line-rule="auto"/>
        <w:ind w:firstLine="540"/>
        <w:jc w:val="both"/>
      </w:pPr>
      <w:r>
        <w:rPr>
          <w:sz w:val="20"/>
        </w:rPr>
        <w:t xml:space="preserve">в сфере оказания гостиничных услуг;</w:t>
      </w:r>
    </w:p>
    <w:p>
      <w:pPr>
        <w:pStyle w:val="0"/>
        <w:spacing w:before="200" w:line-rule="auto"/>
        <w:ind w:firstLine="540"/>
        <w:jc w:val="both"/>
      </w:pPr>
      <w:r>
        <w:rPr>
          <w:sz w:val="20"/>
        </w:rPr>
        <w:t xml:space="preserve">в сфере транспортировки и хранения.</w:t>
      </w:r>
    </w:p>
    <w:p>
      <w:pPr>
        <w:pStyle w:val="0"/>
        <w:spacing w:before="200" w:line-rule="auto"/>
        <w:ind w:firstLine="540"/>
        <w:jc w:val="both"/>
      </w:pPr>
      <w:r>
        <w:rPr>
          <w:sz w:val="20"/>
        </w:rPr>
        <w:t xml:space="preserve">30. Размер субсидии определяется по следующей формуле:</w:t>
      </w:r>
    </w:p>
    <w:p>
      <w:pPr>
        <w:pStyle w:val="0"/>
        <w:jc w:val="both"/>
      </w:pPr>
      <w:r>
        <w:rPr>
          <w:sz w:val="20"/>
        </w:rPr>
      </w:r>
    </w:p>
    <w:p>
      <w:pPr>
        <w:pStyle w:val="0"/>
        <w:ind w:firstLine="540"/>
        <w:jc w:val="both"/>
      </w:pPr>
      <w:r>
        <w:rPr>
          <w:sz w:val="20"/>
        </w:rPr>
        <w:t xml:space="preserve">Суб = КСцб x Фпр / Эпс,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Суб - размер субсидии;</w:t>
      </w:r>
    </w:p>
    <w:p>
      <w:pPr>
        <w:pStyle w:val="0"/>
        <w:spacing w:before="200" w:line-rule="auto"/>
        <w:ind w:firstLine="540"/>
        <w:jc w:val="both"/>
      </w:pPr>
      <w:r>
        <w:rPr>
          <w:sz w:val="20"/>
        </w:rPr>
        <w:t xml:space="preserve">КСцб - ключевая ставка, установленная Центральным банком Российской Федерации на дату заключения Кредитного договора;</w:t>
      </w:r>
    </w:p>
    <w:p>
      <w:pPr>
        <w:pStyle w:val="0"/>
        <w:spacing w:before="200" w:line-rule="auto"/>
        <w:ind w:firstLine="540"/>
        <w:jc w:val="both"/>
      </w:pPr>
      <w:r>
        <w:rPr>
          <w:sz w:val="20"/>
        </w:rPr>
        <w:t xml:space="preserve">Фпр - объем фактически произведенных за период затрат на уплату процентов по Кредитному договору на дату подачи заявки;</w:t>
      </w:r>
    </w:p>
    <w:p>
      <w:pPr>
        <w:pStyle w:val="0"/>
        <w:spacing w:before="200" w:line-rule="auto"/>
        <w:ind w:firstLine="540"/>
        <w:jc w:val="both"/>
      </w:pPr>
      <w:r>
        <w:rPr>
          <w:sz w:val="20"/>
        </w:rPr>
        <w:t xml:space="preserve">Эпс - процентная ставка по Кредитному договору.</w:t>
      </w:r>
    </w:p>
    <w:p>
      <w:pPr>
        <w:pStyle w:val="0"/>
        <w:jc w:val="both"/>
      </w:pPr>
      <w:r>
        <w:rPr>
          <w:sz w:val="20"/>
        </w:rPr>
      </w:r>
    </w:p>
    <w:p>
      <w:pPr>
        <w:pStyle w:val="0"/>
        <w:ind w:firstLine="540"/>
        <w:jc w:val="both"/>
      </w:pPr>
      <w:r>
        <w:rPr>
          <w:sz w:val="20"/>
        </w:rPr>
        <w:t xml:space="preserve">В случае если величина Эпс ниже КСцб, то размер субсидии определяется по следующей формуле:</w:t>
      </w:r>
    </w:p>
    <w:p>
      <w:pPr>
        <w:pStyle w:val="0"/>
        <w:jc w:val="both"/>
      </w:pPr>
      <w:r>
        <w:rPr>
          <w:sz w:val="20"/>
        </w:rPr>
      </w:r>
    </w:p>
    <w:p>
      <w:pPr>
        <w:pStyle w:val="0"/>
        <w:ind w:firstLine="540"/>
        <w:jc w:val="both"/>
      </w:pPr>
      <w:r>
        <w:rPr>
          <w:sz w:val="20"/>
        </w:rPr>
        <w:t xml:space="preserve">Суб = Фпр.</w:t>
      </w:r>
    </w:p>
    <w:p>
      <w:pPr>
        <w:pStyle w:val="0"/>
        <w:jc w:val="both"/>
      </w:pPr>
      <w:r>
        <w:rPr>
          <w:sz w:val="20"/>
        </w:rPr>
      </w:r>
    </w:p>
    <w:p>
      <w:pPr>
        <w:pStyle w:val="0"/>
        <w:ind w:firstLine="540"/>
        <w:jc w:val="both"/>
      </w:pPr>
      <w:r>
        <w:rPr>
          <w:sz w:val="20"/>
        </w:rPr>
        <w:t xml:space="preserve">Размер предоставляемых субсидий не должен превышать размер документально обоснованных затрат, в том числе при наличии одного или более Кредитных договоров, произведенных участником отбора за период.</w:t>
      </w:r>
    </w:p>
    <w:p>
      <w:pPr>
        <w:pStyle w:val="0"/>
        <w:spacing w:before="200" w:line-rule="auto"/>
        <w:ind w:firstLine="540"/>
        <w:jc w:val="both"/>
      </w:pPr>
      <w:r>
        <w:rPr>
          <w:sz w:val="20"/>
        </w:rPr>
        <w:t xml:space="preserve">Размер субсидии не может превышать 100 млн рублей и 20 процентов от общего объема инвестиций на строительство и (или) реконструкцию объектов капитального строительства, необходимых для последующего ведения соответствующего вида деятельности (в случае строительства и (или) реконструкции объектов капитального строительства, необходимых для последующего ведения видов экономической (предпринимательской) деятельности, не предусмотренных </w:t>
      </w:r>
      <w:hyperlink w:history="0" r:id="rId405"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Законом</w:t>
        </w:r>
      </w:hyperlink>
      <w:r>
        <w:rPr>
          <w:sz w:val="20"/>
        </w:rPr>
        <w:t xml:space="preserve"> N 32/2022-ОЗ в соответствии с </w:t>
      </w:r>
      <w:hyperlink w:history="0" r:id="rId40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разделами "A"</w:t>
        </w:r>
      </w:hyperlink>
      <w:r>
        <w:rPr>
          <w:sz w:val="20"/>
        </w:rPr>
        <w:t xml:space="preserve"> и </w:t>
      </w:r>
      <w:hyperlink w:history="0" r:id="rId40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"C"</w:t>
        </w:r>
      </w:hyperlink>
      <w:r>
        <w:rPr>
          <w:sz w:val="20"/>
        </w:rPr>
        <w:t xml:space="preserve"> ОКВЭД).</w:t>
      </w:r>
    </w:p>
    <w:p>
      <w:pPr>
        <w:pStyle w:val="0"/>
        <w:spacing w:before="200" w:line-rule="auto"/>
        <w:ind w:firstLine="540"/>
        <w:jc w:val="both"/>
      </w:pPr>
      <w:r>
        <w:rPr>
          <w:sz w:val="20"/>
        </w:rPr>
        <w:t xml:space="preserve">В случае строительства и (или) реконструкции объектов капитального строительства, необходимых для последующего ведения видов экономической (предпринимательской) деятельности, предусмотренных </w:t>
      </w:r>
      <w:hyperlink w:history="0" r:id="rId408"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Законом</w:t>
        </w:r>
      </w:hyperlink>
      <w:r>
        <w:rPr>
          <w:sz w:val="20"/>
        </w:rPr>
        <w:t xml:space="preserve"> N 32/2022-ОЗ в соответствии с </w:t>
      </w:r>
      <w:hyperlink w:history="0" r:id="rId40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разделами "A"</w:t>
        </w:r>
      </w:hyperlink>
      <w:r>
        <w:rPr>
          <w:sz w:val="20"/>
        </w:rPr>
        <w:t xml:space="preserve"> и </w:t>
      </w:r>
      <w:hyperlink w:history="0" r:id="rId41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"C"</w:t>
        </w:r>
      </w:hyperlink>
      <w:r>
        <w:rPr>
          <w:sz w:val="20"/>
        </w:rPr>
        <w:t xml:space="preserve"> ОКВЭД, размер субсидии не может превышать 125 млн рублей и 25 процентов от общего объема инвестиций на строительство и (или) реконструкцию объектов капитального строительства, необходимых для последующего ведения соответствующего вида экономической (предпринимательской) деятельности.</w:t>
      </w:r>
    </w:p>
    <w:p>
      <w:pPr>
        <w:pStyle w:val="0"/>
        <w:spacing w:before="200" w:line-rule="auto"/>
        <w:ind w:firstLine="540"/>
        <w:jc w:val="both"/>
      </w:pPr>
      <w:r>
        <w:rPr>
          <w:sz w:val="20"/>
        </w:rPr>
        <w:t xml:space="preserve">Общий объем инвестиций на строительство и (или) реконструкцию объектов капитального строительства, необходимых для последующего ведения соответствующего вида экономической (предпринимательской) деятельности на территории муниципальных образований, включает:</w:t>
      </w:r>
    </w:p>
    <w:p>
      <w:pPr>
        <w:pStyle w:val="0"/>
        <w:spacing w:before="200" w:line-rule="auto"/>
        <w:ind w:firstLine="540"/>
        <w:jc w:val="both"/>
      </w:pPr>
      <w:r>
        <w:rPr>
          <w:sz w:val="20"/>
        </w:rPr>
        <w:t xml:space="preserve">затраты на инженерные изыскания и проектную документацию (включая разработку проектной документации, экспертизу проектной документации, авторский надзор за строительством) объектов капитального строительства;</w:t>
      </w:r>
    </w:p>
    <w:p>
      <w:pPr>
        <w:pStyle w:val="0"/>
        <w:spacing w:before="200" w:line-rule="auto"/>
        <w:ind w:firstLine="540"/>
        <w:jc w:val="both"/>
      </w:pPr>
      <w:r>
        <w:rPr>
          <w:sz w:val="20"/>
        </w:rPr>
        <w:t xml:space="preserve">затраты на строительство и (или) реконструкцию объектов капитального строительства;</w:t>
      </w:r>
    </w:p>
    <w:p>
      <w:pPr>
        <w:pStyle w:val="0"/>
        <w:spacing w:before="200" w:line-rule="auto"/>
        <w:ind w:firstLine="540"/>
        <w:jc w:val="both"/>
      </w:pPr>
      <w:r>
        <w:rPr>
          <w:sz w:val="20"/>
        </w:rPr>
        <w:t xml:space="preserve">затраты на закупку оборудования, необходимого для последующего ведения деятельности после окончания строительства и (или) реконструкции объектов капитального строительства.</w:t>
      </w:r>
    </w:p>
    <w:p>
      <w:pPr>
        <w:pStyle w:val="0"/>
        <w:spacing w:before="200" w:line-rule="auto"/>
        <w:ind w:firstLine="540"/>
        <w:jc w:val="both"/>
      </w:pPr>
      <w:r>
        <w:rPr>
          <w:sz w:val="20"/>
        </w:rPr>
        <w:t xml:space="preserve">Превышение потребностей участников отбора, соответствующих категории и критериям отбора и требованиям, установленным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w:t>
      </w:r>
      <w:hyperlink w:history="0" w:anchor="P2305" w:tooltip="Мероприятие 08.01. Возмещение части затрат юридических лиц и индивидуальных предпринимателей на уплату процентов по кредитам, полученным в российских кредитных организациях, необходимым для последующего ведения деятельности на территории муниципальных образований Московской области">
        <w:r>
          <w:rPr>
            <w:sz w:val="20"/>
            <w:color w:val="0000ff"/>
          </w:rPr>
          <w:t xml:space="preserve">мероприятия 08.01</w:t>
        </w:r>
      </w:hyperlink>
      <w:r>
        <w:rPr>
          <w:sz w:val="20"/>
        </w:rPr>
        <w:t xml:space="preserve">, является основанием для принятия решения Мининвестом Московской области о пропорциональном снижении установленного уровня возмещаемых затрат.</w:t>
      </w:r>
    </w:p>
    <w:p>
      <w:pPr>
        <w:pStyle w:val="0"/>
        <w:spacing w:before="200" w:line-rule="auto"/>
        <w:ind w:firstLine="540"/>
        <w:jc w:val="both"/>
      </w:pPr>
      <w:r>
        <w:rPr>
          <w:sz w:val="20"/>
        </w:rPr>
        <w:t xml:space="preserve">Распределение субсидий осуществляется в пределах средств бюджета Московской области, доведенных до Мининвеста Московской области, на цели, предусмотренные Порядком, в порядке очередности поступивших, рассмотренных и не отклоненных Мининвестом Московской области заявок.</w:t>
      </w:r>
    </w:p>
    <w:p>
      <w:pPr>
        <w:pStyle w:val="0"/>
        <w:spacing w:before="200" w:line-rule="auto"/>
        <w:ind w:firstLine="540"/>
        <w:jc w:val="both"/>
      </w:pPr>
      <w:r>
        <w:rPr>
          <w:sz w:val="20"/>
        </w:rPr>
        <w:t xml:space="preserve">Субсидия предоставляется при условии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Российской Федерации и Московской области в соответствии со </w:t>
      </w:r>
      <w:hyperlink w:history="0" r:id="rId4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31. По результатам отбора с победителем отбора заключается Соглашение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Соглашение заключается с победителем отбора в течение 10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субсидии) требованиям, установленным </w:t>
      </w:r>
      <w:hyperlink w:history="0" w:anchor="P5735"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32. Мининвест Московской области не позднее 1-го рабочего дня, следующего за днем принятия решения о предоставлении субсидии, формирует Соглашение в форме электронного документа в системе ГИС "РЭБ".</w:t>
      </w:r>
    </w:p>
    <w:bookmarkStart w:id="5856" w:name="P5856"/>
    <w:bookmarkEnd w:id="5856"/>
    <w:p>
      <w:pPr>
        <w:pStyle w:val="0"/>
        <w:spacing w:before="200" w:line-rule="auto"/>
        <w:ind w:firstLine="540"/>
        <w:jc w:val="both"/>
      </w:pPr>
      <w:r>
        <w:rPr>
          <w:sz w:val="20"/>
        </w:rPr>
        <w:t xml:space="preserve">Получатели субсидий не позднее 2-х рабочих дней, следующих за днем формирования Соглашения в системе ГИС "РЭБ", подписывают Соглашения в системе ГИС "РЭБ"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получателем субсидии Соглашения в системе ГИС "РЭБ" в срок, установленный </w:t>
      </w:r>
      <w:hyperlink w:history="0" w:anchor="P5856"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ГИС "РЭБ" в срок, установленный </w:t>
      </w:r>
      <w:hyperlink w:history="0" w:anchor="P5856"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5 рабочих дней, следующих за днем формирования Соглашения в системе ГИС "РЭБ".</w:t>
      </w:r>
    </w:p>
    <w:p>
      <w:pPr>
        <w:pStyle w:val="0"/>
        <w:spacing w:before="200" w:line-rule="auto"/>
        <w:ind w:firstLine="540"/>
        <w:jc w:val="both"/>
      </w:pPr>
      <w:r>
        <w:rPr>
          <w:sz w:val="20"/>
        </w:rPr>
        <w:t xml:space="preserve">33.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него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w:t>
      </w:r>
      <w:hyperlink w:history="0" r:id="rId41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Основания для отказа получателю субсидии в предоставлении субсидии:</w:t>
      </w:r>
    </w:p>
    <w:p>
      <w:pPr>
        <w:pStyle w:val="0"/>
        <w:spacing w:before="200" w:line-rule="auto"/>
        <w:ind w:firstLine="540"/>
        <w:jc w:val="both"/>
      </w:pPr>
      <w:r>
        <w:rPr>
          <w:sz w:val="20"/>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признание получателя субсидии уклонившимся от заключения Соглашения.</w:t>
      </w:r>
    </w:p>
    <w:p>
      <w:pPr>
        <w:pStyle w:val="0"/>
        <w:spacing w:before="200" w:line-rule="auto"/>
        <w:ind w:firstLine="540"/>
        <w:jc w:val="both"/>
      </w:pPr>
      <w:r>
        <w:rPr>
          <w:sz w:val="20"/>
        </w:rPr>
        <w:t xml:space="preserve">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41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36. Результатом предоставления субсидии является строительство и (или) реконструкция объектов капитального строительства, необходимых для последующего ведения соответствующего вида деятельности на территории муниципальных образований.</w:t>
      </w:r>
    </w:p>
    <w:p>
      <w:pPr>
        <w:pStyle w:val="0"/>
        <w:spacing w:before="200" w:line-rule="auto"/>
        <w:ind w:firstLine="540"/>
        <w:jc w:val="both"/>
      </w:pPr>
      <w:r>
        <w:rPr>
          <w:sz w:val="20"/>
        </w:rPr>
        <w:t xml:space="preserve">Характеристиками результата предоставления субсидии являются:</w:t>
      </w:r>
    </w:p>
    <w:p>
      <w:pPr>
        <w:pStyle w:val="0"/>
        <w:spacing w:before="200" w:line-rule="auto"/>
        <w:ind w:firstLine="540"/>
        <w:jc w:val="both"/>
      </w:pPr>
      <w:r>
        <w:rPr>
          <w:sz w:val="20"/>
        </w:rPr>
        <w:t xml:space="preserve">общий объем инвестиций на строительство и (или) реконструкцию объектов капитального строительства в целях ведения соответствующего вида деятельности на территории одного из муниципальных образований;</w:t>
      </w:r>
    </w:p>
    <w:p>
      <w:pPr>
        <w:pStyle w:val="0"/>
        <w:spacing w:before="200" w:line-rule="auto"/>
        <w:ind w:firstLine="540"/>
        <w:jc w:val="both"/>
      </w:pPr>
      <w:r>
        <w:rPr>
          <w:sz w:val="20"/>
        </w:rPr>
        <w:t xml:space="preserve">количество новых созданных рабочих мест в результате строительства и (или) реконструкции объектов капитального строительства в целях ведения соответствующего вида деятельности на территории муниципальных образований.</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37. Перечисление субсидии осуществляется не позднее 10-го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w:t>
      </w:r>
    </w:p>
    <w:p>
      <w:pPr>
        <w:pStyle w:val="0"/>
        <w:spacing w:before="200" w:line-rule="auto"/>
        <w:ind w:firstLine="540"/>
        <w:jc w:val="both"/>
      </w:pPr>
      <w:r>
        <w:rPr>
          <w:sz w:val="20"/>
        </w:rPr>
        <w:t xml:space="preserve">38. Субсидия подлежит перечислению на расчетный счет, открытый получателю субсидии в кредитной организации, указанный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bookmarkStart w:id="5879" w:name="P5879"/>
    <w:bookmarkEnd w:id="5879"/>
    <w:p>
      <w:pPr>
        <w:pStyle w:val="0"/>
        <w:ind w:firstLine="540"/>
        <w:jc w:val="both"/>
      </w:pPr>
      <w:r>
        <w:rPr>
          <w:sz w:val="20"/>
        </w:rPr>
        <w:t xml:space="preserve">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Последним отчетным кварталом является квартал, следующий за кварталом, в котором достигнут результат предоставления субсидии.</w:t>
      </w:r>
    </w:p>
    <w:p>
      <w:pPr>
        <w:pStyle w:val="0"/>
        <w:spacing w:before="200" w:line-rule="auto"/>
        <w:ind w:firstLine="540"/>
        <w:jc w:val="both"/>
      </w:pPr>
      <w:r>
        <w:rPr>
          <w:sz w:val="20"/>
        </w:rPr>
        <w:t xml:space="preserve">К отчету за квартал, в котором достигнут результат предоставления субсидии, получателем субсидии прилагается разрешение на ввод в эксплуатацию объекта капитального строительства.</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40. Проверка и принятие отчетности, представляемой в соответствии с </w:t>
      </w:r>
      <w:hyperlink w:history="0" w:anchor="P5879" w:tooltip="39. Отчеты о достижении значений результата предоставления субсидии, а также характеристик результата предоставления субсидии представляются получателем субсидии в Мининвест Московской области ежеквартально до 20 числа месяца, следующего за отчетным кварталом.">
        <w:r>
          <w:rPr>
            <w:sz w:val="20"/>
            <w:color w:val="0000ff"/>
          </w:rPr>
          <w:t xml:space="preserve">пунктом 39</w:t>
        </w:r>
      </w:hyperlink>
      <w:r>
        <w:rPr>
          <w:sz w:val="20"/>
        </w:rPr>
        <w:t xml:space="preserve"> Порядка, осуществляется Мининвестом Московской области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5892" w:tooltip="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41</w:t>
        </w:r>
      </w:hyperlink>
      <w:r>
        <w:rPr>
          <w:sz w:val="20"/>
        </w:rPr>
        <w:t xml:space="preserve"> Порядка.</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5892" w:name="P5892"/>
    <w:bookmarkEnd w:id="5892"/>
    <w:p>
      <w:pPr>
        <w:pStyle w:val="0"/>
        <w:ind w:firstLine="540"/>
        <w:jc w:val="both"/>
      </w:pPr>
      <w:r>
        <w:rPr>
          <w:sz w:val="20"/>
        </w:rPr>
        <w:t xml:space="preserve">41.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4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43. В случае недостижения значений результата предоставления субсидии получатель субсидии обеспечивает возврат средств субсидии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в полном объеме.</w:t>
      </w:r>
    </w:p>
    <w:p>
      <w:pPr>
        <w:pStyle w:val="0"/>
        <w:spacing w:before="200" w:line-rule="auto"/>
        <w:ind w:firstLine="540"/>
        <w:jc w:val="both"/>
      </w:pPr>
      <w:r>
        <w:rPr>
          <w:sz w:val="20"/>
        </w:rPr>
        <w:t xml:space="preserve">44. В случае неисполнения получателем субсидии требования о возврате средств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45.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расторжения Соглашения с получателем субсидии Мининвест Московской области принимает решение о проведении дополнительного отбора в соответствии с положениями Порядка, предусмотренными для проведения отбора.</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5905" w:name="P5905"/>
    <w:bookmarkEnd w:id="5905"/>
    <w:p>
      <w:pPr>
        <w:pStyle w:val="2"/>
        <w:jc w:val="center"/>
      </w:pPr>
      <w:r>
        <w:rPr>
          <w:sz w:val="20"/>
        </w:rPr>
        <w:t xml:space="preserve">ПЕРЕЧЕНЬ</w:t>
      </w:r>
    </w:p>
    <w:p>
      <w:pPr>
        <w:pStyle w:val="2"/>
        <w:jc w:val="center"/>
      </w:pPr>
      <w:r>
        <w:rPr>
          <w:sz w:val="20"/>
        </w:rPr>
        <w:t xml:space="preserve">ДОКУМЕНТОВ, ПРЕДСТАВЛЯЕМЫХ УЧАСТНИКОМ ОТБОРА В ЦЕЛЯХ</w:t>
      </w:r>
    </w:p>
    <w:p>
      <w:pPr>
        <w:pStyle w:val="2"/>
        <w:jc w:val="center"/>
      </w:pPr>
      <w:r>
        <w:rPr>
          <w:sz w:val="20"/>
        </w:rPr>
        <w:t xml:space="preserve">ПОЛУЧЕНИЯ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77"/>
      </w:tblGrid>
      <w:tr>
        <w:tc>
          <w:tcPr>
            <w:tcW w:w="794" w:type="dxa"/>
          </w:tcPr>
          <w:p>
            <w:pPr>
              <w:pStyle w:val="0"/>
              <w:jc w:val="center"/>
            </w:pPr>
            <w:r>
              <w:rPr>
                <w:sz w:val="20"/>
              </w:rPr>
              <w:t xml:space="preserve">N п/п</w:t>
            </w:r>
          </w:p>
        </w:tc>
        <w:tc>
          <w:tcPr>
            <w:tcW w:w="8277" w:type="dxa"/>
          </w:tcPr>
          <w:p>
            <w:pPr>
              <w:pStyle w:val="0"/>
              <w:jc w:val="center"/>
            </w:pPr>
            <w:r>
              <w:rPr>
                <w:sz w:val="20"/>
              </w:rPr>
              <w:t xml:space="preserve">Наименование документа</w:t>
            </w:r>
          </w:p>
        </w:tc>
      </w:tr>
      <w:tr>
        <w:tc>
          <w:tcPr>
            <w:tcW w:w="794" w:type="dxa"/>
          </w:tcPr>
          <w:p>
            <w:pPr>
              <w:pStyle w:val="0"/>
              <w:jc w:val="center"/>
            </w:pPr>
            <w:r>
              <w:rPr>
                <w:sz w:val="20"/>
              </w:rPr>
              <w:t xml:space="preserve">1</w:t>
            </w:r>
          </w:p>
        </w:tc>
        <w:tc>
          <w:tcPr>
            <w:tcW w:w="8277" w:type="dxa"/>
          </w:tcPr>
          <w:p>
            <w:pPr>
              <w:pStyle w:val="0"/>
              <w:jc w:val="center"/>
            </w:pPr>
            <w:r>
              <w:rPr>
                <w:sz w:val="20"/>
              </w:rPr>
              <w:t xml:space="preserve">2</w:t>
            </w:r>
          </w:p>
        </w:tc>
      </w:tr>
      <w:tr>
        <w:tc>
          <w:tcPr>
            <w:tcW w:w="794" w:type="dxa"/>
          </w:tcPr>
          <w:p>
            <w:pPr>
              <w:pStyle w:val="0"/>
            </w:pPr>
            <w:r>
              <w:rPr>
                <w:sz w:val="20"/>
              </w:rPr>
              <w:t xml:space="preserve">1</w:t>
            </w:r>
          </w:p>
        </w:tc>
        <w:tc>
          <w:tcPr>
            <w:tcW w:w="8277" w:type="dxa"/>
          </w:tcPr>
          <w:p>
            <w:pPr>
              <w:pStyle w:val="0"/>
            </w:pPr>
            <w:r>
              <w:rPr>
                <w:sz w:val="20"/>
              </w:rPr>
              <w:t xml:space="preserve">Устав участника отбора (для участников отбора, являющихся юридическими лицами)</w:t>
            </w:r>
          </w:p>
        </w:tc>
      </w:tr>
      <w:tr>
        <w:tc>
          <w:tcPr>
            <w:tcW w:w="794" w:type="dxa"/>
          </w:tcPr>
          <w:p>
            <w:pPr>
              <w:pStyle w:val="0"/>
            </w:pPr>
            <w:r>
              <w:rPr>
                <w:sz w:val="20"/>
              </w:rPr>
              <w:t xml:space="preserve">2</w:t>
            </w:r>
          </w:p>
        </w:tc>
        <w:tc>
          <w:tcPr>
            <w:tcW w:w="8277" w:type="dxa"/>
          </w:tcPr>
          <w:p>
            <w:pPr>
              <w:pStyle w:val="0"/>
            </w:pPr>
            <w:r>
              <w:rPr>
                <w:sz w:val="20"/>
              </w:rPr>
              <w:t xml:space="preserve">Выписка из реестра акционеров общества (для акционерных обществ), выданная не ранее чем за 30 календарных дней до даты подачи заявки</w:t>
            </w:r>
          </w:p>
        </w:tc>
      </w:tr>
      <w:tr>
        <w:tc>
          <w:tcPr>
            <w:tcW w:w="794" w:type="dxa"/>
          </w:tcPr>
          <w:p>
            <w:pPr>
              <w:pStyle w:val="0"/>
            </w:pPr>
            <w:r>
              <w:rPr>
                <w:sz w:val="20"/>
              </w:rPr>
              <w:t xml:space="preserve">3</w:t>
            </w:r>
          </w:p>
        </w:tc>
        <w:tc>
          <w:tcPr>
            <w:tcW w:w="8277" w:type="dxa"/>
          </w:tcPr>
          <w:p>
            <w:pPr>
              <w:pStyle w:val="0"/>
            </w:pPr>
            <w:r>
              <w:rPr>
                <w:sz w:val="20"/>
              </w:rPr>
              <w:t xml:space="preserve">Разрешение на строительство и (или) реконструкцию объекта капитального строительства</w:t>
            </w:r>
          </w:p>
        </w:tc>
      </w:tr>
      <w:tr>
        <w:tc>
          <w:tcPr>
            <w:tcW w:w="794" w:type="dxa"/>
          </w:tcPr>
          <w:p>
            <w:pPr>
              <w:pStyle w:val="0"/>
            </w:pPr>
            <w:r>
              <w:rPr>
                <w:sz w:val="20"/>
              </w:rPr>
              <w:t xml:space="preserve">4</w:t>
            </w:r>
          </w:p>
        </w:tc>
        <w:tc>
          <w:tcPr>
            <w:tcW w:w="8277" w:type="dxa"/>
          </w:tcPr>
          <w:p>
            <w:pPr>
              <w:pStyle w:val="0"/>
            </w:pPr>
            <w:r>
              <w:rPr>
                <w:sz w:val="20"/>
              </w:rPr>
              <w:t xml:space="preserve">Разрешение на ввод в эксплуатацию объекта (объектов) капитального строительства (при наличии) или гарантийное письмо, подписанное руководителем участника отбора или иным уполномоченным лицом, содержащее обязательство о вводе в эксплуатацию гостиничного комплекса в срок не позднее 3 лет со дня заключения Соглашения</w:t>
            </w:r>
          </w:p>
        </w:tc>
      </w:tr>
      <w:tr>
        <w:tc>
          <w:tcPr>
            <w:tcW w:w="794" w:type="dxa"/>
          </w:tcPr>
          <w:p>
            <w:pPr>
              <w:pStyle w:val="0"/>
            </w:pPr>
            <w:r>
              <w:rPr>
                <w:sz w:val="20"/>
              </w:rPr>
              <w:t xml:space="preserve">5</w:t>
            </w:r>
          </w:p>
        </w:tc>
        <w:tc>
          <w:tcPr>
            <w:tcW w:w="8277" w:type="dxa"/>
          </w:tcPr>
          <w:p>
            <w:pPr>
              <w:pStyle w:val="0"/>
            </w:pPr>
            <w:r>
              <w:rPr>
                <w:sz w:val="20"/>
              </w:rPr>
              <w:t xml:space="preserve">Кредитный договор</w:t>
            </w:r>
          </w:p>
        </w:tc>
      </w:tr>
      <w:tr>
        <w:tc>
          <w:tcPr>
            <w:tcW w:w="794" w:type="dxa"/>
          </w:tcPr>
          <w:p>
            <w:pPr>
              <w:pStyle w:val="0"/>
            </w:pPr>
            <w:r>
              <w:rPr>
                <w:sz w:val="20"/>
              </w:rPr>
              <w:t xml:space="preserve">6</w:t>
            </w:r>
          </w:p>
        </w:tc>
        <w:tc>
          <w:tcPr>
            <w:tcW w:w="8277" w:type="dxa"/>
          </w:tcPr>
          <w:p>
            <w:pPr>
              <w:pStyle w:val="0"/>
            </w:pPr>
            <w:r>
              <w:rPr>
                <w:sz w:val="20"/>
              </w:rPr>
              <w:t xml:space="preserve">График погашения кредита и уплаты процентов по нему, заверенный кредитной организацией, выдавшей кредит</w:t>
            </w:r>
          </w:p>
        </w:tc>
      </w:tr>
      <w:tr>
        <w:tc>
          <w:tcPr>
            <w:tcW w:w="794" w:type="dxa"/>
          </w:tcPr>
          <w:p>
            <w:pPr>
              <w:pStyle w:val="0"/>
            </w:pPr>
            <w:r>
              <w:rPr>
                <w:sz w:val="20"/>
              </w:rPr>
              <w:t xml:space="preserve">7</w:t>
            </w:r>
          </w:p>
        </w:tc>
        <w:tc>
          <w:tcPr>
            <w:tcW w:w="8277" w:type="dxa"/>
          </w:tcPr>
          <w:p>
            <w:pPr>
              <w:pStyle w:val="0"/>
            </w:pPr>
            <w:r>
              <w:rPr>
                <w:sz w:val="20"/>
              </w:rPr>
              <w:t xml:space="preserve">Заверенные уполномоченным должностным лицом банка копии документов (копии платежных поручений), подтверждающих исполнение обязательств по Кредиту</w:t>
            </w:r>
          </w:p>
        </w:tc>
      </w:tr>
      <w:tr>
        <w:tc>
          <w:tcPr>
            <w:tcW w:w="794" w:type="dxa"/>
          </w:tcPr>
          <w:p>
            <w:pPr>
              <w:pStyle w:val="0"/>
            </w:pPr>
            <w:r>
              <w:rPr>
                <w:sz w:val="20"/>
              </w:rPr>
              <w:t xml:space="preserve">8</w:t>
            </w:r>
          </w:p>
        </w:tc>
        <w:tc>
          <w:tcPr>
            <w:tcW w:w="8277" w:type="dxa"/>
          </w:tcPr>
          <w:p>
            <w:pPr>
              <w:pStyle w:val="0"/>
            </w:pPr>
            <w:r>
              <w:rPr>
                <w:sz w:val="20"/>
              </w:rPr>
              <w:t xml:space="preserve">Документы, подтверждающие осуществление инвестиций участником отбора, связанных со строительством и (или) реконструкцией объектов капитального строительства, по состоянию на дату подачи заявки:</w:t>
            </w:r>
          </w:p>
        </w:tc>
      </w:tr>
      <w:tr>
        <w:tc>
          <w:tcPr>
            <w:tcW w:w="794" w:type="dxa"/>
          </w:tcPr>
          <w:p>
            <w:pPr>
              <w:pStyle w:val="0"/>
            </w:pPr>
            <w:r>
              <w:rPr>
                <w:sz w:val="20"/>
              </w:rPr>
              <w:t xml:space="preserve">9</w:t>
            </w:r>
          </w:p>
        </w:tc>
        <w:tc>
          <w:tcPr>
            <w:tcW w:w="8277" w:type="dxa"/>
          </w:tcPr>
          <w:p>
            <w:pPr>
              <w:pStyle w:val="0"/>
            </w:pPr>
            <w:r>
              <w:rPr>
                <w:sz w:val="20"/>
              </w:rPr>
              <w:t xml:space="preserve">Договоры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 (или) реконструкцию объекта капитального строительства, договоры на приобретение и доставку материалов, работу техники</w:t>
            </w:r>
          </w:p>
        </w:tc>
      </w:tr>
      <w:tr>
        <w:tc>
          <w:tcPr>
            <w:tcW w:w="794" w:type="dxa"/>
          </w:tcPr>
          <w:p>
            <w:pPr>
              <w:pStyle w:val="0"/>
            </w:pPr>
            <w:r>
              <w:rPr>
                <w:sz w:val="20"/>
              </w:rPr>
              <w:t xml:space="preserve">10</w:t>
            </w:r>
          </w:p>
        </w:tc>
        <w:tc>
          <w:tcPr>
            <w:tcW w:w="8277" w:type="dxa"/>
          </w:tcPr>
          <w:p>
            <w:pPr>
              <w:pStyle w:val="0"/>
            </w:pPr>
            <w:r>
              <w:rPr>
                <w:sz w:val="20"/>
              </w:rPr>
              <w:t xml:space="preserve">Акты, подтверждающие затраты на строительство и (или) реконструкцию объектов капитального строительства:</w:t>
            </w:r>
          </w:p>
          <w:p>
            <w:pPr>
              <w:pStyle w:val="0"/>
            </w:pPr>
            <w:r>
              <w:rPr>
                <w:sz w:val="20"/>
              </w:rPr>
              <w:t xml:space="preserve">в случае проведения работ подрядным способом - акты КС-3, форма ОС-1 и (или) форма ОС-3, накладные на приобретение строительных материалов;</w:t>
            </w:r>
          </w:p>
          <w:p>
            <w:pPr>
              <w:pStyle w:val="0"/>
            </w:pPr>
            <w:r>
              <w:rPr>
                <w:sz w:val="20"/>
              </w:rPr>
              <w:t xml:space="preserve">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участником отбора строительно-монтажных работ хозяйственным способом (при наличии)</w:t>
            </w:r>
          </w:p>
        </w:tc>
      </w:tr>
      <w:tr>
        <w:tc>
          <w:tcPr>
            <w:tcW w:w="794" w:type="dxa"/>
          </w:tcPr>
          <w:p>
            <w:pPr>
              <w:pStyle w:val="0"/>
            </w:pPr>
            <w:r>
              <w:rPr>
                <w:sz w:val="20"/>
              </w:rPr>
              <w:t xml:space="preserve">11</w:t>
            </w:r>
          </w:p>
        </w:tc>
        <w:tc>
          <w:tcPr>
            <w:tcW w:w="8277" w:type="dxa"/>
          </w:tcPr>
          <w:p>
            <w:pPr>
              <w:pStyle w:val="0"/>
            </w:pPr>
            <w:r>
              <w:rPr>
                <w:sz w:val="20"/>
              </w:rPr>
              <w:t xml:space="preserve">Платежные документы, подтверждающие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объектов капитального строительства</w:t>
            </w:r>
          </w:p>
        </w:tc>
      </w:tr>
      <w:tr>
        <w:tc>
          <w:tcPr>
            <w:tcW w:w="794" w:type="dxa"/>
          </w:tcPr>
          <w:p>
            <w:pPr>
              <w:pStyle w:val="0"/>
            </w:pPr>
            <w:r>
              <w:rPr>
                <w:sz w:val="20"/>
              </w:rPr>
              <w:t xml:space="preserve">12</w:t>
            </w:r>
          </w:p>
        </w:tc>
        <w:tc>
          <w:tcPr>
            <w:tcW w:w="8277" w:type="dxa"/>
          </w:tcPr>
          <w:p>
            <w:pPr>
              <w:pStyle w:val="0"/>
            </w:pPr>
            <w:r>
              <w:rPr>
                <w:sz w:val="20"/>
              </w:rPr>
              <w:t xml:space="preserve">Договоры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tc>
      </w:tr>
      <w:tr>
        <w:tc>
          <w:tcPr>
            <w:tcW w:w="794" w:type="dxa"/>
          </w:tcPr>
          <w:p>
            <w:pPr>
              <w:pStyle w:val="0"/>
            </w:pPr>
            <w:r>
              <w:rPr>
                <w:sz w:val="20"/>
              </w:rPr>
              <w:t xml:space="preserve">13</w:t>
            </w:r>
          </w:p>
        </w:tc>
        <w:tc>
          <w:tcPr>
            <w:tcW w:w="8277" w:type="dxa"/>
          </w:tcPr>
          <w:p>
            <w:pPr>
              <w:pStyle w:val="0"/>
            </w:pPr>
            <w:r>
              <w:rPr>
                <w:sz w:val="20"/>
              </w:rPr>
              <w:t xml:space="preserve">Документы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w:history="0" r:id="rId420"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N ОС-1</w:t>
              </w:r>
            </w:hyperlink>
            <w:r>
              <w:rPr>
                <w:sz w:val="20"/>
              </w:rPr>
              <w:t xml:space="preserve">, утвержденной постановлением Госкомстата Российской Федерации от 21.01.2003 N 7 "Об утверждении унифицированных форм первичной учетной документации по учету основных средств")</w:t>
            </w:r>
          </w:p>
        </w:tc>
      </w:tr>
      <w:tr>
        <w:tc>
          <w:tcPr>
            <w:tcW w:w="794" w:type="dxa"/>
          </w:tcPr>
          <w:p>
            <w:pPr>
              <w:pStyle w:val="0"/>
            </w:pPr>
            <w:r>
              <w:rPr>
                <w:sz w:val="20"/>
              </w:rPr>
              <w:t xml:space="preserve">14</w:t>
            </w:r>
          </w:p>
        </w:tc>
        <w:tc>
          <w:tcPr>
            <w:tcW w:w="8277" w:type="dxa"/>
          </w:tcPr>
          <w:p>
            <w:pPr>
              <w:pStyle w:val="0"/>
            </w:pPr>
            <w:r>
              <w:rPr>
                <w:sz w:val="20"/>
              </w:rPr>
              <w:t xml:space="preserve">Платежные документы, подтверждающие оплату договоров на приобретение в собственность оборудования, включая затраты на монтаж и доставку оборудования</w:t>
            </w:r>
          </w:p>
        </w:tc>
      </w:tr>
    </w:tbl>
    <w:p>
      <w:pPr>
        <w:pStyle w:val="0"/>
        <w:jc w:val="both"/>
      </w:pPr>
      <w:r>
        <w:rPr>
          <w:sz w:val="20"/>
        </w:rPr>
      </w:r>
    </w:p>
    <w:p>
      <w:pPr>
        <w:pStyle w:val="2"/>
        <w:outlineLvl w:val="3"/>
        <w:jc w:val="center"/>
      </w:pPr>
      <w:r>
        <w:rPr>
          <w:sz w:val="20"/>
        </w:rPr>
        <w:t xml:space="preserve">5.3.9. Порядок предоставления субсидий из бюджета</w:t>
      </w:r>
    </w:p>
    <w:p>
      <w:pPr>
        <w:pStyle w:val="2"/>
        <w:jc w:val="center"/>
      </w:pPr>
      <w:r>
        <w:rPr>
          <w:sz w:val="20"/>
        </w:rPr>
        <w:t xml:space="preserve">Московской области юридическим лицам в рамках реализации</w:t>
      </w:r>
    </w:p>
    <w:p>
      <w:pPr>
        <w:pStyle w:val="2"/>
        <w:jc w:val="center"/>
      </w:pPr>
      <w:r>
        <w:rPr>
          <w:sz w:val="20"/>
        </w:rPr>
        <w:t xml:space="preserve">мероприятия 08.02 "Финансовое обеспечение или возмещение</w:t>
      </w:r>
    </w:p>
    <w:p>
      <w:pPr>
        <w:pStyle w:val="2"/>
        <w:jc w:val="center"/>
      </w:pPr>
      <w:r>
        <w:rPr>
          <w:sz w:val="20"/>
        </w:rPr>
        <w:t xml:space="preserve">затрат юридических лиц на создание объектов инфраструктуры,</w:t>
      </w:r>
    </w:p>
    <w:p>
      <w:pPr>
        <w:pStyle w:val="2"/>
        <w:jc w:val="center"/>
      </w:pPr>
      <w:r>
        <w:rPr>
          <w:sz w:val="20"/>
        </w:rPr>
        <w:t xml:space="preserve">необходимых для реализации новых инвестиционных проектов"</w:t>
      </w:r>
    </w:p>
    <w:p>
      <w:pPr>
        <w:pStyle w:val="2"/>
        <w:jc w:val="center"/>
      </w:pPr>
      <w:r>
        <w:rPr>
          <w:sz w:val="20"/>
        </w:rPr>
        <w:t xml:space="preserve">Подпрограммы 1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421"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5.3.10. Порядок предоставления субсидий из бюджета</w:t>
      </w:r>
    </w:p>
    <w:p>
      <w:pPr>
        <w:pStyle w:val="2"/>
        <w:jc w:val="center"/>
      </w:pPr>
      <w:r>
        <w:rPr>
          <w:sz w:val="20"/>
        </w:rPr>
        <w:t xml:space="preserve">Московской области акционерному обществу "Особая</w:t>
      </w:r>
    </w:p>
    <w:p>
      <w:pPr>
        <w:pStyle w:val="2"/>
        <w:jc w:val="center"/>
      </w:pPr>
      <w:r>
        <w:rPr>
          <w:sz w:val="20"/>
        </w:rPr>
        <w:t xml:space="preserve">экономическая зона технико-внедренческого типа "Дубна"</w:t>
      </w:r>
    </w:p>
    <w:p>
      <w:pPr>
        <w:pStyle w:val="2"/>
        <w:jc w:val="center"/>
      </w:pPr>
      <w:r>
        <w:rPr>
          <w:sz w:val="20"/>
        </w:rPr>
        <w:t xml:space="preserve">в рамках реализации мероприятия 02.05 "Финансовое</w:t>
      </w:r>
    </w:p>
    <w:p>
      <w:pPr>
        <w:pStyle w:val="2"/>
        <w:jc w:val="center"/>
      </w:pPr>
      <w:r>
        <w:rPr>
          <w:sz w:val="20"/>
        </w:rPr>
        <w:t xml:space="preserve">обеспечение затрат АО "ОЭЗ ТВТ "Дубна" на осуществление</w:t>
      </w:r>
    </w:p>
    <w:p>
      <w:pPr>
        <w:pStyle w:val="2"/>
        <w:jc w:val="center"/>
      </w:pPr>
      <w:r>
        <w:rPr>
          <w:sz w:val="20"/>
        </w:rPr>
        <w:t xml:space="preserve">капитальных вложений в объекты капитального строительства,</w:t>
      </w:r>
    </w:p>
    <w:p>
      <w:pPr>
        <w:pStyle w:val="2"/>
        <w:jc w:val="center"/>
      </w:pPr>
      <w:r>
        <w:rPr>
          <w:sz w:val="20"/>
        </w:rPr>
        <w:t xml:space="preserve">находящиеся в собственности указанного юридического лица,</w:t>
      </w:r>
    </w:p>
    <w:p>
      <w:pPr>
        <w:pStyle w:val="2"/>
        <w:jc w:val="center"/>
      </w:pPr>
      <w:r>
        <w:rPr>
          <w:sz w:val="20"/>
        </w:rPr>
        <w:t xml:space="preserve">в целях создания индустриальных парков в городских округах</w:t>
      </w:r>
    </w:p>
    <w:p>
      <w:pPr>
        <w:pStyle w:val="2"/>
        <w:jc w:val="center"/>
      </w:pPr>
      <w:r>
        <w:rPr>
          <w:sz w:val="20"/>
        </w:rPr>
        <w:t xml:space="preserve">Московской области, с последующим увеличением уставного</w:t>
      </w:r>
    </w:p>
    <w:p>
      <w:pPr>
        <w:pStyle w:val="2"/>
        <w:jc w:val="center"/>
      </w:pPr>
      <w:r>
        <w:rPr>
          <w:sz w:val="20"/>
        </w:rPr>
        <w:t xml:space="preserve">капитала указанного юридического лица"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(введен </w:t>
      </w:r>
      <w:hyperlink w:history="0" r:id="rId422" w:tooltip="Постановление Правительства МО от 03.11.2023 N 1017-ПП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03.11.2023 N 1017-ПП)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r:id="rId4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8 статьи 78</w:t>
        </w:r>
      </w:hyperlink>
      <w:r>
        <w:rPr>
          <w:sz w:val="20"/>
        </w:rPr>
        <w:t xml:space="preserve"> Бюджетного кодекса Российской Федерации, Общими требованиями, Порядком разработки и реализации государственных программ Московской области, </w:t>
      </w:r>
      <w:hyperlink w:history="0" r:id="rId424" w:tooltip="Постановление Правительства МО от 10.07.2018 N 438/24 (ред. от 19.08.2022) &quot;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 {КонсультантПлюс}">
        <w:r>
          <w:rPr>
            <w:sz w:val="20"/>
            <w:color w:val="0000ff"/>
          </w:rPr>
          <w:t xml:space="preserve">постановлением</w:t>
        </w:r>
      </w:hyperlink>
      <w:r>
        <w:rPr>
          <w:sz w:val="20"/>
        </w:rPr>
        <w:t xml:space="preserve"> Правительства Московской области от 10.07.2018 N 438/24 "Об утверждении Порядка принятия решения о предоставлении из бюджета Московской области субсидий юридическим лицам, 100 процентов акций (долей) которых принадлежит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собственности Московской области),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о внесении изменения в Порядок разработки и реализации государственных программ Московской области".</w:t>
      </w:r>
    </w:p>
    <w:p>
      <w:pPr>
        <w:pStyle w:val="0"/>
        <w:spacing w:before="200" w:line-rule="auto"/>
        <w:ind w:firstLine="540"/>
        <w:jc w:val="both"/>
      </w:pPr>
      <w:r>
        <w:rPr>
          <w:sz w:val="20"/>
        </w:rPr>
        <w:t xml:space="preserve">2. Настоящий порядок устанавливает правила предоставления субсидии из бюджета Московской области акционерному обществу "Особая экономическая зона технико-внедренческого типа "Дубна" (далее - АО "ОЭЗ ТВТ "Дубна") в соответствии с </w:t>
      </w:r>
      <w:hyperlink w:history="0" w:anchor="P1396" w:tooltip="Мероприятие 02.05. Финансовое обеспечение затрат АО &quot;ОЭЗ ТВТ &quot;Дубна&quot; на осуществление капитальных вложений в объекты капитального строительства, находящиеся в собственности указанного юридического лица, в целях создания индустриальных парков в городских округах Московской области, с последующим увеличением уставного капитала указанного юридического лица">
        <w:r>
          <w:rPr>
            <w:sz w:val="20"/>
            <w:color w:val="0000ff"/>
          </w:rPr>
          <w:t xml:space="preserve">мероприятием 02.05</w:t>
        </w:r>
      </w:hyperlink>
      <w:r>
        <w:rPr>
          <w:sz w:val="20"/>
        </w:rPr>
        <w:t xml:space="preserve"> "Финансовое обеспечение затрат АО "ОЭЗ ТВТ "Дубна" на осуществление капитальных вложений в объекты капитального строительства, находящиеся в собственности указанного юридического лица, в целях создания индустриальных парков в городских округах Московской области, с последующим увеличением уставного капитала указанного юридического лица" Подпрограммы 1 государственной программы (далее соответственно - Порядок, Субсидия, мероприятие 02.05), а также требования к соглашению о предоставлении Субсидии, срокам и условиям ее предоставления и определяет:</w:t>
      </w:r>
    </w:p>
    <w:p>
      <w:pPr>
        <w:pStyle w:val="0"/>
        <w:spacing w:before="200" w:line-rule="auto"/>
        <w:ind w:firstLine="540"/>
        <w:jc w:val="both"/>
      </w:pPr>
      <w:r>
        <w:rPr>
          <w:sz w:val="20"/>
        </w:rPr>
        <w:t xml:space="preserve">общие положения о предоставлении Субсидии;</w:t>
      </w:r>
    </w:p>
    <w:p>
      <w:pPr>
        <w:pStyle w:val="0"/>
        <w:spacing w:before="200" w:line-rule="auto"/>
        <w:ind w:firstLine="540"/>
        <w:jc w:val="both"/>
      </w:pPr>
      <w:r>
        <w:rPr>
          <w:sz w:val="20"/>
        </w:rPr>
        <w:t xml:space="preserve">условия и порядок предоставления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об осуществлении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3. Целью предоставления Субсидии является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проектных и изыскательских работ, работ по разработке проектно-сметной документации для объектов инфраструктуры, а также технологического присоединения объектов инфраструктуры, находящихся в собственности АО "ОЭЗ ТВТ "Дубна" и (или) приобретения АО "ОЭЗ ТВТ "Дубна" объектов недвижимого имущества с последующим увеличением уставного капитала АО "ОЭЗ ТВТ "Дубна" в соответствии с </w:t>
      </w:r>
      <w:hyperlink w:history="0" w:anchor="P10243" w:tooltip="5.7.3. Адресный перечень объектов строительства">
        <w:r>
          <w:rPr>
            <w:sz w:val="20"/>
            <w:color w:val="0000ff"/>
          </w:rPr>
          <w:t xml:space="preserve">подразделом 5.7.3</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4. Субсидия предоставляется АО "ОЭЗ ТВТ "Дубна" в пределах бюджетных ассигнований, предусмотренных на реализацию </w:t>
      </w:r>
      <w:hyperlink w:history="0" w:anchor="P1396" w:tooltip="Мероприятие 02.05. Финансовое обеспечение затрат АО &quot;ОЭЗ ТВТ &quot;Дубна&quot; на осуществление капитальных вложений в объекты капитального строительства, находящиеся в собственности указанного юридического лица, в целях создания индустриальных парков в городских округах Московской области, с последующим увеличением уставного капитала указанного юридического лица">
        <w:r>
          <w:rPr>
            <w:sz w:val="20"/>
            <w:color w:val="0000ff"/>
          </w:rPr>
          <w:t xml:space="preserve">мероприятия 02.05</w:t>
        </w:r>
      </w:hyperlink>
      <w:r>
        <w:rPr>
          <w:sz w:val="20"/>
        </w:rPr>
        <w:t xml:space="preserve"> законом Московской области о бюджете Московской области на соответствующий финансовый год и плановый период, в соответствии со сводной бюджетной росписью бюджета Московской области и утвержденными лимитами бюджетных обязательств.</w:t>
      </w:r>
    </w:p>
    <w:p>
      <w:pPr>
        <w:pStyle w:val="0"/>
        <w:spacing w:before="200" w:line-rule="auto"/>
        <w:ind w:firstLine="540"/>
        <w:jc w:val="both"/>
      </w:pPr>
      <w:r>
        <w:rPr>
          <w:sz w:val="20"/>
        </w:rPr>
        <w:t xml:space="preserve">5. Главным распорядителем бюджетных средств по предоставлению Субсидии является Мининвест Московской области.</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6. Условия, которым должно соответствовать АО "ОЭЗ ТВТ "Дубна" на 1-е число месяца, предшествующего месяцу, в котором планируется заключение соглашения о предоставлении Субсидии:</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5985" w:name="P5985"/>
    <w:bookmarkEnd w:id="5985"/>
    <w:p>
      <w:pPr>
        <w:pStyle w:val="0"/>
        <w:spacing w:before="200" w:line-rule="auto"/>
        <w:ind w:firstLine="540"/>
        <w:jc w:val="both"/>
      </w:pPr>
      <w:r>
        <w:rPr>
          <w:sz w:val="20"/>
        </w:rPr>
        <w:t xml:space="preserve">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w:t>
      </w:r>
    </w:p>
    <w:p>
      <w:pPr>
        <w:pStyle w:val="0"/>
        <w:spacing w:before="200" w:line-rule="auto"/>
        <w:ind w:firstLine="540"/>
        <w:jc w:val="both"/>
      </w:pPr>
      <w:r>
        <w:rPr>
          <w:sz w:val="20"/>
        </w:rPr>
        <w:t xml:space="preserve">3) отсутствие процесса реорганизации (за исключением реорганизации в форме присоединения к АО "ОЭЗ ТВТ "Дубна" другого юридического лица), ликвидации, введения в отношении АО "ОЭЗ ТВТ "Дубна" процедуры банкротства, приостановления его деятельности в порядке, предусмотренном законодательством Российской Федерации.</w:t>
      </w:r>
    </w:p>
    <w:bookmarkStart w:id="5987" w:name="P5987"/>
    <w:bookmarkEnd w:id="5987"/>
    <w:p>
      <w:pPr>
        <w:pStyle w:val="0"/>
        <w:spacing w:before="200" w:line-rule="auto"/>
        <w:ind w:firstLine="540"/>
        <w:jc w:val="both"/>
      </w:pPr>
      <w:r>
        <w:rPr>
          <w:sz w:val="20"/>
        </w:rPr>
        <w:t xml:space="preserve">7. Для заключения соглашения о предоставлении Субсидии АО "ОЭЗ ТВТ "Дубна" представляет в Мининвест Московской области следующие документы:</w:t>
      </w:r>
    </w:p>
    <w:p>
      <w:pPr>
        <w:pStyle w:val="0"/>
        <w:spacing w:before="200" w:line-rule="auto"/>
        <w:ind w:firstLine="540"/>
        <w:jc w:val="both"/>
      </w:pPr>
      <w:r>
        <w:rPr>
          <w:sz w:val="20"/>
        </w:rPr>
        <w:t xml:space="preserve">1) справку об уплате налогов АО "ОЭЗ ТВТ "Дубна";</w:t>
      </w:r>
    </w:p>
    <w:p>
      <w:pPr>
        <w:pStyle w:val="0"/>
        <w:spacing w:before="200" w:line-rule="auto"/>
        <w:ind w:firstLine="540"/>
        <w:jc w:val="both"/>
      </w:pPr>
      <w:r>
        <w:rPr>
          <w:sz w:val="20"/>
        </w:rPr>
        <w:t xml:space="preserve">2) выписку из ЕГРЮЛ, содержащую сведения о юридическом лице (в случае непредставления АО "ОЭЗ ТВТ "Дубна" такого документа Мининвест Московской области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3) справку, подписанную руководителем АО "ОЭЗ ТВТ "Дубна" (иным уполномоченным лицом), подтверждающую соответствие АО "ОЭЗ ТВТ "Дубна" условию, предусмотренному </w:t>
      </w:r>
      <w:hyperlink w:history="0" w:anchor="P5985" w:tooltip="2) отсутствие просроченной задолженности по возврату в бюджет Московской области субсидий, бюджетных инвестиций, а также иной просроченной (неурегулированной) задолженности по денежным обязательствам перед Московской областью;">
        <w:r>
          <w:rPr>
            <w:sz w:val="20"/>
            <w:color w:val="0000ff"/>
          </w:rPr>
          <w:t xml:space="preserve">подпунктом 2 пункта 6</w:t>
        </w:r>
      </w:hyperlink>
      <w:r>
        <w:rPr>
          <w:sz w:val="20"/>
        </w:rPr>
        <w:t xml:space="preserve"> настоящего Порядка;</w:t>
      </w:r>
    </w:p>
    <w:p>
      <w:pPr>
        <w:pStyle w:val="0"/>
        <w:spacing w:before="200" w:line-rule="auto"/>
        <w:ind w:firstLine="540"/>
        <w:jc w:val="both"/>
      </w:pPr>
      <w:r>
        <w:rPr>
          <w:sz w:val="20"/>
        </w:rPr>
        <w:t xml:space="preserve">4) гарантийное письмо, подписанное руководителем АО "ОЭЗ ТВТ "Дубна", содержащее обязательство АО "ОЭЗ ТВТ "Дубна"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bookmarkStart w:id="5992" w:name="P5992"/>
    <w:bookmarkEnd w:id="5992"/>
    <w:p>
      <w:pPr>
        <w:pStyle w:val="0"/>
        <w:spacing w:before="200" w:line-rule="auto"/>
        <w:ind w:firstLine="540"/>
        <w:jc w:val="both"/>
      </w:pPr>
      <w:r>
        <w:rPr>
          <w:sz w:val="20"/>
        </w:rPr>
        <w:t xml:space="preserve">8. Мининвест Московской области в течение 10 рабочих дней со дня получения от АО "ОЭЗ ТВТ "Дубна" документов, указанных в </w:t>
      </w:r>
      <w:hyperlink w:history="0" w:anchor="P5987" w:tooltip="7. Для заключения соглашения о предоставлении Субсидии АО &quot;ОЭЗ ТВТ &quot;Дубна&quot; представляет в Мининвест Московской области следующие документы:">
        <w:r>
          <w:rPr>
            <w:sz w:val="20"/>
            <w:color w:val="0000ff"/>
          </w:rPr>
          <w:t xml:space="preserve">пункте 7</w:t>
        </w:r>
      </w:hyperlink>
      <w:r>
        <w:rPr>
          <w:sz w:val="20"/>
        </w:rPr>
        <w:t xml:space="preserve"> настоящего Порядка, рассматривает их и принимает решение о заключении с АО "ОЭЗ ТВТ "Дубна" соглашения о предоставлении Субсидии (далее - Соглашение) либо направляет АО "ОЭЗ ТВТ "Дубна" информацию об отказе в предоставлении Субсидии с указанием причин отказа.</w:t>
      </w:r>
    </w:p>
    <w:p>
      <w:pPr>
        <w:pStyle w:val="0"/>
        <w:spacing w:before="200" w:line-rule="auto"/>
        <w:ind w:firstLine="540"/>
        <w:jc w:val="both"/>
      </w:pPr>
      <w:r>
        <w:rPr>
          <w:sz w:val="20"/>
        </w:rPr>
        <w:t xml:space="preserve">9. Основаниями для отказа АО "ОЭЗ ТВТ "Дубна"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АО "ОЭЗ ТВТ "Дубна" документов, определенных </w:t>
      </w:r>
      <w:hyperlink w:history="0" w:anchor="P5987" w:tooltip="7. Для заключения соглашения о предоставлении Субсидии АО &quot;ОЭЗ ТВТ &quot;Дубна&quot; представляет в Мининвест Московской области следующие документы:">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2) недостоверность информации, содержащейся в представленных АО "ОЭЗ ТВТ "Дубна" документах;</w:t>
      </w:r>
    </w:p>
    <w:p>
      <w:pPr>
        <w:pStyle w:val="0"/>
        <w:spacing w:before="200" w:line-rule="auto"/>
        <w:ind w:firstLine="540"/>
        <w:jc w:val="both"/>
      </w:pPr>
      <w:r>
        <w:rPr>
          <w:sz w:val="20"/>
        </w:rPr>
        <w:t xml:space="preserve">3) отсутствие в соответствии с бюджетным законодательством Российской Федерации оснований для заключения с АО "ОЭЗ ТВТ "Дубна" Соглашения.</w:t>
      </w:r>
    </w:p>
    <w:p>
      <w:pPr>
        <w:pStyle w:val="0"/>
        <w:spacing w:before="200" w:line-rule="auto"/>
        <w:ind w:firstLine="540"/>
        <w:jc w:val="both"/>
      </w:pPr>
      <w:r>
        <w:rPr>
          <w:sz w:val="20"/>
        </w:rPr>
        <w:t xml:space="preserve">10. Соглашение заключается в течение 30 календарных дней с даты принятия Мининвестом Московской области решения о заключении с АО "ОЭЗ ТВТ "Дубна" Соглашения в соответствии с </w:t>
      </w:r>
      <w:hyperlink w:history="0" w:anchor="P5992" w:tooltip="8. Мининвест Московской области в течение 10 рабочих дней со дня получения от АО &quot;ОЭЗ ТВТ &quot;Дубна&quot; документов, указанных в пункте 7 настоящего Порядка, рассматривает их и принимает решение о заключении с АО &quot;ОЭЗ ТВТ &quot;Дубна&quot; соглашения о предоставлении Субсидии (далее - Соглашение) либо направляет АО &quot;ОЭЗ ТВТ &quot;Дубна&quot; информацию об отказе в предоставлении Субсидии с указанием причин отказа.">
        <w:r>
          <w:rPr>
            <w:sz w:val="20"/>
            <w:color w:val="0000ff"/>
          </w:rPr>
          <w:t xml:space="preserve">пунктом 8</w:t>
        </w:r>
      </w:hyperlink>
      <w:r>
        <w:rPr>
          <w:sz w:val="20"/>
        </w:rPr>
        <w:t xml:space="preserve"> настоящего Порядка на основании Типовой формы </w:t>
      </w:r>
      <w:hyperlink w:history="0" r:id="rId425" w:tooltip="Приказ Минфина России от 02.09.2022 N 135н (ред. от 06.12.2023) &quot;Об утверждении Типовой формы соглашения (договора) о предоставлении из федерального бюджета субсидий юридическим лицам в соответствии с пунктом 8 статьи 78, статьей 78.2, подпунктом 3 пункта 1 статьи 78.3 Бюджетного кодекса Российской Федерации&quot; (Зарегистрировано в Минюсте России 23.11.2022 N 71088) {КонсультантПлюс}">
        <w:r>
          <w:rPr>
            <w:sz w:val="20"/>
            <w:color w:val="0000ff"/>
          </w:rPr>
          <w:t xml:space="preserve">соглашения</w:t>
        </w:r>
      </w:hyperlink>
      <w:r>
        <w:rPr>
          <w:sz w:val="20"/>
        </w:rPr>
        <w:t xml:space="preserve"> (договора) о предоставлении из федерального бюджета субсидий юридическим лицам в соответствии с пунктом 8 статьи 78, статьей 78.2, подпунктом 3 пункта 1 статьи 78.3 Бюджетного кодекса Российской Федерации, утвержденной приказом Минфина России от 02.09.2022 N 135н "Об утверждении Типовой формы соглашения (договора) о предоставлении из федерального бюджета субсидий юридическим лицам в соответствии с пунктом 8 статьи 78, статьей 78.2, подпунктом 3 пункта 1 статьи 78.3 Бюджетного кодекса Российской Федерации", и должно содержать:</w:t>
      </w:r>
    </w:p>
    <w:p>
      <w:pPr>
        <w:pStyle w:val="0"/>
        <w:spacing w:before="200" w:line-rule="auto"/>
        <w:ind w:firstLine="540"/>
        <w:jc w:val="both"/>
      </w:pPr>
      <w:r>
        <w:rPr>
          <w:sz w:val="20"/>
        </w:rPr>
        <w:t xml:space="preserve">1) целевое назначение и результат предоставления Субсидии, включая в отношении каждого объекта капитального строительства или объектов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или приобретения, сметную стоимость (предполагаемую (предельную) стоимость), или стоимость приобретения, соответствующие решению о предоставлении Субсидии, а также общий объем капитальных вложений за счет всех источников финансового обеспечения и его распределение по годам с выделением объема предоставляемой Субсидии, который в соответствующем финансовом году и плановом периоде соответствует объему бюджетных ассигнований на предоставление Субсидии согласно </w:t>
      </w:r>
      <w:hyperlink w:history="0" w:anchor="P10243" w:tooltip="5.7.3. Адресный перечень объектов строительства">
        <w:r>
          <w:rPr>
            <w:sz w:val="20"/>
            <w:color w:val="0000ff"/>
          </w:rPr>
          <w:t xml:space="preserve">подразделу 5.7.3</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2) утратил силу. - </w:t>
      </w:r>
      <w:hyperlink w:history="0" r:id="rId426"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 от 23.09.2024 N 1033-ПП;</w:t>
      </w:r>
    </w:p>
    <w:p>
      <w:pPr>
        <w:pStyle w:val="0"/>
        <w:spacing w:before="200" w:line-rule="auto"/>
        <w:ind w:firstLine="540"/>
        <w:jc w:val="both"/>
      </w:pPr>
      <w:r>
        <w:rPr>
          <w:sz w:val="20"/>
        </w:rPr>
        <w:t xml:space="preserve">3) положения о перечислении Субсидии на счет, указанный в </w:t>
      </w:r>
      <w:hyperlink w:history="0" w:anchor="P6018" w:tooltip="11. Субсидия перечисляется на расчетный счет, открытый АО &quot;ОЭЗ ТВТ &quot;Дубна&quot; в кредитной организации, в установленные Соглашением сроки.">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4) обязанность АО "ОЭЗ ТВТ "Дубна" осуществлять закупки за счет средств Субсидии в порядке, установленном Федеральным </w:t>
      </w:r>
      <w:hyperlink w:history="0" r:id="rId4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обязанность АО "ОЭЗ ТВТ "Дубна" обеспечить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проектных и изыскательских работ, работ по разработке проектно-сметной документации для объектов инфраструктуры, а также технологического присоединения объектов инфраструктуры, находящихся в его собственности, или приобретение им объектов недвижимого имущества в размере, предусмотренном решением о предоставлении Субсидии и Соглашением;</w:t>
      </w:r>
    </w:p>
    <w:p>
      <w:pPr>
        <w:pStyle w:val="0"/>
        <w:spacing w:before="200" w:line-rule="auto"/>
        <w:ind w:firstLine="540"/>
        <w:jc w:val="both"/>
      </w:pPr>
      <w:r>
        <w:rPr>
          <w:sz w:val="20"/>
        </w:rPr>
        <w:t xml:space="preserve">6) положения о запрете:</w:t>
      </w:r>
    </w:p>
    <w:p>
      <w:pPr>
        <w:pStyle w:val="0"/>
        <w:spacing w:before="200" w:line-rule="auto"/>
        <w:ind w:firstLine="540"/>
        <w:jc w:val="both"/>
      </w:pPr>
      <w:r>
        <w:rPr>
          <w:sz w:val="20"/>
        </w:rPr>
        <w:t xml:space="preserve">на приобретение АО "ОЭЗ ТВТ "Дубна"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и определенных решением о предоставлении Субсидии;</w:t>
      </w:r>
    </w:p>
    <w:p>
      <w:pPr>
        <w:pStyle w:val="0"/>
        <w:spacing w:before="200" w:line-rule="auto"/>
        <w:ind w:firstLine="540"/>
        <w:jc w:val="both"/>
      </w:pPr>
      <w:r>
        <w:rPr>
          <w:sz w:val="20"/>
        </w:rPr>
        <w:t xml:space="preserve">на перечисление АО "ОЭЗ ТВТ "Дубна" Субсидии в качестве взносов в уставные (складочные) капиталы других организаций, вкладов в имущество таких организаций, не увеличивающих их уставные (складочные) капиталы;</w:t>
      </w:r>
    </w:p>
    <w:p>
      <w:pPr>
        <w:pStyle w:val="0"/>
        <w:spacing w:before="200" w:line-rule="auto"/>
        <w:ind w:firstLine="540"/>
        <w:jc w:val="both"/>
      </w:pPr>
      <w:r>
        <w:rPr>
          <w:sz w:val="20"/>
        </w:rPr>
        <w:t xml:space="preserve">на размещение АО "ОЭЗ ТВТ "Дубна"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jc w:val="both"/>
      </w:pPr>
      <w:r>
        <w:rPr>
          <w:sz w:val="20"/>
        </w:rPr>
        <w:t xml:space="preserve">(в ред. </w:t>
      </w:r>
      <w:hyperlink w:history="0" r:id="rId428" w:tooltip="Постановление Правительства МО от 12.02.2024 N 10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12.02.2024 N 104-ПП)</w:t>
      </w:r>
    </w:p>
    <w:p>
      <w:pPr>
        <w:pStyle w:val="0"/>
        <w:spacing w:before="200" w:line-rule="auto"/>
        <w:ind w:firstLine="540"/>
        <w:jc w:val="both"/>
      </w:pPr>
      <w:r>
        <w:rPr>
          <w:sz w:val="20"/>
        </w:rPr>
        <w:t xml:space="preserve">7) положение о возврате АО "ОЭЗ ТВТ "Дубна" в бюджет Московской области остатка Субсидии, не использованного в отчетном финансовом году, если Мининвестом Московской области не принято в соответствии с </w:t>
      </w:r>
      <w:hyperlink w:history="0" w:anchor="P6021" w:tooltip="13. При наличии у АО &quot;ОЭЗ ТВТ &quot;Дубна&quot; неиспользованного остатка Субсидии в конце соответствующего финансового года АО &quot;ОЭЗ ТВТ &quot;Дубна&quot; вправе направить Мининвесту Московской области в течение 20 календарных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quot;ОЭЗ ТВТ &quot;Дубна&quot; в очередном финансовом году при наличии потребности направления их на те же це...">
        <w:r>
          <w:rPr>
            <w:sz w:val="20"/>
            <w:color w:val="0000ff"/>
          </w:rPr>
          <w:t xml:space="preserve">пунктом 13</w:t>
        </w:r>
      </w:hyperlink>
      <w:r>
        <w:rPr>
          <w:sz w:val="20"/>
        </w:rPr>
        <w:t xml:space="preserve"> настоящего Порядка решение об использовании этих средств на цели предоставления Субсидии в соответствующем финансовом году (далее - решение Мининвеста Московской области об использовании остатка Субсидии);</w:t>
      </w:r>
    </w:p>
    <w:p>
      <w:pPr>
        <w:pStyle w:val="0"/>
        <w:spacing w:before="200" w:line-rule="auto"/>
        <w:ind w:firstLine="540"/>
        <w:jc w:val="both"/>
      </w:pPr>
      <w:r>
        <w:rPr>
          <w:sz w:val="20"/>
        </w:rPr>
        <w:t xml:space="preserve">8) порядок и сроки представления АО "ОЭЗ ТВТ "Дубна" отчетности о расходах, источником финансового обеспечения которых является Субсидия, и о достижении результатов предоставления Субсидии;</w:t>
      </w:r>
    </w:p>
    <w:p>
      <w:pPr>
        <w:pStyle w:val="0"/>
        <w:jc w:val="both"/>
      </w:pPr>
      <w:r>
        <w:rPr>
          <w:sz w:val="20"/>
        </w:rPr>
        <w:t xml:space="preserve">(в ред. </w:t>
      </w:r>
      <w:hyperlink w:history="0" r:id="rId429"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9) согласие АО "ОЭЗ ТВТ "Дубна"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4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10) обязанность АО "ОЭЗ ТВТ "Дубна" по возврату соответствующих средств в бюджет Московской области в случае установления по итогам проверок, проведенных Мининвестом Московской области 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w:t>
      </w:r>
    </w:p>
    <w:p>
      <w:pPr>
        <w:pStyle w:val="0"/>
        <w:spacing w:before="200" w:line-rule="auto"/>
        <w:ind w:firstLine="540"/>
        <w:jc w:val="both"/>
      </w:pPr>
      <w:r>
        <w:rPr>
          <w:sz w:val="20"/>
        </w:rPr>
        <w:t xml:space="preserve">11) обязанность АО "ОЭЗ ТВТ "Дубна" уведомить Минмособлимущество о вводе в эксплуатацию объекта капитального строительства или приобретении объекта недвижимого имущества, источником финансового обеспечения которых является Субсидия, для осуществления Минмособлимуществом действий, направленных на увеличение уставного капитала АО "ОЭЗ ТВТ "Дубна" в порядке, установленном законодательством Российской Федерации;</w:t>
      </w:r>
    </w:p>
    <w:p>
      <w:pPr>
        <w:pStyle w:val="0"/>
        <w:spacing w:before="200" w:line-rule="auto"/>
        <w:ind w:firstLine="540"/>
        <w:jc w:val="both"/>
      </w:pPr>
      <w:r>
        <w:rPr>
          <w:sz w:val="20"/>
        </w:rPr>
        <w:t xml:space="preserve">12) сроки перечисления Субсидии;</w:t>
      </w:r>
    </w:p>
    <w:p>
      <w:pPr>
        <w:pStyle w:val="0"/>
        <w:spacing w:before="200" w:line-rule="auto"/>
        <w:ind w:firstLine="540"/>
        <w:jc w:val="both"/>
      </w:pPr>
      <w:r>
        <w:rPr>
          <w:sz w:val="20"/>
        </w:rPr>
        <w:t xml:space="preserve">13) обязанность АО "ОЭЗ ТВТ "Дубна" обеспечить финансовое обеспечение работ и услуг в соответствии с нормативными правовыми актами Российской Федерации и нормативными правовыми актами Московской области, регулирующими порядок принятия решений о предоставлении субсидий, без использования на эти цели средств, предоставляемых из бюджета Московской области;</w:t>
      </w:r>
    </w:p>
    <w:p>
      <w:pPr>
        <w:pStyle w:val="0"/>
        <w:spacing w:before="200" w:line-rule="auto"/>
        <w:ind w:firstLine="540"/>
        <w:jc w:val="both"/>
      </w:pPr>
      <w:r>
        <w:rPr>
          <w:sz w:val="20"/>
        </w:rPr>
        <w:t xml:space="preserve">14) обязательство АО "ОЭЗ ТВТ "Дубна" осуществлять эксплуатационные расходы, необходимые для содержания объектов капитального строительства или объектов недвижимого имущества после ввода их в эксплуатацию или приобретения, без использования на эти цели средств, предоставляемых из бюджета Московской области в соответствии с законом Московской области о бюджете Московской области и иными нормативными правовыми актами Московской области, регулирующими правила предоставления указанных средств;</w:t>
      </w:r>
    </w:p>
    <w:p>
      <w:pPr>
        <w:pStyle w:val="0"/>
        <w:spacing w:before="200" w:line-rule="auto"/>
        <w:ind w:firstLine="540"/>
        <w:jc w:val="both"/>
      </w:pPr>
      <w:r>
        <w:rPr>
          <w:sz w:val="20"/>
        </w:rPr>
        <w:t xml:space="preserve">15) обязательство АО "ОЭЗ ТВТ "Дубна" представить заключение государственной экспертизы о достоверности определения сметной стоимости объекта капитального строительства в течение 10 рабочих дней со дня получения АО "ОЭЗ ТВТ "Дубна" указанного заключения.</w:t>
      </w:r>
    </w:p>
    <w:bookmarkStart w:id="6018" w:name="P6018"/>
    <w:bookmarkEnd w:id="6018"/>
    <w:p>
      <w:pPr>
        <w:pStyle w:val="0"/>
        <w:spacing w:before="200" w:line-rule="auto"/>
        <w:ind w:firstLine="540"/>
        <w:jc w:val="both"/>
      </w:pPr>
      <w:r>
        <w:rPr>
          <w:sz w:val="20"/>
        </w:rPr>
        <w:t xml:space="preserve">11. Субсидия перечисляется на расчетный счет, открытый АО "ОЭЗ ТВТ "Дубна" в кредитной организации, в установленные Соглашением сроки.</w:t>
      </w:r>
    </w:p>
    <w:p>
      <w:pPr>
        <w:pStyle w:val="0"/>
        <w:spacing w:before="200" w:line-rule="auto"/>
        <w:ind w:firstLine="540"/>
        <w:jc w:val="both"/>
      </w:pPr>
      <w:r>
        <w:rPr>
          <w:sz w:val="20"/>
        </w:rPr>
        <w:t xml:space="preserve">12. Результатом предоставления Субсидии является количество введенных в эксплуатацию объектов инфраструктуры индустриальных парков в городских округах Московской области.</w:t>
      </w:r>
    </w:p>
    <w:p>
      <w:pPr>
        <w:pStyle w:val="0"/>
        <w:jc w:val="both"/>
      </w:pPr>
      <w:r>
        <w:rPr>
          <w:sz w:val="20"/>
        </w:rPr>
        <w:t xml:space="preserve">(п. 12 в ред. </w:t>
      </w:r>
      <w:hyperlink w:history="0" r:id="rId432"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bookmarkStart w:id="6021" w:name="P6021"/>
    <w:bookmarkEnd w:id="6021"/>
    <w:p>
      <w:pPr>
        <w:pStyle w:val="0"/>
        <w:spacing w:before="200" w:line-rule="auto"/>
        <w:ind w:firstLine="540"/>
        <w:jc w:val="both"/>
      </w:pPr>
      <w:r>
        <w:rPr>
          <w:sz w:val="20"/>
        </w:rPr>
        <w:t xml:space="preserve">13. При наличии у АО "ОЭЗ ТВТ "Дубна" неиспользованного остатка Субсидии в конце соответствующего финансового года АО "ОЭЗ ТВТ "Дубна" вправе направить Мининвесту Московской области в течение 20 календарных дней со дня окончания финансового года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АО "ОЭЗ ТВТ "Дубна" в очередном финансовом году при наличии потребности направления их на те же цели в соответствии с решением Мининвеста Московской области об использовании остатка Субсидии.</w:t>
      </w:r>
    </w:p>
    <w:p>
      <w:pPr>
        <w:pStyle w:val="0"/>
        <w:spacing w:before="200" w:line-rule="auto"/>
        <w:ind w:firstLine="540"/>
        <w:jc w:val="both"/>
      </w:pPr>
      <w:r>
        <w:rPr>
          <w:sz w:val="20"/>
        </w:rPr>
        <w:t xml:space="preserve">В решение Мининвеста Московской области об использовании остатка Субсидии включается один или несколько объектов капитального строительства или объектов недвижимого имущества.</w:t>
      </w:r>
    </w:p>
    <w:p>
      <w:pPr>
        <w:pStyle w:val="0"/>
        <w:spacing w:before="200" w:line-rule="auto"/>
        <w:ind w:firstLine="540"/>
        <w:jc w:val="both"/>
      </w:pPr>
      <w:r>
        <w:rPr>
          <w:sz w:val="20"/>
        </w:rPr>
        <w:t xml:space="preserve">Решение Мининвеста Московской области об использовании остатка Субсидии подлежит согласованию с МЭФ Московской области.</w:t>
      </w:r>
    </w:p>
    <w:p>
      <w:pPr>
        <w:pStyle w:val="0"/>
        <w:spacing w:before="200" w:line-rule="auto"/>
        <w:ind w:firstLine="540"/>
        <w:jc w:val="both"/>
      </w:pPr>
      <w:r>
        <w:rPr>
          <w:sz w:val="20"/>
        </w:rPr>
        <w:t xml:space="preserve">В случае возникновения обстоятельств, свидетельствующих об отсутствии потребности в неиспользованном остатке Субсидии у АО "ОЭЗ ТВТ "Дубна" в соответствующем финансовом году, АО "ОЭЗ ТВТ "Дубна" обязано письменно уведомить Мининвест Московской области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бюджет Московской области.</w:t>
      </w:r>
    </w:p>
    <w:p>
      <w:pPr>
        <w:pStyle w:val="0"/>
        <w:spacing w:before="200" w:line-rule="auto"/>
        <w:ind w:firstLine="540"/>
        <w:jc w:val="both"/>
      </w:pPr>
      <w:r>
        <w:rPr>
          <w:sz w:val="20"/>
        </w:rPr>
        <w:t xml:space="preserve">14. АО "ОЭЗ ТВТ "Дубна" несет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порядка и условий предоставления Субсидии, в том числе в части достижения результатов ее предоставления.</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p>
      <w:pPr>
        <w:pStyle w:val="0"/>
        <w:ind w:firstLine="540"/>
        <w:jc w:val="both"/>
      </w:pPr>
      <w:r>
        <w:rPr>
          <w:sz w:val="20"/>
        </w:rPr>
        <w:t xml:space="preserve">15. АО "ОЭЗ ТВТ "Дубна" представляет Мининвесту Московской области отчетность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проектные и изыскательские работы, работы по разработке проектно-сметной документации для объектов инфраструктуры, а также технологическое присоединение объектов инфраструктуры, находящихся в его собственности, и (или) на приобретение им объектов недвижимого имущества, и о достижении АО "ОЭЗ ТВТ "Дубна" результата предоставления Субсидии по форме и в сроки, определенные Соглашением, с приложением подтверждающих документов.</w:t>
      </w:r>
    </w:p>
    <w:p>
      <w:pPr>
        <w:pStyle w:val="0"/>
        <w:spacing w:before="200" w:line-rule="auto"/>
        <w:ind w:firstLine="540"/>
        <w:jc w:val="both"/>
      </w:pPr>
      <w:r>
        <w:rPr>
          <w:sz w:val="20"/>
        </w:rPr>
        <w:t xml:space="preserve">Мининвест Московской области в течение 10 рабочих дней со дня представления отчетности в соответствии с требованиями настоящего Порядка осуществляет ее проверку и принятие.</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АО "ОЭЗ ТВТ "Дубна" отчетность в случае ее соответствия требованиям настоящего Порядка.</w:t>
      </w:r>
    </w:p>
    <w:p>
      <w:pPr>
        <w:pStyle w:val="0"/>
        <w:spacing w:before="200" w:line-rule="auto"/>
        <w:ind w:firstLine="540"/>
        <w:jc w:val="both"/>
      </w:pPr>
      <w:r>
        <w:rPr>
          <w:sz w:val="20"/>
        </w:rPr>
        <w:t xml:space="preserve">В случае несоответствия отчетности требованиям настоящего Порядка Мининвест Московской области в течение 5 рабочих дней направляет АО "ОЭЗ ТВТ "Дубна" уведомление об исправлении представленной отчетности и повторном направлении в Мининвест Московской области в срок, указанный в уведомлении.</w:t>
      </w:r>
    </w:p>
    <w:p>
      <w:pPr>
        <w:pStyle w:val="0"/>
        <w:jc w:val="both"/>
      </w:pPr>
      <w:r>
        <w:rPr>
          <w:sz w:val="20"/>
        </w:rPr>
        <w:t xml:space="preserve">(п. 15 в ред. </w:t>
      </w:r>
      <w:hyperlink w:history="0" r:id="rId433"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16. Мининвест Московской области представляет МЭФ Московской области отчет о расходовании Субсидии, предоставленной из бюджета Московской области АО "ОЭЗ ТВТ "Дубна" на строительство, реконструкцию, в том числе с элементами реставрации, техническое перевооружение объектов капитального строительства, проектные и изыскательские работы, работы по разработке проектно-сметной документации для объектов инфраструктуры, а также технологическое присоединение объектов инфраструктуры, находящихся в его собственности, и (или) на приобретение им объектов недвижимого имущества, и отчет о достижении АО "ОЭЗ ТВТ "Дубна" результата предоставления Субсидии не позднее 1 марта года, следующего за отчетным годом, по формам согласно </w:t>
      </w:r>
      <w:hyperlink w:history="0" w:anchor="P6059" w:tooltip="Отчет">
        <w:r>
          <w:rPr>
            <w:sz w:val="20"/>
            <w:color w:val="0000ff"/>
          </w:rPr>
          <w:t xml:space="preserve">таблицам 1</w:t>
        </w:r>
      </w:hyperlink>
      <w:r>
        <w:rPr>
          <w:sz w:val="20"/>
        </w:rPr>
        <w:t xml:space="preserve"> и </w:t>
      </w:r>
      <w:hyperlink w:history="0" w:anchor="P6211" w:tooltip="Отчет">
        <w:r>
          <w:rPr>
            <w:sz w:val="20"/>
            <w:color w:val="0000ff"/>
          </w:rPr>
          <w:t xml:space="preserve">2</w:t>
        </w:r>
      </w:hyperlink>
      <w:r>
        <w:rPr>
          <w:sz w:val="20"/>
        </w:rPr>
        <w:t xml:space="preserve"> к настоящему Порядку с приложением подтверждающих документов.</w:t>
      </w:r>
    </w:p>
    <w:p>
      <w:pPr>
        <w:pStyle w:val="0"/>
        <w:jc w:val="both"/>
      </w:pPr>
      <w:r>
        <w:rPr>
          <w:sz w:val="20"/>
        </w:rPr>
        <w:t xml:space="preserve">(п. 16 в ред. </w:t>
      </w:r>
      <w:hyperlink w:history="0" r:id="rId434"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jc w:val="both"/>
      </w:pPr>
      <w:r>
        <w:rPr>
          <w:sz w:val="20"/>
        </w:rPr>
      </w:r>
    </w:p>
    <w:p>
      <w:pPr>
        <w:pStyle w:val="2"/>
        <w:outlineLvl w:val="4"/>
        <w:jc w:val="center"/>
      </w:pPr>
      <w:r>
        <w:rPr>
          <w:sz w:val="20"/>
        </w:rPr>
        <w:t xml:space="preserve">IV.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p>
      <w:pPr>
        <w:pStyle w:val="0"/>
        <w:ind w:firstLine="540"/>
        <w:jc w:val="both"/>
      </w:pPr>
      <w:r>
        <w:rPr>
          <w:sz w:val="20"/>
        </w:rPr>
        <w:t xml:space="preserve">17. Минмособлимущество осуществляет корпоративные мероприятия, направленные на увеличение уставного капитала АО "ОЭЗ ТВТ "Дубна" в порядке, установленном законодательством Российской Федерации.</w:t>
      </w:r>
    </w:p>
    <w:p>
      <w:pPr>
        <w:pStyle w:val="0"/>
        <w:spacing w:before="200" w:line-rule="auto"/>
        <w:ind w:firstLine="540"/>
        <w:jc w:val="both"/>
      </w:pPr>
      <w:r>
        <w:rPr>
          <w:sz w:val="20"/>
        </w:rPr>
        <w:t xml:space="preserve">18. Соблюдение АО "ОЭЗ ТВТ "Дубна" порядка и условий предоставления Субсидии, в том числе в части достижения результатов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w:history="0" r:id="rId4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(далее - органы государственного финансового контроля).</w:t>
      </w:r>
    </w:p>
    <w:p>
      <w:pPr>
        <w:pStyle w:val="0"/>
        <w:spacing w:before="200" w:line-rule="auto"/>
        <w:ind w:firstLine="540"/>
        <w:jc w:val="both"/>
      </w:pPr>
      <w:r>
        <w:rPr>
          <w:sz w:val="20"/>
        </w:rPr>
        <w:t xml:space="preserve">19. Субсидия подлежит возврату в бюджет Московской области в сроки и порядке, установленные в Соглашении, в случаях:</w:t>
      </w:r>
    </w:p>
    <w:p>
      <w:pPr>
        <w:pStyle w:val="0"/>
        <w:spacing w:before="200" w:line-rule="auto"/>
        <w:ind w:firstLine="540"/>
        <w:jc w:val="both"/>
      </w:pPr>
      <w:r>
        <w:rPr>
          <w:sz w:val="20"/>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w:t>
      </w:r>
    </w:p>
    <w:p>
      <w:pPr>
        <w:pStyle w:val="0"/>
        <w:spacing w:before="200" w:line-rule="auto"/>
        <w:ind w:firstLine="540"/>
        <w:jc w:val="both"/>
      </w:pPr>
      <w:r>
        <w:rPr>
          <w:sz w:val="20"/>
        </w:rPr>
        <w:t xml:space="preserve">недостижения получателем Субсидии результатов предоставления Субсидии.</w:t>
      </w:r>
    </w:p>
    <w:p>
      <w:pPr>
        <w:pStyle w:val="0"/>
        <w:spacing w:before="200" w:line-rule="auto"/>
        <w:ind w:firstLine="540"/>
        <w:jc w:val="both"/>
      </w:pPr>
      <w:r>
        <w:rPr>
          <w:sz w:val="20"/>
        </w:rPr>
        <w:t xml:space="preserve">20. При недостижении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результату предоставления Субсидии.</w:t>
      </w:r>
    </w:p>
    <w:p>
      <w:pPr>
        <w:pStyle w:val="0"/>
        <w:jc w:val="both"/>
      </w:pPr>
      <w:r>
        <w:rPr>
          <w:sz w:val="20"/>
        </w:rPr>
        <w:t xml:space="preserve">(в ред. </w:t>
      </w:r>
      <w:hyperlink w:history="0" r:id="rId437" w:tooltip="Постановление Правительства МО от 23.09.2024 N 10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23.09.2024 N 1033-ПП)</w:t>
      </w:r>
    </w:p>
    <w:p>
      <w:pPr>
        <w:pStyle w:val="0"/>
        <w:spacing w:before="200" w:line-rule="auto"/>
        <w:ind w:firstLine="540"/>
        <w:jc w:val="both"/>
      </w:pPr>
      <w:r>
        <w:rPr>
          <w:sz w:val="20"/>
        </w:rPr>
        <w:t xml:space="preserve">Порядок расчета размера Субсидии, подлежащей возврату в бюджет Московской области, устанавливается в Соглашении.</w:t>
      </w:r>
    </w:p>
    <w:p>
      <w:pPr>
        <w:pStyle w:val="0"/>
        <w:spacing w:before="200" w:line-rule="auto"/>
        <w:ind w:firstLine="540"/>
        <w:jc w:val="both"/>
      </w:pPr>
      <w:r>
        <w:rPr>
          <w:sz w:val="20"/>
        </w:rPr>
        <w:t xml:space="preserve">21. В случае выявления Мининвестом Московской области, органами государственного финансового контроля факта нарушения порядка и условий предоставления Субсидии, в том числе в части достижения результатов ее предоставления АО "ТВТ "Дубна" Мининвест Московской области составляет акт о нарушении порядка и условий предоставления Субсидии, в том числе в части достижения результатов ее предоставления (далее - акт), в котором указываются выявленные нарушения и сроки их устранения.</w:t>
      </w:r>
    </w:p>
    <w:p>
      <w:pPr>
        <w:pStyle w:val="0"/>
        <w:spacing w:before="200" w:line-rule="auto"/>
        <w:ind w:firstLine="540"/>
        <w:jc w:val="both"/>
      </w:pPr>
      <w:r>
        <w:rPr>
          <w:sz w:val="20"/>
        </w:rPr>
        <w:t xml:space="preserve">22.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рабочих дней с даты подписания требование о возврате направляется в АО "ОЭЗ ТВТ "Дубна".</w:t>
      </w:r>
    </w:p>
    <w:p>
      <w:pPr>
        <w:pStyle w:val="0"/>
        <w:spacing w:before="200" w:line-rule="auto"/>
        <w:ind w:firstLine="540"/>
        <w:jc w:val="both"/>
      </w:pPr>
      <w:r>
        <w:rPr>
          <w:sz w:val="20"/>
        </w:rPr>
        <w:t xml:space="preserve">23. В случае неисполнения АО "ОЭЗ ТВТ "Дубна"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center"/>
      </w:pPr>
      <w:r>
        <w:rPr>
          <w:sz w:val="20"/>
        </w:rPr>
      </w:r>
    </w:p>
    <w:p>
      <w:pPr>
        <w:pStyle w:val="0"/>
        <w:jc w:val="center"/>
      </w:pPr>
      <w:r>
        <w:rPr>
          <w:sz w:val="20"/>
        </w:rPr>
        <w:t xml:space="preserve">(в ред. </w:t>
      </w:r>
      <w:hyperlink w:history="0" r:id="rId43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6059" w:name="P6059"/>
    <w:bookmarkEnd w:id="6059"/>
    <w:p>
      <w:pPr>
        <w:pStyle w:val="0"/>
        <w:jc w:val="center"/>
      </w:pPr>
      <w:r>
        <w:rPr>
          <w:sz w:val="20"/>
        </w:rPr>
        <w:t xml:space="preserve">Отчет</w:t>
      </w:r>
    </w:p>
    <w:p>
      <w:pPr>
        <w:pStyle w:val="0"/>
        <w:jc w:val="center"/>
      </w:pPr>
      <w:r>
        <w:rPr>
          <w:sz w:val="20"/>
        </w:rPr>
        <w:t xml:space="preserve">о расходовании Субсидии, предоставленной из бюджета</w:t>
      </w:r>
    </w:p>
    <w:p>
      <w:pPr>
        <w:pStyle w:val="0"/>
        <w:jc w:val="center"/>
      </w:pPr>
      <w:r>
        <w:rPr>
          <w:sz w:val="20"/>
        </w:rPr>
        <w:t xml:space="preserve">Московской области АО "ОЭЗ ТВТ "Дубна"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551"/>
        <w:gridCol w:w="1984"/>
        <w:gridCol w:w="1531"/>
        <w:gridCol w:w="1644"/>
        <w:gridCol w:w="1474"/>
        <w:gridCol w:w="1474"/>
        <w:gridCol w:w="1587"/>
        <w:gridCol w:w="1531"/>
        <w:gridCol w:w="1417"/>
        <w:gridCol w:w="1587"/>
        <w:gridCol w:w="1587"/>
        <w:gridCol w:w="1531"/>
        <w:gridCol w:w="1531"/>
        <w:gridCol w:w="1474"/>
        <w:gridCol w:w="1474"/>
      </w:tblGrid>
      <w:tr>
        <w:tc>
          <w:tcPr>
            <w:tcW w:w="680" w:type="dxa"/>
            <w:vMerge w:val="restart"/>
          </w:tcPr>
          <w:p>
            <w:pPr>
              <w:pStyle w:val="0"/>
            </w:pPr>
            <w:r>
              <w:rPr>
                <w:sz w:val="20"/>
              </w:rPr>
            </w:r>
          </w:p>
        </w:tc>
        <w:tc>
          <w:tcPr>
            <w:tcW w:w="2551" w:type="dxa"/>
            <w:vMerge w:val="restart"/>
          </w:tcPr>
          <w:p>
            <w:pPr>
              <w:pStyle w:val="0"/>
              <w:jc w:val="center"/>
            </w:pPr>
            <w:r>
              <w:rPr>
                <w:sz w:val="20"/>
              </w:rPr>
              <w:t xml:space="preserve">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tc>
        <w:tc>
          <w:tcPr>
            <w:tcW w:w="1984" w:type="dxa"/>
            <w:vMerge w:val="restart"/>
          </w:tcPr>
          <w:p>
            <w:pPr>
              <w:pStyle w:val="0"/>
              <w:jc w:val="center"/>
            </w:pPr>
            <w:r>
              <w:rPr>
                <w:sz w:val="20"/>
              </w:rPr>
              <w:t xml:space="preserve">Источники финансирования*</w:t>
            </w:r>
          </w:p>
        </w:tc>
        <w:tc>
          <w:tcPr>
            <w:tcW w:w="1531" w:type="dxa"/>
            <w:vMerge w:val="restart"/>
          </w:tcPr>
          <w:p>
            <w:pPr>
              <w:pStyle w:val="0"/>
              <w:jc w:val="center"/>
            </w:pPr>
            <w:r>
              <w:rPr>
                <w:sz w:val="20"/>
              </w:rPr>
              <w:t xml:space="preserve">Направление расходов*</w:t>
            </w:r>
          </w:p>
        </w:tc>
        <w:tc>
          <w:tcPr>
            <w:gridSpan w:val="3"/>
            <w:tcW w:w="4592" w:type="dxa"/>
          </w:tcPr>
          <w:p>
            <w:pPr>
              <w:pStyle w:val="0"/>
              <w:jc w:val="center"/>
            </w:pPr>
            <w:r>
              <w:rPr>
                <w:sz w:val="20"/>
              </w:rPr>
              <w:t xml:space="preserve">2023 год</w:t>
            </w:r>
          </w:p>
        </w:tc>
        <w:tc>
          <w:tcPr>
            <w:gridSpan w:val="3"/>
            <w:tcW w:w="4535" w:type="dxa"/>
          </w:tcPr>
          <w:p>
            <w:pPr>
              <w:pStyle w:val="0"/>
              <w:jc w:val="center"/>
            </w:pPr>
            <w:r>
              <w:rPr>
                <w:sz w:val="20"/>
              </w:rPr>
              <w:t xml:space="preserve">2024 год</w:t>
            </w:r>
          </w:p>
        </w:tc>
        <w:tc>
          <w:tcPr>
            <w:gridSpan w:val="3"/>
            <w:tcW w:w="4705" w:type="dxa"/>
          </w:tcPr>
          <w:p>
            <w:pPr>
              <w:pStyle w:val="0"/>
              <w:jc w:val="center"/>
            </w:pPr>
            <w:r>
              <w:rPr>
                <w:sz w:val="20"/>
              </w:rPr>
              <w:t xml:space="preserve">2025 год</w:t>
            </w:r>
          </w:p>
        </w:tc>
        <w:tc>
          <w:tcPr>
            <w:gridSpan w:val="3"/>
            <w:tcW w:w="4479" w:type="dxa"/>
          </w:tcPr>
          <w:p>
            <w:pPr>
              <w:pStyle w:val="0"/>
              <w:jc w:val="center"/>
            </w:pPr>
            <w:r>
              <w:rPr>
                <w:sz w:val="20"/>
              </w:rPr>
              <w:t xml:space="preserve">2026 год</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0"/>
              </w:rPr>
              <w:t xml:space="preserve">Плановая сумма использования субсидии, тыс. руб.*</w:t>
            </w:r>
          </w:p>
        </w:tc>
        <w:tc>
          <w:tcPr>
            <w:tcW w:w="1474" w:type="dxa"/>
          </w:tcPr>
          <w:p>
            <w:pPr>
              <w:pStyle w:val="0"/>
              <w:jc w:val="center"/>
            </w:pPr>
            <w:r>
              <w:rPr>
                <w:sz w:val="20"/>
              </w:rPr>
              <w:t xml:space="preserve">Фактически использованная сумма субсидии, тыс. руб.</w:t>
            </w:r>
          </w:p>
        </w:tc>
        <w:tc>
          <w:tcPr>
            <w:tcW w:w="1474" w:type="dxa"/>
          </w:tcPr>
          <w:p>
            <w:pPr>
              <w:pStyle w:val="0"/>
              <w:jc w:val="center"/>
            </w:pPr>
            <w:r>
              <w:rPr>
                <w:sz w:val="20"/>
              </w:rPr>
              <w:t xml:space="preserve">Процент использования субсидии, %</w:t>
            </w:r>
          </w:p>
        </w:tc>
        <w:tc>
          <w:tcPr>
            <w:tcW w:w="1587" w:type="dxa"/>
          </w:tcPr>
          <w:p>
            <w:pPr>
              <w:pStyle w:val="0"/>
              <w:jc w:val="center"/>
            </w:pPr>
            <w:r>
              <w:rPr>
                <w:sz w:val="20"/>
              </w:rPr>
              <w:t xml:space="preserve">Плановая сумма использования субсидии, тыс. руб.*</w:t>
            </w:r>
          </w:p>
        </w:tc>
        <w:tc>
          <w:tcPr>
            <w:tcW w:w="1531" w:type="dxa"/>
          </w:tcPr>
          <w:p>
            <w:pPr>
              <w:pStyle w:val="0"/>
              <w:jc w:val="center"/>
            </w:pPr>
            <w:r>
              <w:rPr>
                <w:sz w:val="20"/>
              </w:rPr>
              <w:t xml:space="preserve">Фактически использованная сумма субсидии, тыс. руб.</w:t>
            </w:r>
          </w:p>
        </w:tc>
        <w:tc>
          <w:tcPr>
            <w:tcW w:w="1417" w:type="dxa"/>
          </w:tcPr>
          <w:p>
            <w:pPr>
              <w:pStyle w:val="0"/>
              <w:jc w:val="center"/>
            </w:pPr>
            <w:r>
              <w:rPr>
                <w:sz w:val="20"/>
              </w:rPr>
              <w:t xml:space="preserve">Процент использования субсидии, %</w:t>
            </w:r>
          </w:p>
        </w:tc>
        <w:tc>
          <w:tcPr>
            <w:tcW w:w="1587" w:type="dxa"/>
          </w:tcPr>
          <w:p>
            <w:pPr>
              <w:pStyle w:val="0"/>
              <w:jc w:val="center"/>
            </w:pPr>
            <w:r>
              <w:rPr>
                <w:sz w:val="20"/>
              </w:rPr>
              <w:t xml:space="preserve">Плановая сумма использования субсидии, тыс. руб.*</w:t>
            </w:r>
          </w:p>
        </w:tc>
        <w:tc>
          <w:tcPr>
            <w:tcW w:w="1587" w:type="dxa"/>
          </w:tcPr>
          <w:p>
            <w:pPr>
              <w:pStyle w:val="0"/>
              <w:jc w:val="center"/>
            </w:pPr>
            <w:r>
              <w:rPr>
                <w:sz w:val="20"/>
              </w:rPr>
              <w:t xml:space="preserve">Фактически использованная сумма субсидии, тыс. руб.</w:t>
            </w:r>
          </w:p>
        </w:tc>
        <w:tc>
          <w:tcPr>
            <w:tcW w:w="1531" w:type="dxa"/>
          </w:tcPr>
          <w:p>
            <w:pPr>
              <w:pStyle w:val="0"/>
              <w:jc w:val="center"/>
            </w:pPr>
            <w:r>
              <w:rPr>
                <w:sz w:val="20"/>
              </w:rPr>
              <w:t xml:space="preserve">Процент использования субсидии, %</w:t>
            </w:r>
          </w:p>
        </w:tc>
        <w:tc>
          <w:tcPr>
            <w:tcW w:w="1531" w:type="dxa"/>
          </w:tcPr>
          <w:p>
            <w:pPr>
              <w:pStyle w:val="0"/>
              <w:jc w:val="center"/>
            </w:pPr>
            <w:r>
              <w:rPr>
                <w:sz w:val="20"/>
              </w:rPr>
              <w:t xml:space="preserve">Плановая сумма использования субсидии, тыс. руб.*</w:t>
            </w:r>
          </w:p>
        </w:tc>
        <w:tc>
          <w:tcPr>
            <w:tcW w:w="1474" w:type="dxa"/>
          </w:tcPr>
          <w:p>
            <w:pPr>
              <w:pStyle w:val="0"/>
              <w:jc w:val="center"/>
            </w:pPr>
            <w:r>
              <w:rPr>
                <w:sz w:val="20"/>
              </w:rPr>
              <w:t xml:space="preserve">Фактически использованная сумма субсидии, тыс. руб.</w:t>
            </w:r>
          </w:p>
        </w:tc>
        <w:tc>
          <w:tcPr>
            <w:tcW w:w="1474" w:type="dxa"/>
          </w:tcPr>
          <w:p>
            <w:pPr>
              <w:pStyle w:val="0"/>
              <w:jc w:val="center"/>
            </w:pPr>
            <w:r>
              <w:rPr>
                <w:sz w:val="20"/>
              </w:rPr>
              <w:t xml:space="preserve">Процент использования субсидии, %</w:t>
            </w:r>
          </w:p>
        </w:tc>
      </w:tr>
      <w:tr>
        <w:tc>
          <w:tcPr>
            <w:tcW w:w="680" w:type="dxa"/>
          </w:tcPr>
          <w:p>
            <w:pPr>
              <w:pStyle w:val="0"/>
              <w:jc w:val="center"/>
            </w:pPr>
            <w:r>
              <w:rPr>
                <w:sz w:val="20"/>
              </w:rPr>
              <w:t xml:space="preserve">1</w:t>
            </w:r>
          </w:p>
        </w:tc>
        <w:tc>
          <w:tcPr>
            <w:tcW w:w="2551" w:type="dxa"/>
          </w:tcPr>
          <w:p>
            <w:pPr>
              <w:pStyle w:val="0"/>
              <w:jc w:val="center"/>
            </w:pPr>
            <w:r>
              <w:rPr>
                <w:sz w:val="20"/>
              </w:rPr>
              <w:t xml:space="preserve">2</w:t>
            </w:r>
          </w:p>
        </w:tc>
        <w:tc>
          <w:tcPr>
            <w:tcW w:w="1984" w:type="dxa"/>
          </w:tcPr>
          <w:p>
            <w:pPr>
              <w:pStyle w:val="0"/>
              <w:jc w:val="center"/>
            </w:pPr>
            <w:r>
              <w:rPr>
                <w:sz w:val="20"/>
              </w:rPr>
              <w:t xml:space="preserve">3</w:t>
            </w:r>
          </w:p>
        </w:tc>
        <w:tc>
          <w:tcPr>
            <w:tcW w:w="1531" w:type="dxa"/>
          </w:tcPr>
          <w:p>
            <w:pPr>
              <w:pStyle w:val="0"/>
              <w:jc w:val="center"/>
            </w:pPr>
            <w:r>
              <w:rPr>
                <w:sz w:val="20"/>
              </w:rPr>
              <w:t xml:space="preserve">4</w:t>
            </w:r>
          </w:p>
        </w:tc>
        <w:tc>
          <w:tcPr>
            <w:tcW w:w="1644" w:type="dxa"/>
          </w:tcPr>
          <w:p>
            <w:pPr>
              <w:pStyle w:val="0"/>
              <w:jc w:val="center"/>
            </w:pPr>
            <w:r>
              <w:rPr>
                <w:sz w:val="20"/>
              </w:rPr>
              <w:t xml:space="preserve">5</w:t>
            </w:r>
          </w:p>
        </w:tc>
        <w:tc>
          <w:tcPr>
            <w:tcW w:w="1474" w:type="dxa"/>
          </w:tcPr>
          <w:p>
            <w:pPr>
              <w:pStyle w:val="0"/>
              <w:jc w:val="center"/>
            </w:pPr>
            <w:r>
              <w:rPr>
                <w:sz w:val="20"/>
              </w:rPr>
              <w:t xml:space="preserve">6</w:t>
            </w:r>
          </w:p>
        </w:tc>
        <w:tc>
          <w:tcPr>
            <w:tcW w:w="1474" w:type="dxa"/>
          </w:tcPr>
          <w:p>
            <w:pPr>
              <w:pStyle w:val="0"/>
              <w:jc w:val="center"/>
            </w:pPr>
            <w:r>
              <w:rPr>
                <w:sz w:val="20"/>
              </w:rPr>
              <w:t xml:space="preserve">7</w:t>
            </w:r>
          </w:p>
        </w:tc>
        <w:tc>
          <w:tcPr>
            <w:tcW w:w="1587" w:type="dxa"/>
          </w:tcPr>
          <w:p>
            <w:pPr>
              <w:pStyle w:val="0"/>
              <w:jc w:val="center"/>
            </w:pPr>
            <w:r>
              <w:rPr>
                <w:sz w:val="20"/>
              </w:rPr>
              <w:t xml:space="preserve">8</w:t>
            </w:r>
          </w:p>
        </w:tc>
        <w:tc>
          <w:tcPr>
            <w:tcW w:w="1531" w:type="dxa"/>
          </w:tcPr>
          <w:p>
            <w:pPr>
              <w:pStyle w:val="0"/>
              <w:jc w:val="center"/>
            </w:pPr>
            <w:r>
              <w:rPr>
                <w:sz w:val="20"/>
              </w:rPr>
              <w:t xml:space="preserve">9</w:t>
            </w:r>
          </w:p>
        </w:tc>
        <w:tc>
          <w:tcPr>
            <w:tcW w:w="1417" w:type="dxa"/>
          </w:tcPr>
          <w:p>
            <w:pPr>
              <w:pStyle w:val="0"/>
              <w:jc w:val="center"/>
            </w:pPr>
            <w:r>
              <w:rPr>
                <w:sz w:val="20"/>
              </w:rPr>
              <w:t xml:space="preserve">10</w:t>
            </w:r>
          </w:p>
        </w:tc>
        <w:tc>
          <w:tcPr>
            <w:tcW w:w="1587" w:type="dxa"/>
          </w:tcPr>
          <w:p>
            <w:pPr>
              <w:pStyle w:val="0"/>
              <w:jc w:val="center"/>
            </w:pPr>
            <w:r>
              <w:rPr>
                <w:sz w:val="20"/>
              </w:rPr>
              <w:t xml:space="preserve">11</w:t>
            </w:r>
          </w:p>
        </w:tc>
        <w:tc>
          <w:tcPr>
            <w:tcW w:w="1587" w:type="dxa"/>
          </w:tcPr>
          <w:p>
            <w:pPr>
              <w:pStyle w:val="0"/>
              <w:jc w:val="center"/>
            </w:pPr>
            <w:r>
              <w:rPr>
                <w:sz w:val="20"/>
              </w:rPr>
              <w:t xml:space="preserve">12</w:t>
            </w:r>
          </w:p>
        </w:tc>
        <w:tc>
          <w:tcPr>
            <w:tcW w:w="1531" w:type="dxa"/>
          </w:tcPr>
          <w:p>
            <w:pPr>
              <w:pStyle w:val="0"/>
              <w:jc w:val="center"/>
            </w:pPr>
            <w:r>
              <w:rPr>
                <w:sz w:val="20"/>
              </w:rPr>
              <w:t xml:space="preserve">13</w:t>
            </w:r>
          </w:p>
        </w:tc>
        <w:tc>
          <w:tcPr>
            <w:tcW w:w="1531" w:type="dxa"/>
          </w:tcPr>
          <w:p>
            <w:pPr>
              <w:pStyle w:val="0"/>
              <w:jc w:val="center"/>
            </w:pPr>
            <w:r>
              <w:rPr>
                <w:sz w:val="20"/>
              </w:rPr>
              <w:t xml:space="preserve">14</w:t>
            </w:r>
          </w:p>
        </w:tc>
        <w:tc>
          <w:tcPr>
            <w:tcW w:w="1474" w:type="dxa"/>
          </w:tcPr>
          <w:p>
            <w:pPr>
              <w:pStyle w:val="0"/>
              <w:jc w:val="center"/>
            </w:pPr>
            <w:r>
              <w:rPr>
                <w:sz w:val="20"/>
              </w:rPr>
              <w:t xml:space="preserve">15</w:t>
            </w:r>
          </w:p>
        </w:tc>
        <w:tc>
          <w:tcPr>
            <w:tcW w:w="1474" w:type="dxa"/>
          </w:tcPr>
          <w:p>
            <w:pPr>
              <w:pStyle w:val="0"/>
              <w:jc w:val="center"/>
            </w:pPr>
            <w:r>
              <w:rPr>
                <w:sz w:val="20"/>
              </w:rPr>
              <w:t xml:space="preserve">16</w:t>
            </w:r>
          </w:p>
        </w:tc>
      </w:tr>
      <w:tr>
        <w:tc>
          <w:tcPr>
            <w:tcW w:w="680" w:type="dxa"/>
            <w:vMerge w:val="restart"/>
          </w:tcPr>
          <w:p>
            <w:pPr>
              <w:pStyle w:val="0"/>
            </w:pPr>
            <w:r>
              <w:rPr>
                <w:sz w:val="20"/>
              </w:rPr>
              <w:t xml:space="preserve">1</w:t>
            </w:r>
          </w:p>
        </w:tc>
        <w:tc>
          <w:tcPr>
            <w:tcW w:w="2551" w:type="dxa"/>
            <w:vMerge w:val="restart"/>
          </w:tcPr>
          <w:p>
            <w:pPr>
              <w:pStyle w:val="0"/>
            </w:pPr>
            <w:r>
              <w:rPr>
                <w:sz w:val="20"/>
              </w:rPr>
            </w:r>
          </w:p>
        </w:tc>
        <w:tc>
          <w:tcPr>
            <w:tcW w:w="1984" w:type="dxa"/>
            <w:vMerge w:val="restart"/>
          </w:tcPr>
          <w:p>
            <w:pPr>
              <w:pStyle w:val="0"/>
            </w:pPr>
            <w:r>
              <w:rPr>
                <w:sz w:val="20"/>
              </w:rPr>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vMerge w:val="continue"/>
          </w:tcPr>
          <w:p/>
        </w:tc>
        <w:tc>
          <w:tcPr>
            <w:vMerge w:val="continue"/>
          </w:tcPr>
          <w:p/>
        </w:tc>
        <w:tc>
          <w:tcPr>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680" w:type="dxa"/>
            <w:vMerge w:val="restart"/>
          </w:tcPr>
          <w:p>
            <w:pPr>
              <w:pStyle w:val="0"/>
            </w:pPr>
            <w:r>
              <w:rPr>
                <w:sz w:val="20"/>
              </w:rPr>
            </w:r>
          </w:p>
        </w:tc>
        <w:tc>
          <w:tcPr>
            <w:tcW w:w="2551" w:type="dxa"/>
            <w:vMerge w:val="restart"/>
          </w:tcPr>
          <w:p>
            <w:pPr>
              <w:pStyle w:val="0"/>
            </w:pPr>
            <w:r>
              <w:rPr>
                <w:sz w:val="20"/>
              </w:rPr>
            </w:r>
          </w:p>
        </w:tc>
        <w:tc>
          <w:tcPr>
            <w:tcW w:w="1984" w:type="dxa"/>
            <w:vMerge w:val="restart"/>
          </w:tcPr>
          <w:p>
            <w:pPr>
              <w:pStyle w:val="0"/>
            </w:pPr>
            <w:r>
              <w:rPr>
                <w:sz w:val="20"/>
              </w:rPr>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vMerge w:val="continue"/>
          </w:tcPr>
          <w:p/>
        </w:tc>
        <w:tc>
          <w:tcPr>
            <w:vMerge w:val="continue"/>
          </w:tcPr>
          <w:p/>
        </w:tc>
        <w:tc>
          <w:tcPr>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3"/>
            <w:tcW w:w="5215" w:type="dxa"/>
            <w:vMerge w:val="restart"/>
          </w:tcPr>
          <w:p>
            <w:pPr>
              <w:pStyle w:val="0"/>
            </w:pPr>
            <w:r>
              <w:rPr>
                <w:sz w:val="20"/>
              </w:rPr>
              <w:t xml:space="preserve">Всего по объектам:</w:t>
            </w: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gridSpan w:val="3"/>
            <w:vMerge w:val="continue"/>
          </w:tcPr>
          <w:p/>
        </w:tc>
        <w:tc>
          <w:tcPr>
            <w:tcW w:w="1531"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r>
    </w:p>
    <w:p>
      <w:pPr>
        <w:pStyle w:val="1"/>
        <w:jc w:val="both"/>
      </w:pPr>
      <w:r>
        <w:rPr>
          <w:sz w:val="20"/>
        </w:rPr>
        <w:t xml:space="preserve">Приложение:  документы, подтверждающие проведение (выполнение)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___________ 20__ года</w:t>
      </w:r>
    </w:p>
    <w:p>
      <w:pPr>
        <w:pStyle w:val="0"/>
        <w:jc w:val="both"/>
      </w:pPr>
      <w:r>
        <w:rPr>
          <w:sz w:val="20"/>
        </w:rPr>
      </w:r>
    </w:p>
    <w:p>
      <w:pPr>
        <w:pStyle w:val="0"/>
        <w:outlineLvl w:val="4"/>
        <w:jc w:val="right"/>
      </w:pPr>
      <w:r>
        <w:rPr>
          <w:sz w:val="20"/>
        </w:rPr>
        <w:t xml:space="preserve">Таблица 2</w:t>
      </w:r>
    </w:p>
    <w:p>
      <w:pPr>
        <w:pStyle w:val="0"/>
        <w:jc w:val="center"/>
      </w:pPr>
      <w:r>
        <w:rPr>
          <w:sz w:val="20"/>
        </w:rPr>
      </w:r>
    </w:p>
    <w:p>
      <w:pPr>
        <w:pStyle w:val="0"/>
        <w:jc w:val="center"/>
      </w:pPr>
      <w:r>
        <w:rPr>
          <w:sz w:val="20"/>
        </w:rPr>
        <w:t xml:space="preserve">(в ред. </w:t>
      </w:r>
      <w:hyperlink w:history="0" r:id="rId43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bookmarkStart w:id="6211" w:name="P6211"/>
    <w:bookmarkEnd w:id="6211"/>
    <w:p>
      <w:pPr>
        <w:pStyle w:val="0"/>
        <w:jc w:val="center"/>
      </w:pPr>
      <w:r>
        <w:rPr>
          <w:sz w:val="20"/>
        </w:rPr>
        <w:t xml:space="preserve">Отчет</w:t>
      </w:r>
    </w:p>
    <w:p>
      <w:pPr>
        <w:pStyle w:val="0"/>
        <w:jc w:val="center"/>
      </w:pPr>
      <w:r>
        <w:rPr>
          <w:sz w:val="20"/>
        </w:rPr>
        <w:t xml:space="preserve">о достижении АО "ОЭЗ ТВТ "Дубна" результата предоставления</w:t>
      </w:r>
    </w:p>
    <w:p>
      <w:pPr>
        <w:pStyle w:val="0"/>
        <w:jc w:val="center"/>
      </w:pPr>
      <w:r>
        <w:rPr>
          <w:sz w:val="20"/>
        </w:rPr>
        <w:t xml:space="preserve">Субсидии из бюджета Московской области на строительство,</w:t>
      </w:r>
    </w:p>
    <w:p>
      <w:pPr>
        <w:pStyle w:val="0"/>
        <w:jc w:val="center"/>
      </w:pPr>
      <w:r>
        <w:rPr>
          <w:sz w:val="20"/>
        </w:rPr>
        <w:t xml:space="preserve">реконструкцию, в том числе с элементами реставрации,</w:t>
      </w:r>
    </w:p>
    <w:p>
      <w:pPr>
        <w:pStyle w:val="0"/>
        <w:jc w:val="center"/>
      </w:pPr>
      <w:r>
        <w:rPr>
          <w:sz w:val="20"/>
        </w:rPr>
        <w:t xml:space="preserve">техническое перевооружение объектов капитального</w:t>
      </w:r>
    </w:p>
    <w:p>
      <w:pPr>
        <w:pStyle w:val="0"/>
        <w:jc w:val="center"/>
      </w:pPr>
      <w:r>
        <w:rPr>
          <w:sz w:val="20"/>
        </w:rPr>
        <w:t xml:space="preserve">строительства, проектные и изыскательские работы, работы</w:t>
      </w:r>
    </w:p>
    <w:p>
      <w:pPr>
        <w:pStyle w:val="0"/>
        <w:jc w:val="center"/>
      </w:pPr>
      <w:r>
        <w:rPr>
          <w:sz w:val="20"/>
        </w:rPr>
        <w:t xml:space="preserve">по разработке проектно-сметной документации для объектов</w:t>
      </w:r>
    </w:p>
    <w:p>
      <w:pPr>
        <w:pStyle w:val="0"/>
        <w:jc w:val="center"/>
      </w:pPr>
      <w:r>
        <w:rPr>
          <w:sz w:val="20"/>
        </w:rPr>
        <w:t xml:space="preserve">инфраструктуры, а также технологическое присоединение</w:t>
      </w:r>
    </w:p>
    <w:p>
      <w:pPr>
        <w:pStyle w:val="0"/>
        <w:jc w:val="center"/>
      </w:pPr>
      <w:r>
        <w:rPr>
          <w:sz w:val="20"/>
        </w:rPr>
        <w:t xml:space="preserve">объектов инфраструктуры, находящихся в его собственности,</w:t>
      </w:r>
    </w:p>
    <w:p>
      <w:pPr>
        <w:pStyle w:val="0"/>
        <w:jc w:val="center"/>
      </w:pPr>
      <w:r>
        <w:rPr>
          <w:sz w:val="20"/>
        </w:rPr>
        <w:t xml:space="preserve">и (или) на приобретение им объектов недвижимого имущества,</w:t>
      </w:r>
    </w:p>
    <w:p>
      <w:pPr>
        <w:pStyle w:val="0"/>
        <w:jc w:val="center"/>
      </w:pPr>
      <w:r>
        <w:rPr>
          <w:sz w:val="20"/>
        </w:rPr>
        <w:t xml:space="preserve">по состоянию на ___________</w:t>
      </w:r>
    </w:p>
    <w:p>
      <w:pPr>
        <w:pStyle w:val="0"/>
        <w:jc w:val="both"/>
      </w:pPr>
      <w:r>
        <w:rPr>
          <w:sz w:val="20"/>
        </w:rPr>
      </w:r>
    </w:p>
    <w:p>
      <w:pPr>
        <w:pStyle w:val="3"/>
        <w:jc w:val="both"/>
      </w:pPr>
      <w:r>
        <w:rPr>
          <w:sz w:val="20"/>
        </w:rPr>
        <w:t xml:space="preserve">┌─────┬──────────────┬────────────────────┬─────────────┬───────────┬────────────┐</w:t>
      </w:r>
    </w:p>
    <w:p>
      <w:pPr>
        <w:pStyle w:val="3"/>
        <w:jc w:val="both"/>
      </w:pPr>
      <w:r>
        <w:rPr>
          <w:sz w:val="20"/>
        </w:rPr>
        <w:t xml:space="preserve">│N п/п│Наименование  │Наименование объекта│Плановое     │Достигнутое│Информация о│</w:t>
      </w:r>
    </w:p>
    <w:p>
      <w:pPr>
        <w:pStyle w:val="3"/>
        <w:jc w:val="both"/>
      </w:pPr>
      <w:r>
        <w:rPr>
          <w:sz w:val="20"/>
        </w:rPr>
        <w:t xml:space="preserve">│     │результата    │капитального        │значение,    │значение   │выполненных │</w:t>
      </w:r>
    </w:p>
    <w:p>
      <w:pPr>
        <w:pStyle w:val="3"/>
        <w:jc w:val="both"/>
      </w:pPr>
      <w:r>
        <w:rPr>
          <w:sz w:val="20"/>
        </w:rPr>
        <w:t xml:space="preserve">│     │предоставления│строительства       │установленное│           │       3    │</w:t>
      </w:r>
    </w:p>
    <w:p>
      <w:pPr>
        <w:pStyle w:val="3"/>
        <w:jc w:val="both"/>
      </w:pPr>
      <w:r>
        <w:rPr>
          <w:sz w:val="20"/>
        </w:rPr>
        <w:t xml:space="preserve">│     │        1     │согласно проектной  │в Соглашении │           │работах     │</w:t>
      </w:r>
    </w:p>
    <w:p>
      <w:pPr>
        <w:pStyle w:val="3"/>
        <w:jc w:val="both"/>
      </w:pPr>
      <w:r>
        <w:rPr>
          <w:sz w:val="20"/>
        </w:rPr>
        <w:t xml:space="preserve">│     │субсидии      │документации и (или)│             │           │            │</w:t>
      </w:r>
    </w:p>
    <w:p>
      <w:pPr>
        <w:pStyle w:val="3"/>
        <w:jc w:val="both"/>
      </w:pPr>
      <w:r>
        <w:rPr>
          <w:sz w:val="20"/>
        </w:rPr>
        <w:t xml:space="preserve">│     │              │наименование объекта│             │           │            │</w:t>
      </w:r>
    </w:p>
    <w:p>
      <w:pPr>
        <w:pStyle w:val="3"/>
        <w:jc w:val="both"/>
      </w:pPr>
      <w:r>
        <w:rPr>
          <w:sz w:val="20"/>
        </w:rPr>
        <w:t xml:space="preserve">│     │              │недвижимого         │             │           │            │</w:t>
      </w:r>
    </w:p>
    <w:p>
      <w:pPr>
        <w:pStyle w:val="3"/>
        <w:jc w:val="both"/>
      </w:pPr>
      <w:r>
        <w:rPr>
          <w:sz w:val="20"/>
        </w:rPr>
        <w:t xml:space="preserve">│     │              │имущества согласно  │             │           │            │</w:t>
      </w:r>
    </w:p>
    <w:p>
      <w:pPr>
        <w:pStyle w:val="3"/>
        <w:jc w:val="both"/>
      </w:pPr>
      <w:r>
        <w:rPr>
          <w:sz w:val="20"/>
        </w:rPr>
        <w:t xml:space="preserve">│     │              │паспорту            │             │           │            │</w:t>
      </w:r>
    </w:p>
    <w:p>
      <w:pPr>
        <w:pStyle w:val="3"/>
        <w:jc w:val="both"/>
      </w:pPr>
      <w:r>
        <w:rPr>
          <w:sz w:val="20"/>
        </w:rPr>
        <w:t xml:space="preserve">│     │              │инвестиционного     │             │           │            │</w:t>
      </w:r>
    </w:p>
    <w:p>
      <w:pPr>
        <w:pStyle w:val="3"/>
        <w:jc w:val="both"/>
      </w:pPr>
      <w:r>
        <w:rPr>
          <w:sz w:val="20"/>
        </w:rPr>
        <w:t xml:space="preserve">│     │              │       2            │             │           │            │</w:t>
      </w:r>
    </w:p>
    <w:p>
      <w:pPr>
        <w:pStyle w:val="3"/>
        <w:jc w:val="both"/>
      </w:pPr>
      <w:r>
        <w:rPr>
          <w:sz w:val="20"/>
        </w:rPr>
        <w:t xml:space="preserve">│     │              │проекта             │             │           │            │</w:t>
      </w:r>
    </w:p>
    <w:p>
      <w:pPr>
        <w:pStyle w:val="3"/>
        <w:jc w:val="both"/>
      </w:pPr>
      <w:r>
        <w:rPr>
          <w:sz w:val="20"/>
        </w:rPr>
        <w:t xml:space="preserve">├─────┼──────────────┼────────────────────┼─────────────┼───────────┼────────────┤</w:t>
      </w:r>
    </w:p>
    <w:p>
      <w:pPr>
        <w:pStyle w:val="3"/>
        <w:jc w:val="both"/>
      </w:pPr>
      <w:r>
        <w:rPr>
          <w:sz w:val="20"/>
        </w:rPr>
        <w:t xml:space="preserve">│  1  │      2       │         3          │      4      │     5     │     6      │</w:t>
      </w:r>
    </w:p>
    <w:p>
      <w:pPr>
        <w:pStyle w:val="3"/>
        <w:jc w:val="both"/>
      </w:pPr>
      <w:r>
        <w:rPr>
          <w:sz w:val="20"/>
        </w:rPr>
        <w:t xml:space="preserve">├─────┼──────────────┼────────────────────┼─────────────┼───────────┼────────────┤</w:t>
      </w:r>
    </w:p>
    <w:p>
      <w:pPr>
        <w:pStyle w:val="3"/>
        <w:jc w:val="both"/>
      </w:pPr>
      <w:r>
        <w:rPr>
          <w:sz w:val="20"/>
        </w:rPr>
        <w:t xml:space="preserve">│1    │              │                    │             │           │            │</w:t>
      </w:r>
    </w:p>
    <w:p>
      <w:pPr>
        <w:pStyle w:val="3"/>
        <w:jc w:val="both"/>
      </w:pPr>
      <w:r>
        <w:rPr>
          <w:sz w:val="20"/>
        </w:rPr>
        <w:t xml:space="preserve">│     │              ├────────────────────┼─────────────┼───────────┼────────────┤</w:t>
      </w:r>
    </w:p>
    <w:p>
      <w:pPr>
        <w:pStyle w:val="3"/>
        <w:jc w:val="both"/>
      </w:pPr>
      <w:r>
        <w:rPr>
          <w:sz w:val="20"/>
        </w:rPr>
        <w:t xml:space="preserve">│     │              │                    │             │           │            │</w:t>
      </w:r>
    </w:p>
    <w:p>
      <w:pPr>
        <w:pStyle w:val="3"/>
        <w:jc w:val="both"/>
      </w:pPr>
      <w:r>
        <w:rPr>
          <w:sz w:val="20"/>
        </w:rPr>
        <w:t xml:space="preserve">│     │              ├────────────────────┼─────────────┼───────────┼────────────┤</w:t>
      </w:r>
    </w:p>
    <w:p>
      <w:pPr>
        <w:pStyle w:val="3"/>
        <w:jc w:val="both"/>
      </w:pPr>
      <w:r>
        <w:rPr>
          <w:sz w:val="20"/>
        </w:rPr>
        <w:t xml:space="preserve">│     │              │                    │             │           │            │</w:t>
      </w:r>
    </w:p>
    <w:p>
      <w:pPr>
        <w:pStyle w:val="3"/>
        <w:jc w:val="both"/>
      </w:pPr>
      <w:r>
        <w:rPr>
          <w:sz w:val="20"/>
        </w:rPr>
        <w:t xml:space="preserve">└─────┴──────────────┴────────────────────┴─────────────┴───────────┴────────────┘</w:t>
      </w:r>
    </w:p>
    <w:p>
      <w:pPr>
        <w:pStyle w:val="0"/>
        <w:jc w:val="both"/>
      </w:pPr>
      <w:r>
        <w:rPr>
          <w:sz w:val="20"/>
        </w:rPr>
      </w:r>
    </w:p>
    <w:p>
      <w:pPr>
        <w:pStyle w:val="1"/>
        <w:jc w:val="both"/>
      </w:pPr>
      <w:r>
        <w:rPr>
          <w:sz w:val="20"/>
        </w:rPr>
        <w:t xml:space="preserve">--------------------------------</w:t>
      </w:r>
    </w:p>
    <w:p>
      <w:pPr>
        <w:pStyle w:val="1"/>
        <w:jc w:val="both"/>
      </w:pPr>
      <w:r>
        <w:rPr>
          <w:sz w:val="20"/>
        </w:rPr>
        <w:t xml:space="preserve">1</w:t>
      </w:r>
    </w:p>
    <w:p>
      <w:pPr>
        <w:pStyle w:val="1"/>
        <w:jc w:val="both"/>
      </w:pPr>
      <w:r>
        <w:rPr>
          <w:sz w:val="20"/>
        </w:rPr>
        <w:t xml:space="preserve"> Указывается в соответствии с порядком предоставления субсидии.</w:t>
      </w:r>
    </w:p>
    <w:p>
      <w:pPr>
        <w:pStyle w:val="1"/>
        <w:jc w:val="both"/>
      </w:pPr>
      <w:r>
        <w:rPr>
          <w:sz w:val="20"/>
        </w:rPr>
        <w:t xml:space="preserve">2</w:t>
      </w:r>
    </w:p>
    <w:p>
      <w:pPr>
        <w:pStyle w:val="1"/>
        <w:jc w:val="both"/>
      </w:pPr>
      <w:r>
        <w:rPr>
          <w:sz w:val="20"/>
        </w:rPr>
        <w:t xml:space="preserve"> Указывается  в   соответствии   с  адресным  перечнем  на  соответствующий</w:t>
      </w:r>
    </w:p>
    <w:p>
      <w:pPr>
        <w:pStyle w:val="1"/>
        <w:jc w:val="both"/>
      </w:pPr>
      <w:r>
        <w:rPr>
          <w:sz w:val="20"/>
        </w:rPr>
        <w:t xml:space="preserve">финансовый год, по итогам которого представляется отчет.</w:t>
      </w:r>
    </w:p>
    <w:p>
      <w:pPr>
        <w:pStyle w:val="1"/>
        <w:jc w:val="both"/>
      </w:pPr>
      <w:r>
        <w:rPr>
          <w:sz w:val="20"/>
        </w:rPr>
        <w:t xml:space="preserve">3</w:t>
      </w:r>
    </w:p>
    <w:p>
      <w:pPr>
        <w:pStyle w:val="1"/>
        <w:jc w:val="both"/>
      </w:pPr>
      <w:r>
        <w:rPr>
          <w:sz w:val="20"/>
        </w:rPr>
        <w:t xml:space="preserve"> Указывается процент  строительной  готовности объекта с указанием краткого</w:t>
      </w:r>
    </w:p>
    <w:p>
      <w:pPr>
        <w:pStyle w:val="1"/>
        <w:jc w:val="both"/>
      </w:pPr>
      <w:r>
        <w:rPr>
          <w:sz w:val="20"/>
        </w:rPr>
        <w:t xml:space="preserve">описания работ, услуг, заключенных контрактов.</w:t>
      </w:r>
    </w:p>
    <w:p>
      <w:pPr>
        <w:pStyle w:val="1"/>
        <w:jc w:val="both"/>
      </w:pPr>
      <w:r>
        <w:rPr>
          <w:sz w:val="20"/>
        </w:rPr>
      </w:r>
    </w:p>
    <w:p>
      <w:pPr>
        <w:pStyle w:val="1"/>
        <w:jc w:val="both"/>
      </w:pPr>
      <w:r>
        <w:rPr>
          <w:sz w:val="20"/>
        </w:rPr>
        <w:t xml:space="preserve">Приложение:  документы, подтверждающие проведение (выполнение) мероприятий,</w:t>
      </w:r>
    </w:p>
    <w:p>
      <w:pPr>
        <w:pStyle w:val="1"/>
        <w:jc w:val="both"/>
      </w:pPr>
      <w:r>
        <w:rPr>
          <w:sz w:val="20"/>
        </w:rPr>
        <w:t xml:space="preserve">представлены в формате pdf (word, excel) на _ листах в 1 экз.</w:t>
      </w:r>
    </w:p>
    <w:p>
      <w:pPr>
        <w:pStyle w:val="1"/>
        <w:jc w:val="both"/>
      </w:pPr>
      <w:r>
        <w:rPr>
          <w:sz w:val="20"/>
        </w:rPr>
      </w:r>
    </w:p>
    <w:p>
      <w:pPr>
        <w:pStyle w:val="1"/>
        <w:jc w:val="both"/>
      </w:pPr>
      <w:r>
        <w:rPr>
          <w:sz w:val="20"/>
        </w:rPr>
        <w:t xml:space="preserve">Заместитель министра инвестиций,</w:t>
      </w:r>
    </w:p>
    <w:p>
      <w:pPr>
        <w:pStyle w:val="1"/>
        <w:jc w:val="both"/>
      </w:pPr>
      <w:r>
        <w:rPr>
          <w:sz w:val="20"/>
        </w:rPr>
        <w:t xml:space="preserve">промышленности и науки Московской области _________________/______________/</w:t>
      </w:r>
    </w:p>
    <w:p>
      <w:pPr>
        <w:pStyle w:val="1"/>
        <w:jc w:val="both"/>
      </w:pPr>
      <w:r>
        <w:rPr>
          <w:sz w:val="20"/>
        </w:rPr>
      </w:r>
    </w:p>
    <w:p>
      <w:pPr>
        <w:pStyle w:val="1"/>
        <w:jc w:val="both"/>
      </w:pPr>
      <w:r>
        <w:rPr>
          <w:sz w:val="20"/>
        </w:rPr>
        <w:t xml:space="preserve">Исполнитель ___________________/______________/</w:t>
      </w:r>
    </w:p>
    <w:p>
      <w:pPr>
        <w:pStyle w:val="1"/>
        <w:jc w:val="both"/>
      </w:pPr>
      <w:r>
        <w:rPr>
          <w:sz w:val="20"/>
        </w:rPr>
        <w:t xml:space="preserve">"__" ___________ 20__ года</w:t>
      </w:r>
    </w:p>
    <w:p>
      <w:pPr>
        <w:pStyle w:val="0"/>
        <w:jc w:val="both"/>
      </w:pPr>
      <w:r>
        <w:rPr>
          <w:sz w:val="20"/>
        </w:rPr>
      </w:r>
    </w:p>
    <w:p>
      <w:pPr>
        <w:pStyle w:val="2"/>
        <w:outlineLvl w:val="3"/>
        <w:jc w:val="center"/>
      </w:pPr>
      <w:r>
        <w:rPr>
          <w:sz w:val="20"/>
        </w:rPr>
        <w:t xml:space="preserve">5.3.11. Порядок предоставления из бюджета Московской</w:t>
      </w:r>
    </w:p>
    <w:p>
      <w:pPr>
        <w:pStyle w:val="2"/>
        <w:jc w:val="center"/>
      </w:pPr>
      <w:r>
        <w:rPr>
          <w:sz w:val="20"/>
        </w:rPr>
        <w:t xml:space="preserve">области грантов в форме субсидий юридическим лицам (за</w:t>
      </w:r>
    </w:p>
    <w:p>
      <w:pPr>
        <w:pStyle w:val="2"/>
        <w:jc w:val="center"/>
      </w:pPr>
      <w:r>
        <w:rPr>
          <w:sz w:val="20"/>
        </w:rPr>
        <w:t xml:space="preserve">исключением государственных (муниципальных) учреждений)</w:t>
      </w:r>
    </w:p>
    <w:p>
      <w:pPr>
        <w:pStyle w:val="2"/>
        <w:jc w:val="center"/>
      </w:pPr>
      <w:r>
        <w:rPr>
          <w:sz w:val="20"/>
        </w:rPr>
        <w:t xml:space="preserve">на реализацию проектов в сферах науки, технологий, техники</w:t>
      </w:r>
    </w:p>
    <w:p>
      <w:pPr>
        <w:pStyle w:val="2"/>
        <w:jc w:val="center"/>
      </w:pPr>
      <w:r>
        <w:rPr>
          <w:sz w:val="20"/>
        </w:rPr>
        <w:t xml:space="preserve">и инноваций в рамках реализации мероприятия 04.01 "Поддержка</w:t>
      </w:r>
    </w:p>
    <w:p>
      <w:pPr>
        <w:pStyle w:val="2"/>
        <w:jc w:val="center"/>
      </w:pPr>
      <w:r>
        <w:rPr>
          <w:sz w:val="20"/>
        </w:rPr>
        <w:t xml:space="preserve">организаций, осуществляющих деятельность в сферах науки,</w:t>
      </w:r>
    </w:p>
    <w:p>
      <w:pPr>
        <w:pStyle w:val="2"/>
        <w:jc w:val="center"/>
      </w:pPr>
      <w:r>
        <w:rPr>
          <w:sz w:val="20"/>
        </w:rPr>
        <w:t xml:space="preserve">технологий, техники и инноваций в целях реализации научных,</w:t>
      </w:r>
    </w:p>
    <w:p>
      <w:pPr>
        <w:pStyle w:val="2"/>
        <w:jc w:val="center"/>
      </w:pPr>
      <w:r>
        <w:rPr>
          <w:sz w:val="20"/>
        </w:rPr>
        <w:t xml:space="preserve">научно-технических и инновационных проектов"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(введен </w:t>
      </w:r>
      <w:hyperlink w:history="0" r:id="rId44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грантов в форме субсидий юридическим лицам (за исключением государственных (муниципальных) учреждений) на реализацию проектов в сферах науки, технологий, техники и инноваций (далее соответственно - Порядок, Грант) в рамках </w:t>
      </w:r>
      <w:hyperlink w:history="0" w:anchor="P1571" w:tooltip="Мероприятие 04.01. Поддержка организаций, осуществляющих деятельность в сферах науки, технологий, техники и инноваций в целях реализации научных, научно-технических и инновационных проектов">
        <w:r>
          <w:rPr>
            <w:sz w:val="20"/>
            <w:color w:val="0000ff"/>
          </w:rPr>
          <w:t xml:space="preserve">мероприятия 04.01</w:t>
        </w:r>
      </w:hyperlink>
      <w:r>
        <w:rPr>
          <w:sz w:val="20"/>
        </w:rPr>
        <w:t xml:space="preserve"> "Поддержка организаций, осуществляющих деятельность в сферах науки, технологий, техники и инноваций в целях реализации научных, научно-технических и инновационных проектов" Подпрограммы 1 государственной программы разработан в соответствии со </w:t>
      </w:r>
      <w:hyperlink w:history="0" r:id="rId4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44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Гранта, а также результат его предоставления;</w:t>
      </w:r>
    </w:p>
    <w:p>
      <w:pPr>
        <w:pStyle w:val="0"/>
        <w:spacing w:before="200" w:line-rule="auto"/>
        <w:ind w:firstLine="540"/>
        <w:jc w:val="both"/>
      </w:pPr>
      <w:r>
        <w:rPr>
          <w:sz w:val="20"/>
        </w:rPr>
        <w:t xml:space="preserve">порядок проведения отбора получателей Гранта;</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Гранта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 применяются в тех же значениях, в которых они определены </w:t>
      </w:r>
      <w:hyperlink w:history="0" r:id="rId443" w:tooltip="Закон Московской области от 03.04.2013 N 27/2013-ОЗ (ред. от 28.01.2019) &quot;О грантах Правительства Московской области в сферах науки, технологий, техники и инноваций&quot; (принят постановлением Мособлдумы от 21.03.2013 N 8/47-П) {КонсультантПлюс}">
        <w:r>
          <w:rPr>
            <w:sz w:val="20"/>
            <w:color w:val="0000ff"/>
          </w:rPr>
          <w:t xml:space="preserve">Законом</w:t>
        </w:r>
      </w:hyperlink>
      <w:r>
        <w:rPr>
          <w:sz w:val="20"/>
        </w:rPr>
        <w:t xml:space="preserve"> Московской области N 27/2013-ОЗ "О грантах Правительства Московской области в сферах науки, технологий, техники и инноваций".</w:t>
      </w:r>
    </w:p>
    <w:p>
      <w:pPr>
        <w:pStyle w:val="0"/>
        <w:spacing w:before="200" w:line-rule="auto"/>
        <w:ind w:firstLine="540"/>
        <w:jc w:val="both"/>
      </w:pPr>
      <w:r>
        <w:rPr>
          <w:sz w:val="20"/>
        </w:rPr>
        <w:t xml:space="preserve">2. Грант предоставляется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на соответствующий финансовый год и на плановый период и в пределах утвержденных лимитов бюджетных обязательств, а также лимитов бюджетных обязательств на предоставление Грантов, доведенных до Министерства инвестиций, промышленности и науки Московской области (далее - Мининвест Московской области).</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Гранта - финансовое обеспечение затрат.</w:t>
      </w:r>
    </w:p>
    <w:bookmarkStart w:id="6289" w:name="P6289"/>
    <w:bookmarkEnd w:id="6289"/>
    <w:p>
      <w:pPr>
        <w:pStyle w:val="0"/>
        <w:spacing w:before="200" w:line-rule="auto"/>
        <w:ind w:firstLine="540"/>
        <w:jc w:val="both"/>
      </w:pPr>
      <w:r>
        <w:rPr>
          <w:sz w:val="20"/>
        </w:rPr>
        <w:t xml:space="preserve">5. Целью предоставления Гранта является финансовое обеспечение затрат получателя Гранта на осуществление научных, научно-технических и инновационных проектов, особо значимых для Московской области включенных в Перечень тем научных исследований и разработок, утвержденный Мининвестом Московской области (далее соответственно - проекты, Перечень тем).</w:t>
      </w:r>
    </w:p>
    <w:p>
      <w:pPr>
        <w:pStyle w:val="0"/>
        <w:spacing w:before="200" w:line-rule="auto"/>
        <w:ind w:firstLine="540"/>
        <w:jc w:val="both"/>
      </w:pPr>
      <w:r>
        <w:rPr>
          <w:sz w:val="20"/>
        </w:rPr>
        <w:t xml:space="preserve">6.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Гранта</w:t>
      </w:r>
    </w:p>
    <w:p>
      <w:pPr>
        <w:pStyle w:val="0"/>
        <w:jc w:val="both"/>
      </w:pPr>
      <w:r>
        <w:rPr>
          <w:sz w:val="20"/>
        </w:rPr>
      </w:r>
    </w:p>
    <w:p>
      <w:pPr>
        <w:pStyle w:val="0"/>
        <w:ind w:firstLine="540"/>
        <w:jc w:val="both"/>
      </w:pPr>
      <w:r>
        <w:rPr>
          <w:sz w:val="20"/>
        </w:rPr>
        <w:t xml:space="preserve">7. Отбор получателей Грантов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получателей Гранта - конкурс (далее - отбор).</w:t>
      </w:r>
    </w:p>
    <w:p>
      <w:pPr>
        <w:pStyle w:val="0"/>
        <w:spacing w:before="200" w:line-rule="auto"/>
        <w:ind w:firstLine="540"/>
        <w:jc w:val="both"/>
      </w:pPr>
      <w:r>
        <w:rPr>
          <w:sz w:val="20"/>
        </w:rPr>
        <w:t xml:space="preserve">Получатели Грантов определяются по результатам отбора исходя из наилучших условий достижения результата предоставления Гранта.</w:t>
      </w:r>
    </w:p>
    <w:p>
      <w:pPr>
        <w:pStyle w:val="0"/>
        <w:spacing w:before="200" w:line-rule="auto"/>
        <w:ind w:firstLine="540"/>
        <w:jc w:val="both"/>
      </w:pPr>
      <w:r>
        <w:rPr>
          <w:sz w:val="20"/>
        </w:rPr>
        <w:t xml:space="preserve">Наилучшие условия достижения результата предоставления Гранта определяются исходя из критериев оценки заявок об участии в отборе, представленных участниками отбора (далее - заявки).</w:t>
      </w:r>
    </w:p>
    <w:bookmarkStart w:id="6299" w:name="P6299"/>
    <w:bookmarkEnd w:id="6299"/>
    <w:p>
      <w:pPr>
        <w:pStyle w:val="0"/>
        <w:spacing w:before="200" w:line-rule="auto"/>
        <w:ind w:firstLine="540"/>
        <w:jc w:val="both"/>
      </w:pPr>
      <w:r>
        <w:rPr>
          <w:sz w:val="20"/>
        </w:rPr>
        <w:t xml:space="preserve">9. Категория получателей Гранта: юридические лица, зарегистрированные в установленном порядке и осуществляющие деятельность на территории Московской области.</w:t>
      </w:r>
    </w:p>
    <w:p>
      <w:pPr>
        <w:pStyle w:val="0"/>
        <w:spacing w:before="200" w:line-rule="auto"/>
        <w:ind w:firstLine="540"/>
        <w:jc w:val="both"/>
      </w:pPr>
      <w:hyperlink w:history="0" w:anchor="P6585" w:tooltip="КРИТЕРИИ ОЦЕНКИ ЗАЯВОК ЮРИДИЧЕСКИХ ЛИЦ МОСКОВСКОЙ ОБЛАСТИ">
        <w:r>
          <w:rPr>
            <w:sz w:val="20"/>
            <w:color w:val="0000ff"/>
          </w:rPr>
          <w:t xml:space="preserve">Критерии</w:t>
        </w:r>
      </w:hyperlink>
      <w:r>
        <w:rPr>
          <w:sz w:val="20"/>
        </w:rPr>
        <w:t xml:space="preserve"> оценки заявок, их весовое значение в общей оценке, необходимая для представления участником отбора информация по каждому критерию оценки установлены в таблице 1 к Порядку.</w:t>
      </w:r>
    </w:p>
    <w:p>
      <w:pPr>
        <w:pStyle w:val="0"/>
        <w:spacing w:before="200" w:line-rule="auto"/>
        <w:ind w:firstLine="540"/>
        <w:jc w:val="both"/>
      </w:pPr>
      <w:r>
        <w:rPr>
          <w:sz w:val="20"/>
        </w:rPr>
        <w:t xml:space="preserve">Сумма величин значимости всех применяемых критериев оценки составляет 100 процентов.</w:t>
      </w:r>
    </w:p>
    <w:p>
      <w:pPr>
        <w:pStyle w:val="0"/>
        <w:spacing w:before="200" w:line-rule="auto"/>
        <w:ind w:firstLine="540"/>
        <w:jc w:val="both"/>
      </w:pPr>
      <w:r>
        <w:rPr>
          <w:sz w:val="20"/>
        </w:rPr>
        <w:t xml:space="preserve">Начисление баллов по критериям оценки осуществляется с использованием 100-балльной шкалы оценки.</w:t>
      </w:r>
    </w:p>
    <w:p>
      <w:pPr>
        <w:pStyle w:val="0"/>
        <w:spacing w:before="200" w:line-rule="auto"/>
        <w:ind w:firstLine="540"/>
        <w:jc w:val="both"/>
      </w:pPr>
      <w:r>
        <w:rPr>
          <w:sz w:val="20"/>
        </w:rPr>
        <w:t xml:space="preserve">Шкала оценки по критериям оценки имеет конкретные значения.</w:t>
      </w:r>
    </w:p>
    <w:p>
      <w:pPr>
        <w:pStyle w:val="0"/>
        <w:spacing w:before="200" w:line-rule="auto"/>
        <w:ind w:firstLine="540"/>
        <w:jc w:val="both"/>
      </w:pPr>
      <w:r>
        <w:rPr>
          <w:sz w:val="20"/>
        </w:rPr>
        <w:t xml:space="preserve">10. В целях проведения отбора Мининвестом Московской области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которое подписывается усиленной квалифицированной электронной подписью руководителя Мининвеста Московской области (или уполномоченного им лица), размещается на едином портале в срок не позднее 5 календарного дня до наступления даты начала приема заявок.</w:t>
      </w:r>
    </w:p>
    <w:p>
      <w:pPr>
        <w:pStyle w:val="0"/>
        <w:spacing w:before="200" w:line-rule="auto"/>
        <w:ind w:firstLine="540"/>
        <w:jc w:val="both"/>
      </w:pPr>
      <w:r>
        <w:rPr>
          <w:sz w:val="20"/>
        </w:rPr>
        <w:t xml:space="preserve">11. 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дата начала подачи и окончания приема заявок, при этом дата окончания приема заявок не может быть ранее 30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w:t>
      </w:r>
    </w:p>
    <w:p>
      <w:pPr>
        <w:pStyle w:val="0"/>
        <w:spacing w:before="200" w:line-rule="auto"/>
        <w:ind w:firstLine="540"/>
        <w:jc w:val="both"/>
      </w:pPr>
      <w:r>
        <w:rPr>
          <w:sz w:val="20"/>
        </w:rPr>
        <w:t xml:space="preserve">4) результат предоставления Гранта, характеристики результата предоставления Гранта;</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получателей Гранта и критерии оценки;</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комиссии в оценке заявок;</w:t>
      </w:r>
    </w:p>
    <w:p>
      <w:pPr>
        <w:pStyle w:val="0"/>
        <w:spacing w:before="200" w:line-rule="auto"/>
        <w:ind w:firstLine="540"/>
        <w:jc w:val="both"/>
      </w:pPr>
      <w:r>
        <w:rPr>
          <w:sz w:val="20"/>
        </w:rPr>
        <w:t xml:space="preserve">14) объем распределяемого Гранта в рамках отбора, порядок расчета размера Гранта, установленный Порядком, правила распределения Гранта по результатам отбора, которые включают предельный размер Гранта, а также предельное количество победителей отбора;</w:t>
      </w:r>
    </w:p>
    <w:p>
      <w:pPr>
        <w:pStyle w:val="0"/>
        <w:spacing w:before="200" w:line-rule="auto"/>
        <w:ind w:firstLine="540"/>
        <w:jc w:val="both"/>
      </w:pPr>
      <w:r>
        <w:rPr>
          <w:sz w:val="20"/>
        </w:rPr>
        <w:t xml:space="preserve">15) порядок представления участникам отбора разъяснений положений объявления о проведении отбора, даты начала и окончания срока такого представления;</w:t>
      </w:r>
    </w:p>
    <w:p>
      <w:pPr>
        <w:pStyle w:val="0"/>
        <w:spacing w:before="200" w:line-rule="auto"/>
        <w:ind w:firstLine="540"/>
        <w:jc w:val="both"/>
      </w:pPr>
      <w:r>
        <w:rPr>
          <w:sz w:val="20"/>
        </w:rPr>
        <w:t xml:space="preserve">16) срок, в течение которого победитель отбора должен подписать соглашение о предоставлении Гранта, заключаемое с Мининвестом Московской области (далее - Соглашение);</w:t>
      </w:r>
    </w:p>
    <w:p>
      <w:pPr>
        <w:pStyle w:val="0"/>
        <w:spacing w:before="200" w:line-rule="auto"/>
        <w:ind w:firstLine="540"/>
        <w:jc w:val="both"/>
      </w:pPr>
      <w:r>
        <w:rPr>
          <w:sz w:val="20"/>
        </w:rPr>
        <w:t xml:space="preserve">17)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которые не могут быть позднее 1 рабочего дня, следующего за днем его подписания;</w:t>
      </w:r>
    </w:p>
    <w:p>
      <w:pPr>
        <w:pStyle w:val="0"/>
        <w:spacing w:before="200" w:line-rule="auto"/>
        <w:ind w:firstLine="540"/>
        <w:jc w:val="both"/>
      </w:pPr>
      <w:r>
        <w:rPr>
          <w:sz w:val="20"/>
        </w:rPr>
        <w:t xml:space="preserve">19) порядок открытия доступа и взаимодействия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p>
      <w:pPr>
        <w:pStyle w:val="0"/>
        <w:spacing w:before="200" w:line-rule="auto"/>
        <w:ind w:firstLine="540"/>
        <w:jc w:val="both"/>
      </w:pPr>
      <w:r>
        <w:rPr>
          <w:sz w:val="20"/>
        </w:rPr>
        <w:t xml:space="preserve">20) предельный размер финансирования каждой темы научных исследований и разработок из Перечня тем.</w:t>
      </w:r>
    </w:p>
    <w:p>
      <w:pPr>
        <w:pStyle w:val="0"/>
        <w:spacing w:before="200" w:line-rule="auto"/>
        <w:ind w:firstLine="540"/>
        <w:jc w:val="both"/>
      </w:pPr>
      <w:r>
        <w:rPr>
          <w:sz w:val="20"/>
        </w:rPr>
        <w:t xml:space="preserve">При необходимости внесения изменений в объявление о проведении отбора внесение таких изменений осуществляется не позднее наступления даты окончания приема заявок с соблюдением следующих условий:</w:t>
      </w:r>
    </w:p>
    <w:p>
      <w:pPr>
        <w:pStyle w:val="0"/>
        <w:spacing w:before="200" w:line-rule="auto"/>
        <w:ind w:firstLine="540"/>
        <w:jc w:val="both"/>
      </w:pPr>
      <w:r>
        <w:rPr>
          <w:sz w:val="20"/>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изменение способа отбора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0"/>
        <w:spacing w:before="200" w:line-rule="auto"/>
        <w:ind w:firstLine="540"/>
        <w:jc w:val="both"/>
      </w:pPr>
      <w:r>
        <w:rPr>
          <w:sz w:val="20"/>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bookmarkStart w:id="6331" w:name="P6331"/>
    <w:bookmarkEnd w:id="6331"/>
    <w:p>
      <w:pPr>
        <w:pStyle w:val="0"/>
        <w:spacing w:before="200" w:line-rule="auto"/>
        <w:ind w:firstLine="540"/>
        <w:jc w:val="both"/>
      </w:pPr>
      <w:r>
        <w:rPr>
          <w:sz w:val="20"/>
        </w:rPr>
        <w:t xml:space="preserve">12. Требования к участникам отбора, которым они должны соответствовать на даты рассмотрения заявки и заключения Соглашения о предоставлении Гранта:</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44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445"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446"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участник отбора соответствует категории получателей Гранта, установленной </w:t>
      </w:r>
      <w:hyperlink w:history="0" w:anchor="P6299" w:tooltip="9. Категория получателей Гранта: юридические лица, зарегистрированные в установленном порядке и осуществляющие деятельность на территории Московской области.">
        <w:r>
          <w:rPr>
            <w:sz w:val="20"/>
            <w:color w:val="0000ff"/>
          </w:rPr>
          <w:t xml:space="preserve">пунктом 9</w:t>
        </w:r>
      </w:hyperlink>
      <w:r>
        <w:rPr>
          <w:sz w:val="20"/>
        </w:rPr>
        <w:t xml:space="preserve"> Порядка;</w:t>
      </w:r>
    </w:p>
    <w:bookmarkStart w:id="6342" w:name="P6342"/>
    <w:bookmarkEnd w:id="6342"/>
    <w:p>
      <w:pPr>
        <w:pStyle w:val="0"/>
        <w:spacing w:before="200" w:line-rule="auto"/>
        <w:ind w:firstLine="540"/>
        <w:jc w:val="both"/>
      </w:pPr>
      <w:r>
        <w:rPr>
          <w:sz w:val="20"/>
        </w:rPr>
        <w:t xml:space="preserve">у участника отбора отсутствует задолженность по выплате заработной платы;</w:t>
      </w:r>
    </w:p>
    <w:p>
      <w:pPr>
        <w:pStyle w:val="0"/>
        <w:spacing w:before="200" w:line-rule="auto"/>
        <w:ind w:firstLine="540"/>
        <w:jc w:val="both"/>
      </w:pPr>
      <w:r>
        <w:rPr>
          <w:sz w:val="20"/>
        </w:rPr>
        <w:t xml:space="preserve">у участника отбора отсутствует задолженность по незавершенным исполнительным производствам, которая в совокупности равна или превышает предельный размер Гранта;</w:t>
      </w:r>
    </w:p>
    <w:p>
      <w:pPr>
        <w:pStyle w:val="0"/>
        <w:spacing w:before="200" w:line-rule="auto"/>
        <w:ind w:firstLine="540"/>
        <w:jc w:val="both"/>
      </w:pPr>
      <w:r>
        <w:rPr>
          <w:sz w:val="20"/>
        </w:rPr>
        <w:t xml:space="preserve">в Реестре недобросовестных поставщиков (подрядчиков, исполнителей) отсутствует информация об участнике отбора;</w:t>
      </w:r>
    </w:p>
    <w:p>
      <w:pPr>
        <w:pStyle w:val="0"/>
        <w:spacing w:before="200" w:line-rule="auto"/>
        <w:ind w:firstLine="540"/>
        <w:jc w:val="both"/>
      </w:pPr>
      <w:r>
        <w:rPr>
          <w:sz w:val="20"/>
        </w:rPr>
        <w:t xml:space="preserve">срок реализации проекта участника отбора составляет не более двух календарных лет ежегодно в два этапа;</w:t>
      </w:r>
    </w:p>
    <w:bookmarkStart w:id="6346" w:name="P6346"/>
    <w:bookmarkEnd w:id="6346"/>
    <w:p>
      <w:pPr>
        <w:pStyle w:val="0"/>
        <w:spacing w:before="200" w:line-rule="auto"/>
        <w:ind w:firstLine="540"/>
        <w:jc w:val="both"/>
      </w:pPr>
      <w:r>
        <w:rPr>
          <w:sz w:val="20"/>
        </w:rPr>
        <w:t xml:space="preserve">наличие обязательства участника отбора о софинансировании проекта за счет собственных средств в размере не менее 20 процентов от предельного размера Гранта (далее - софинансирование проекта), на первом этапе каждого года реализации проекта;</w:t>
      </w:r>
    </w:p>
    <w:bookmarkStart w:id="6347" w:name="P6347"/>
    <w:bookmarkEnd w:id="6347"/>
    <w:p>
      <w:pPr>
        <w:pStyle w:val="0"/>
        <w:spacing w:before="200" w:line-rule="auto"/>
        <w:ind w:firstLine="540"/>
        <w:jc w:val="both"/>
      </w:pPr>
      <w:r>
        <w:rPr>
          <w:sz w:val="20"/>
        </w:rPr>
        <w:t xml:space="preserve">наличие обязательства участника отбора о софинансировании первого этапа реализации проекта за счет собственных средств в размере не менее 50 процентов от объема софинансирования проекта с соблюдением следующих условий:</w:t>
      </w:r>
    </w:p>
    <w:p>
      <w:pPr>
        <w:pStyle w:val="0"/>
        <w:spacing w:before="200" w:line-rule="auto"/>
        <w:ind w:firstLine="540"/>
        <w:jc w:val="both"/>
      </w:pPr>
      <w:r>
        <w:rPr>
          <w:sz w:val="20"/>
        </w:rPr>
        <w:t xml:space="preserve">при реализации проекта в течение двух лет получатель Гранта осуществляет финансирование первого этапа каждого года реализации проекта в размере 50 процентов от объема софинансирования проекта;</w:t>
      </w:r>
    </w:p>
    <w:p>
      <w:pPr>
        <w:pStyle w:val="0"/>
        <w:spacing w:before="200" w:line-rule="auto"/>
        <w:ind w:firstLine="540"/>
        <w:jc w:val="both"/>
      </w:pPr>
      <w:r>
        <w:rPr>
          <w:sz w:val="20"/>
        </w:rPr>
        <w:t xml:space="preserve">при реализации проекта в течение одного года получатель Гранта осуществляет финансирование первого этапа реализации проекта в размере 100 процентов от объема софинансирования проекта;</w:t>
      </w:r>
    </w:p>
    <w:p>
      <w:pPr>
        <w:pStyle w:val="0"/>
        <w:spacing w:before="200" w:line-rule="auto"/>
        <w:ind w:firstLine="540"/>
        <w:jc w:val="both"/>
      </w:pPr>
      <w:r>
        <w:rPr>
          <w:sz w:val="20"/>
        </w:rPr>
        <w:t xml:space="preserve">расходование Гранта в соответствии со сметой проекта:</w:t>
      </w:r>
    </w:p>
    <w:p>
      <w:pPr>
        <w:pStyle w:val="0"/>
        <w:spacing w:before="200" w:line-rule="auto"/>
        <w:ind w:firstLine="540"/>
        <w:jc w:val="both"/>
      </w:pPr>
      <w:r>
        <w:rPr>
          <w:sz w:val="20"/>
        </w:rPr>
        <w:t xml:space="preserve">оплата труда исполнителей проекта, включая страховые взносы - не более 20 процентов от размера Гранта;</w:t>
      </w:r>
    </w:p>
    <w:p>
      <w:pPr>
        <w:pStyle w:val="0"/>
        <w:spacing w:before="200" w:line-rule="auto"/>
        <w:ind w:firstLine="540"/>
        <w:jc w:val="both"/>
      </w:pPr>
      <w:r>
        <w:rPr>
          <w:sz w:val="20"/>
        </w:rPr>
        <w:t xml:space="preserve">общехозяйственные расходы, связанные с реализацией проекта (арендная плата за пользование имуществом, оплата коммунальных услуг) - не более 10 процентов от размера Гранта.</w:t>
      </w:r>
    </w:p>
    <w:p>
      <w:pPr>
        <w:pStyle w:val="0"/>
        <w:spacing w:before="200" w:line-rule="auto"/>
        <w:ind w:firstLine="540"/>
        <w:jc w:val="both"/>
      </w:pPr>
      <w:r>
        <w:rPr>
          <w:sz w:val="20"/>
        </w:rPr>
        <w:t xml:space="preserve">13. Представление в Мининвест Московской области документов, подтверждающих соответствие участников отбора требованиям, указанным в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пункте 12</w:t>
        </w:r>
      </w:hyperlink>
      <w:r>
        <w:rPr>
          <w:sz w:val="20"/>
        </w:rPr>
        <w:t xml:space="preserve"> Порядка, а также сведения, документы и материалы, подтверждающие информацию по критериям оценки заявок,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Мининвест Московской области следующие документы, подтверждающие соответствие участника отбора требованиям, установленным Порядком, а также сведения, документы и материалы, подтверждающие информацию по критериям оценки заявок:</w:t>
      </w:r>
    </w:p>
    <w:p>
      <w:pPr>
        <w:pStyle w:val="0"/>
        <w:spacing w:before="200" w:line-rule="auto"/>
        <w:ind w:firstLine="540"/>
        <w:jc w:val="both"/>
      </w:pPr>
      <w:r>
        <w:rPr>
          <w:sz w:val="20"/>
        </w:rPr>
        <w:t xml:space="preserve">концепцию проекта, включая смету проекта, по форме утвержденной Мининвестом Московской области и указанной в объявлении о проведении отбора;</w:t>
      </w:r>
    </w:p>
    <w:p>
      <w:pPr>
        <w:pStyle w:val="0"/>
        <w:spacing w:before="200" w:line-rule="auto"/>
        <w:ind w:firstLine="540"/>
        <w:jc w:val="both"/>
      </w:pPr>
      <w:r>
        <w:rPr>
          <w:sz w:val="20"/>
        </w:rPr>
        <w:t xml:space="preserve">гарантийное письмо, подписанное руководителем участника отбора либо иным уполномоченным лицом участника отбора, подтверждающее соответствие требованию, предусмотренному </w:t>
      </w:r>
      <w:hyperlink w:history="0" w:anchor="P6342" w:tooltip="у участника отбора отсутствует задолженность по выплате заработной платы;">
        <w:r>
          <w:rPr>
            <w:sz w:val="20"/>
            <w:color w:val="0000ff"/>
          </w:rPr>
          <w:t xml:space="preserve">абзацем двенадцатым пункта 12</w:t>
        </w:r>
      </w:hyperlink>
      <w:r>
        <w:rPr>
          <w:sz w:val="20"/>
        </w:rPr>
        <w:t xml:space="preserve"> Порядка;</w:t>
      </w:r>
    </w:p>
    <w:p>
      <w:pPr>
        <w:pStyle w:val="0"/>
        <w:spacing w:before="200" w:line-rule="auto"/>
        <w:ind w:firstLine="540"/>
        <w:jc w:val="both"/>
      </w:pPr>
      <w:r>
        <w:rPr>
          <w:sz w:val="20"/>
        </w:rPr>
        <w:t xml:space="preserve">гарантийное письмо, подписанное руководителем организации либо иным уполномоченным лицом участника отбора, подтверждающее обязательство участника отбора о софинансировании проекта, на первом этапе каждого года реализации проекта, в соответствии с </w:t>
      </w:r>
      <w:hyperlink w:history="0" w:anchor="P6346" w:tooltip="наличие обязательства участника отбора о софинансировании проекта за счет собственных средств в размере не менее 20 процентов от предельного размера Гранта (далее - софинансирование проекта), на первом этапе каждого года реализации проекта;">
        <w:r>
          <w:rPr>
            <w:sz w:val="20"/>
            <w:color w:val="0000ff"/>
          </w:rPr>
          <w:t xml:space="preserve">абзацами шестнадцатым</w:t>
        </w:r>
      </w:hyperlink>
      <w:r>
        <w:rPr>
          <w:sz w:val="20"/>
        </w:rPr>
        <w:t xml:space="preserve"> и </w:t>
      </w:r>
      <w:hyperlink w:history="0" w:anchor="P6347" w:tooltip="наличие обязательства участника отбора о софинансировании первого этапа реализации проекта за счет собственных средств в размере не менее 50 процентов от объема софинансирования проекта с соблюдением следующих условий:">
        <w:r>
          <w:rPr>
            <w:sz w:val="20"/>
            <w:color w:val="0000ff"/>
          </w:rPr>
          <w:t xml:space="preserve">семнадцатым пункта 12</w:t>
        </w:r>
      </w:hyperlink>
      <w:r>
        <w:rPr>
          <w:sz w:val="20"/>
        </w:rPr>
        <w:t xml:space="preserve"> Порядка;</w:t>
      </w:r>
    </w:p>
    <w:p>
      <w:pPr>
        <w:pStyle w:val="0"/>
        <w:spacing w:before="200" w:line-rule="auto"/>
        <w:ind w:firstLine="540"/>
        <w:jc w:val="both"/>
      </w:pPr>
      <w:r>
        <w:rPr>
          <w:sz w:val="20"/>
        </w:rPr>
        <w:t xml:space="preserve">информацию по каждому критерию оценки, сведения, документы и материалы, подтверждающие такую информацию.</w:t>
      </w:r>
    </w:p>
    <w:p>
      <w:pPr>
        <w:pStyle w:val="0"/>
        <w:spacing w:before="200" w:line-rule="auto"/>
        <w:ind w:firstLine="540"/>
        <w:jc w:val="both"/>
      </w:pPr>
      <w:r>
        <w:rPr>
          <w:sz w:val="20"/>
        </w:rPr>
        <w:t xml:space="preserve">Участник отбора включает в смету проекта:</w:t>
      </w:r>
    </w:p>
    <w:p>
      <w:pPr>
        <w:pStyle w:val="0"/>
        <w:spacing w:before="200" w:line-rule="auto"/>
        <w:ind w:firstLine="540"/>
        <w:jc w:val="both"/>
      </w:pPr>
      <w:r>
        <w:rPr>
          <w:sz w:val="20"/>
        </w:rPr>
        <w:t xml:space="preserve">собственные средства, планируемые на реализацию проекта;</w:t>
      </w:r>
    </w:p>
    <w:p>
      <w:pPr>
        <w:pStyle w:val="0"/>
        <w:spacing w:before="200" w:line-rule="auto"/>
        <w:ind w:firstLine="540"/>
        <w:jc w:val="both"/>
      </w:pPr>
      <w:r>
        <w:rPr>
          <w:sz w:val="20"/>
        </w:rPr>
        <w:t xml:space="preserve">собственные средства, израсходованные на реализацию проекта ранее первого этапа работ первого года реализации проекта, но не ранее 1 января года предоставления Гранта (при наличии);</w:t>
      </w:r>
    </w:p>
    <w:p>
      <w:pPr>
        <w:pStyle w:val="0"/>
        <w:spacing w:before="200" w:line-rule="auto"/>
        <w:ind w:firstLine="540"/>
        <w:jc w:val="both"/>
      </w:pPr>
      <w:r>
        <w:rPr>
          <w:sz w:val="20"/>
        </w:rPr>
        <w:t xml:space="preserve">привлеченные средства организации, а также индивидуального предпринимателя, заинтересованных в результатах реализации проекта, обладающих ресурсами, в том числе информационными, кадрами, технологиями, сырьем для внедрения результатов проектов в хозяйственный оборот организаций реального сектора экономики (при наличии).</w:t>
      </w:r>
    </w:p>
    <w:bookmarkStart w:id="6363" w:name="P6363"/>
    <w:bookmarkEnd w:id="6363"/>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заявка подается в соответствии с требованиями и в сроки, указанные в объявлении о проведении отбора, и формируется участниками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формируемая заявка должна содержать:</w:t>
      </w:r>
    </w:p>
    <w:p>
      <w:pPr>
        <w:pStyle w:val="0"/>
        <w:spacing w:before="200" w:line-rule="auto"/>
        <w:ind w:firstLine="540"/>
        <w:jc w:val="both"/>
      </w:pPr>
      <w:r>
        <w:rPr>
          <w:sz w:val="20"/>
        </w:rPr>
        <w:t xml:space="preserve">1) информацию об участнике отбора;</w:t>
      </w:r>
    </w:p>
    <w:p>
      <w:pPr>
        <w:pStyle w:val="0"/>
        <w:spacing w:before="200" w:line-rule="auto"/>
        <w:ind w:firstLine="540"/>
        <w:jc w:val="both"/>
      </w:pPr>
      <w:r>
        <w:rPr>
          <w:sz w:val="20"/>
        </w:rPr>
        <w:t xml:space="preserve">2) информацию и 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3) предлагаемые участником отбора значения результата предоставления Гранта и размер запрашиваемого Гранта;</w:t>
      </w:r>
    </w:p>
    <w:p>
      <w:pPr>
        <w:pStyle w:val="0"/>
        <w:spacing w:before="200" w:line-rule="auto"/>
        <w:ind w:firstLine="540"/>
        <w:jc w:val="both"/>
      </w:pPr>
      <w:r>
        <w:rPr>
          <w:sz w:val="20"/>
        </w:rPr>
        <w:t xml:space="preserve">4)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5) информацию по каждому критерию оценки заявок, сведения и документы, подтверждающие информацию по каждому </w:t>
      </w:r>
      <w:hyperlink w:history="0" w:anchor="P6585" w:tooltip="КРИТЕРИИ ОЦЕНКИ ЗАЯВОК ЮРИДИЧЕСКИХ ЛИЦ МОСКОВСКОЙ ОБЛАСТИ">
        <w:r>
          <w:rPr>
            <w:sz w:val="20"/>
            <w:color w:val="0000ff"/>
          </w:rPr>
          <w:t xml:space="preserve">критерию</w:t>
        </w:r>
      </w:hyperlink>
      <w:r>
        <w:rPr>
          <w:sz w:val="20"/>
        </w:rPr>
        <w:t xml:space="preserve"> оценки заявок, установленному в таблице 1 к Порядку;</w:t>
      </w:r>
    </w:p>
    <w:p>
      <w:pPr>
        <w:pStyle w:val="0"/>
        <w:spacing w:before="200" w:line-rule="auto"/>
        <w:ind w:firstLine="540"/>
        <w:jc w:val="both"/>
      </w:pPr>
      <w:r>
        <w:rPr>
          <w:sz w:val="20"/>
        </w:rPr>
        <w:t xml:space="preserve">6) документ, подтверждающий полномочия лица, подписавшего заявку.</w:t>
      </w:r>
    </w:p>
    <w:p>
      <w:pPr>
        <w:pStyle w:val="0"/>
        <w:spacing w:before="200" w:line-rule="auto"/>
        <w:ind w:firstLine="540"/>
        <w:jc w:val="both"/>
      </w:pPr>
      <w:r>
        <w:rPr>
          <w:sz w:val="20"/>
        </w:rPr>
        <w:t xml:space="preserve">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00" w:line-rule="auto"/>
        <w:ind w:firstLine="540"/>
        <w:jc w:val="both"/>
      </w:pPr>
      <w:r>
        <w:rPr>
          <w:sz w:val="20"/>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p>
      <w:pPr>
        <w:pStyle w:val="0"/>
        <w:spacing w:before="200" w:line-rule="auto"/>
        <w:ind w:firstLine="540"/>
        <w:jc w:val="both"/>
      </w:pPr>
      <w:r>
        <w:rPr>
          <w:sz w:val="20"/>
        </w:rPr>
        <w:t xml:space="preserve">Исправления в документах должны быть заверены подписью руководителя участника отбора или уполномоченного им лица и печатью (при наличии печати).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В рамках одного отбора участником конкурсного отбора может быть подана одна заявка.</w:t>
      </w:r>
    </w:p>
    <w:p>
      <w:pPr>
        <w:pStyle w:val="0"/>
        <w:spacing w:before="200" w:line-rule="auto"/>
        <w:ind w:firstLine="540"/>
        <w:jc w:val="both"/>
      </w:pPr>
      <w:r>
        <w:rPr>
          <w:sz w:val="20"/>
        </w:rPr>
        <w:t xml:space="preserve">15.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history="0" w:anchor="P6363" w:tooltip="14. Требования, предъявляемые к форме и содержанию заявок, представляемых участниками отбор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Отзыв заявки осуществляется путем формирования участником отбора уведомления об отзыве заявки в электронной форме в системе "Электронный бюджет".</w:t>
      </w:r>
    </w:p>
    <w:p>
      <w:pPr>
        <w:pStyle w:val="0"/>
        <w:spacing w:before="200" w:line-rule="auto"/>
        <w:ind w:firstLine="540"/>
        <w:jc w:val="both"/>
      </w:pPr>
      <w:r>
        <w:rPr>
          <w:sz w:val="20"/>
        </w:rPr>
        <w:t xml:space="preserve">16. В целях рассмотрения и оценки заявок Министерством формируется комиссия по рассмотрению и оценке заявок участников отбора (далее - комиссия).</w:t>
      </w:r>
    </w:p>
    <w:p>
      <w:pPr>
        <w:pStyle w:val="0"/>
        <w:spacing w:before="200" w:line-rule="auto"/>
        <w:ind w:firstLine="540"/>
        <w:jc w:val="both"/>
      </w:pPr>
      <w:r>
        <w:rPr>
          <w:sz w:val="20"/>
        </w:rPr>
        <w:t xml:space="preserve">Доступ Мининвесту Московской области и комиссии к поданным участниками отбора заявкам в системе "Электронный бюджет" для их рассмотрения и оценки открывается не позднее 1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Состав комиссии формируется из числа представителей Мининвеста Московской области, Московской областной Думы, иных исполнительных органов государственной власти Московской области и лиц, обладающих опытом и репутацией в сфере науки, технологий, техники и инноваций, и утверждается правовым актом Министерства в количестве не менее 5 человек.</w:t>
      </w:r>
    </w:p>
    <w:p>
      <w:pPr>
        <w:pStyle w:val="0"/>
        <w:spacing w:before="200" w:line-rule="auto"/>
        <w:ind w:firstLine="540"/>
        <w:jc w:val="both"/>
      </w:pPr>
      <w:r>
        <w:rPr>
          <w:sz w:val="20"/>
        </w:rPr>
        <w:t xml:space="preserve">В состав комиссии входят председатель комиссии, заместитель председателя комиссии, члены комиссии.</w:t>
      </w:r>
    </w:p>
    <w:p>
      <w:pPr>
        <w:pStyle w:val="0"/>
        <w:spacing w:before="200" w:line-rule="auto"/>
        <w:ind w:firstLine="540"/>
        <w:jc w:val="both"/>
      </w:pPr>
      <w:r>
        <w:rPr>
          <w:sz w:val="20"/>
        </w:rPr>
        <w:t xml:space="preserve">Председатель комиссии организует работу комиссии. Заместитель председателя комиссии исполняет обязанности председателя комиссии в его отсутствие или по его поручению.</w:t>
      </w:r>
    </w:p>
    <w:p>
      <w:pPr>
        <w:pStyle w:val="0"/>
        <w:spacing w:before="200" w:line-rule="auto"/>
        <w:ind w:firstLine="540"/>
        <w:jc w:val="both"/>
      </w:pPr>
      <w:r>
        <w:rPr>
          <w:sz w:val="20"/>
        </w:rPr>
        <w:t xml:space="preserve">Председатель комиссии, заместитель председателя комиссии и члены комиссии осуществляют свою деятельность на общественных началах.</w:t>
      </w:r>
    </w:p>
    <w:p>
      <w:pPr>
        <w:pStyle w:val="0"/>
        <w:spacing w:before="200" w:line-rule="auto"/>
        <w:ind w:firstLine="540"/>
        <w:jc w:val="both"/>
      </w:pPr>
      <w:r>
        <w:rPr>
          <w:sz w:val="20"/>
        </w:rPr>
        <w:t xml:space="preserve">К полномочиям комиссии относятся:</w:t>
      </w:r>
    </w:p>
    <w:p>
      <w:pPr>
        <w:pStyle w:val="0"/>
        <w:spacing w:before="200" w:line-rule="auto"/>
        <w:ind w:firstLine="540"/>
        <w:jc w:val="both"/>
      </w:pPr>
      <w:r>
        <w:rPr>
          <w:sz w:val="20"/>
        </w:rPr>
        <w:t xml:space="preserve">рассмотрение, оценка заявок участников отбора по итогам открытия доступа комиссии к поданным участниками отбора заявкам и приложенным к ним документам в системе "Электронный бюджет";</w:t>
      </w:r>
    </w:p>
    <w:p>
      <w:pPr>
        <w:pStyle w:val="0"/>
        <w:spacing w:before="200" w:line-rule="auto"/>
        <w:ind w:firstLine="540"/>
        <w:jc w:val="both"/>
      </w:pPr>
      <w:r>
        <w:rPr>
          <w:sz w:val="20"/>
        </w:rPr>
        <w:t xml:space="preserve">принятие решения о возврате заявки на доработку;</w:t>
      </w:r>
    </w:p>
    <w:p>
      <w:pPr>
        <w:pStyle w:val="0"/>
        <w:spacing w:before="200" w:line-rule="auto"/>
        <w:ind w:firstLine="540"/>
        <w:jc w:val="both"/>
      </w:pPr>
      <w:r>
        <w:rPr>
          <w:sz w:val="20"/>
        </w:rPr>
        <w:t xml:space="preserve">осуществление запроса разъяснения у участников отбора в отношении представленных ими заявки и документов;</w:t>
      </w:r>
    </w:p>
    <w:p>
      <w:pPr>
        <w:pStyle w:val="0"/>
        <w:spacing w:before="200" w:line-rule="auto"/>
        <w:ind w:firstLine="540"/>
        <w:jc w:val="both"/>
      </w:pPr>
      <w:r>
        <w:rPr>
          <w:sz w:val="20"/>
        </w:rPr>
        <w:t xml:space="preserve">признание заявки надлежащей;</w:t>
      </w:r>
    </w:p>
    <w:p>
      <w:pPr>
        <w:pStyle w:val="0"/>
        <w:spacing w:before="200" w:line-rule="auto"/>
        <w:ind w:firstLine="540"/>
        <w:jc w:val="both"/>
      </w:pPr>
      <w:r>
        <w:rPr>
          <w:sz w:val="20"/>
        </w:rPr>
        <w:t xml:space="preserve">отклонение заявок;</w:t>
      </w:r>
    </w:p>
    <w:p>
      <w:pPr>
        <w:pStyle w:val="0"/>
        <w:spacing w:before="200" w:line-rule="auto"/>
        <w:ind w:firstLine="540"/>
        <w:jc w:val="both"/>
      </w:pPr>
      <w:r>
        <w:rPr>
          <w:sz w:val="20"/>
        </w:rPr>
        <w:t xml:space="preserve">принятие решения о признании отбора несостоявшимся;</w:t>
      </w:r>
    </w:p>
    <w:p>
      <w:pPr>
        <w:pStyle w:val="0"/>
        <w:spacing w:before="200" w:line-rule="auto"/>
        <w:ind w:firstLine="540"/>
        <w:jc w:val="both"/>
      </w:pPr>
      <w:r>
        <w:rPr>
          <w:sz w:val="20"/>
        </w:rPr>
        <w:t xml:space="preserve">подписание протоколов, формируемых в процессе проведения отбора, содержащих информацию о принятых комиссией решениях.</w:t>
      </w:r>
    </w:p>
    <w:p>
      <w:pPr>
        <w:pStyle w:val="0"/>
        <w:spacing w:before="200" w:line-rule="auto"/>
        <w:ind w:firstLine="540"/>
        <w:jc w:val="both"/>
      </w:pPr>
      <w:r>
        <w:rPr>
          <w:sz w:val="20"/>
        </w:rPr>
        <w:t xml:space="preserve">В случае если член комиссии лично, прямо или косвенно заинтересован в результатах отбора, он обязан проинформировать об этом Министерство до рассмотрения соответствующего вопроса на заседании комиссии, заявить самоотвод и воздержаться от голосования по соответствующему вопросу.</w:t>
      </w:r>
    </w:p>
    <w:p>
      <w:pPr>
        <w:pStyle w:val="0"/>
        <w:spacing w:before="200" w:line-rule="auto"/>
        <w:ind w:firstLine="540"/>
        <w:jc w:val="both"/>
      </w:pPr>
      <w:r>
        <w:rPr>
          <w:sz w:val="20"/>
        </w:rPr>
        <w:t xml:space="preserve">Протоколы, формируемые в процессе проведения отбора, подписываются председателем и членами комиссии.</w:t>
      </w:r>
    </w:p>
    <w:p>
      <w:pPr>
        <w:pStyle w:val="0"/>
        <w:spacing w:before="200" w:line-rule="auto"/>
        <w:ind w:firstLine="540"/>
        <w:jc w:val="both"/>
      </w:pPr>
      <w:r>
        <w:rPr>
          <w:sz w:val="20"/>
        </w:rPr>
        <w:t xml:space="preserve">В целях проведения отбора комиссия осуществляет рассмотрение заявок, оценку заявок в соответствии с </w:t>
      </w:r>
      <w:hyperlink w:history="0" w:anchor="P6585" w:tooltip="КРИТЕРИИ ОЦЕНКИ ЗАЯВОК ЮРИДИЧЕСКИХ ЛИЦ МОСКОВСКОЙ ОБЛАСТИ">
        <w:r>
          <w:rPr>
            <w:sz w:val="20"/>
            <w:color w:val="0000ff"/>
          </w:rPr>
          <w:t xml:space="preserve">критериями</w:t>
        </w:r>
      </w:hyperlink>
      <w:r>
        <w:rPr>
          <w:sz w:val="20"/>
        </w:rPr>
        <w:t xml:space="preserve"> оценки заявок, приведенными в таблице 1 к Порядку, принимает решение о победителях отбора.</w:t>
      </w:r>
    </w:p>
    <w:p>
      <w:pPr>
        <w:pStyle w:val="0"/>
        <w:spacing w:before="200" w:line-rule="auto"/>
        <w:ind w:firstLine="540"/>
        <w:jc w:val="both"/>
      </w:pPr>
      <w:r>
        <w:rPr>
          <w:sz w:val="20"/>
        </w:rPr>
        <w:t xml:space="preserve">17. Взаимодействие Мининвеста Московской области и комиссии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18. Председатель комиссии и члены комиссии не позднее 1 рабочего дня, следующего за днем вскрытия заявок, подписывают усиленной квалифицированной подписью в системе "Электронный бюджет" протокол вскрытия заявок, содержащий следующую информацию о поступивших заявках:</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дата и время поступления заявки;</w:t>
      </w:r>
    </w:p>
    <w:p>
      <w:pPr>
        <w:pStyle w:val="0"/>
        <w:spacing w:before="200" w:line-rule="auto"/>
        <w:ind w:firstLine="540"/>
        <w:jc w:val="both"/>
      </w:pPr>
      <w:r>
        <w:rPr>
          <w:sz w:val="20"/>
        </w:rPr>
        <w:t xml:space="preserve">3) полное наименование участника отбора;</w:t>
      </w:r>
    </w:p>
    <w:p>
      <w:pPr>
        <w:pStyle w:val="0"/>
        <w:spacing w:before="200" w:line-rule="auto"/>
        <w:ind w:firstLine="540"/>
        <w:jc w:val="both"/>
      </w:pPr>
      <w:r>
        <w:rPr>
          <w:sz w:val="20"/>
        </w:rPr>
        <w:t xml:space="preserve">4) место нахождения юридического лица;</w:t>
      </w:r>
    </w:p>
    <w:p>
      <w:pPr>
        <w:pStyle w:val="0"/>
        <w:spacing w:before="200" w:line-rule="auto"/>
        <w:ind w:firstLine="540"/>
        <w:jc w:val="both"/>
      </w:pPr>
      <w:r>
        <w:rPr>
          <w:sz w:val="20"/>
        </w:rPr>
        <w:t xml:space="preserve">5) запрашиваемый участником отбора размер Гранта.</w:t>
      </w:r>
    </w:p>
    <w:p>
      <w:pPr>
        <w:pStyle w:val="0"/>
        <w:spacing w:before="200" w:line-rule="auto"/>
        <w:ind w:firstLine="540"/>
        <w:jc w:val="both"/>
      </w:pPr>
      <w:r>
        <w:rPr>
          <w:sz w:val="20"/>
        </w:rPr>
        <w:t xml:space="preserve">Протокол вскрытия заявок формируется на едином портале автоматически, а также размещается на едином портале не позднее 1 рабочего дня, следующего за днем его подписания.</w:t>
      </w:r>
    </w:p>
    <w:bookmarkStart w:id="6405" w:name="P6405"/>
    <w:bookmarkEnd w:id="6405"/>
    <w:p>
      <w:pPr>
        <w:pStyle w:val="0"/>
        <w:spacing w:before="200" w:line-rule="auto"/>
        <w:ind w:firstLine="540"/>
        <w:jc w:val="both"/>
      </w:pPr>
      <w:r>
        <w:rPr>
          <w:sz w:val="20"/>
        </w:rPr>
        <w:t xml:space="preserve">19. Комиссия в течение срока, не превышающего 15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категории получателей Гранта.</w:t>
      </w:r>
    </w:p>
    <w:p>
      <w:pPr>
        <w:pStyle w:val="0"/>
        <w:spacing w:before="200" w:line-rule="auto"/>
        <w:ind w:firstLine="540"/>
        <w:jc w:val="both"/>
      </w:pPr>
      <w:r>
        <w:rPr>
          <w:sz w:val="20"/>
        </w:rPr>
        <w:t xml:space="preserve">20. По результатам рассмотрения заявок и прилагаемых к ним документов комиссия принимает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отсутствуют основания для ее отклонения.</w:t>
      </w:r>
    </w:p>
    <w:p>
      <w:pPr>
        <w:pStyle w:val="0"/>
        <w:spacing w:before="200" w:line-rule="auto"/>
        <w:ind w:firstLine="540"/>
        <w:jc w:val="both"/>
      </w:pPr>
      <w:r>
        <w:rPr>
          <w:sz w:val="20"/>
        </w:rPr>
        <w:t xml:space="preserve">Решение о признании заявки надлежащей принимается комиссией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21. Проверка участника отбора на соответствие требованиям, определенным в соответствии с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пунктом 12</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пунктом 12</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пункте 12</w:t>
        </w:r>
      </w:hyperlink>
      <w:r>
        <w:rPr>
          <w:sz w:val="20"/>
        </w:rPr>
        <w:t xml:space="preserve"> Порядка, Мининвест Московской области в пределах срока рассмотрения заявок, установленного </w:t>
      </w:r>
      <w:hyperlink w:history="0" w:anchor="P6405" w:tooltip="19. Комиссия в течение срока, не превышающего 15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и категории получателей Гранта.">
        <w:r>
          <w:rPr>
            <w:sz w:val="20"/>
            <w:color w:val="0000ff"/>
          </w:rPr>
          <w:t xml:space="preserve">пунктом 19</w:t>
        </w:r>
      </w:hyperlink>
      <w:r>
        <w:rPr>
          <w:sz w:val="20"/>
        </w:rPr>
        <w:t xml:space="preserve"> Порядка, запрашивает сведения в государственных информационных системах, в том числе с использованием единой системы межведомственного электронного взаимодействия, в том числе в Федеральной налоговой службе (при наличии технической возможности автоматической проверки).</w:t>
      </w:r>
    </w:p>
    <w:bookmarkStart w:id="6414" w:name="P6414"/>
    <w:bookmarkEnd w:id="6414"/>
    <w:p>
      <w:pPr>
        <w:pStyle w:val="0"/>
        <w:spacing w:before="200" w:line-rule="auto"/>
        <w:ind w:firstLine="540"/>
        <w:jc w:val="both"/>
      </w:pPr>
      <w:r>
        <w:rPr>
          <w:sz w:val="20"/>
        </w:rPr>
        <w:t xml:space="preserve">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6415" w:name="P6415"/>
    <w:bookmarkEnd w:id="6415"/>
    <w:p>
      <w:pPr>
        <w:pStyle w:val="0"/>
        <w:spacing w:before="200" w:line-rule="auto"/>
        <w:ind w:firstLine="540"/>
        <w:jc w:val="both"/>
      </w:pPr>
      <w:r>
        <w:rPr>
          <w:sz w:val="20"/>
        </w:rPr>
        <w:t xml:space="preserve">В запросе, указанном в </w:t>
      </w:r>
      <w:hyperlink w:history="0" w:anchor="P6414" w:tooltip="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абзацем </w:t>
      </w:r>
      <w:hyperlink w:history="0" w:anchor="P6414" w:tooltip="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четвертым настоящего</w:t>
        </w:r>
      </w:hyperlink>
      <w:r>
        <w:rPr>
          <w:sz w:val="20"/>
        </w:rPr>
        <w:t xml:space="preserve"> пункта, в сроки, установленные соответствующим запросом с учетом положений </w:t>
      </w:r>
      <w:hyperlink w:history="0" w:anchor="P6415"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p>
      <w:pPr>
        <w:pStyle w:val="0"/>
        <w:spacing w:before="200" w:line-rule="auto"/>
        <w:ind w:firstLine="540"/>
        <w:jc w:val="both"/>
      </w:pPr>
      <w:r>
        <w:rPr>
          <w:sz w:val="20"/>
        </w:rPr>
        <w:t xml:space="preserve">В случае если участник отбора в ответ на запрос, указанный в </w:t>
      </w:r>
      <w:hyperlink w:history="0" w:anchor="P6414" w:tooltip="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не представил запрашиваемые документы и информацию в срок, установленный соответствующим запросом с учетом положений </w:t>
      </w:r>
      <w:hyperlink w:history="0" w:anchor="P6415" w:tooltip="В запросе, указанном в абзаце четвертом настоящего пункта, Мининвест Московской области,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 информация об этом включается в протокол рассмотрения заявок, предусмотренный </w:t>
      </w:r>
      <w:hyperlink w:history="0" w:anchor="P6428" w:tooltip="25.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22. Мининвест Московской области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пунктом 12</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p>
      <w:pPr>
        <w:pStyle w:val="0"/>
        <w:spacing w:before="200" w:line-rule="auto"/>
        <w:ind w:firstLine="540"/>
        <w:jc w:val="both"/>
      </w:pPr>
      <w:r>
        <w:rPr>
          <w:sz w:val="20"/>
        </w:rPr>
        <w:t xml:space="preserve">23. При проведении отбора предусмотрен возврат заявок участникам отбора на доработку по решению Мининвеста Московской области. 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 проведении отбора. Решения о возврате заявок на доработку доводятся до участников отбора с использованием системы "Электронный бюджет" в течение 1 рабочего дня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Гранта и не дает преимущества перед другими участниками отбора. 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1 рабочего дня, но не позднее даты окончания срока рассмотрения заявок.</w:t>
      </w:r>
    </w:p>
    <w:p>
      <w:pPr>
        <w:pStyle w:val="0"/>
        <w:spacing w:before="200" w:line-rule="auto"/>
        <w:ind w:firstLine="540"/>
        <w:jc w:val="both"/>
      </w:pPr>
      <w:r>
        <w:rPr>
          <w:sz w:val="20"/>
        </w:rPr>
        <w:t xml:space="preserve">24. Основания для отклонения заявки:</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bookmarkStart w:id="6428" w:name="P6428"/>
    <w:bookmarkEnd w:id="6428"/>
    <w:p>
      <w:pPr>
        <w:pStyle w:val="0"/>
        <w:spacing w:before="200" w:line-rule="auto"/>
        <w:ind w:firstLine="540"/>
        <w:jc w:val="both"/>
      </w:pPr>
      <w:r>
        <w:rPr>
          <w:sz w:val="20"/>
        </w:rPr>
        <w:t xml:space="preserve">25.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 рабочего дня, следующего за днем его подписания.</w:t>
      </w:r>
    </w:p>
    <w:bookmarkStart w:id="6430" w:name="P6430"/>
    <w:bookmarkEnd w:id="6430"/>
    <w:p>
      <w:pPr>
        <w:pStyle w:val="0"/>
        <w:spacing w:before="200" w:line-rule="auto"/>
        <w:ind w:firstLine="540"/>
        <w:jc w:val="both"/>
      </w:pPr>
      <w:r>
        <w:rPr>
          <w:sz w:val="20"/>
        </w:rPr>
        <w:t xml:space="preserve">26. Комиссия осуществляет оценку заявок в течение 10 рабочих дней со дня подписания протокола рассмотрения заявок.</w:t>
      </w:r>
    </w:p>
    <w:bookmarkStart w:id="6431" w:name="P6431"/>
    <w:bookmarkEnd w:id="6431"/>
    <w:p>
      <w:pPr>
        <w:pStyle w:val="0"/>
        <w:spacing w:before="200" w:line-rule="auto"/>
        <w:ind w:firstLine="540"/>
        <w:jc w:val="both"/>
      </w:pPr>
      <w:r>
        <w:rPr>
          <w:sz w:val="20"/>
        </w:rPr>
        <w:t xml:space="preserve">27. В целях оценки заявок используются </w:t>
      </w:r>
      <w:hyperlink w:history="0" w:anchor="P6585" w:tooltip="КРИТЕРИИ ОЦЕНКИ ЗАЯВОК ЮРИДИЧЕСКИХ ЛИЦ МОСКОВСКОЙ ОБЛАСТИ">
        <w:r>
          <w:rPr>
            <w:sz w:val="20"/>
            <w:color w:val="0000ff"/>
          </w:rPr>
          <w:t xml:space="preserve">критерии</w:t>
        </w:r>
      </w:hyperlink>
      <w:r>
        <w:rPr>
          <w:sz w:val="20"/>
        </w:rPr>
        <w:t xml:space="preserve"> оценки, и их весовое значение в общей оценке, предусмотренные в таблице 1 к Порядку.</w:t>
      </w:r>
    </w:p>
    <w:p>
      <w:pPr>
        <w:pStyle w:val="0"/>
        <w:spacing w:before="200" w:line-rule="auto"/>
        <w:ind w:firstLine="540"/>
        <w:jc w:val="both"/>
      </w:pPr>
      <w:r>
        <w:rPr>
          <w:sz w:val="20"/>
        </w:rPr>
        <w:t xml:space="preserve">Количество баллов n-го участника отбора (Rn) рассчитывается по формуле:</w:t>
      </w:r>
    </w:p>
    <w:p>
      <w:pPr>
        <w:pStyle w:val="0"/>
        <w:jc w:val="both"/>
      </w:pPr>
      <w:r>
        <w:rPr>
          <w:sz w:val="20"/>
        </w:rPr>
      </w:r>
    </w:p>
    <w:p>
      <w:pPr>
        <w:pStyle w:val="0"/>
        <w:jc w:val="center"/>
      </w:pPr>
      <w:r>
        <w:rPr>
          <w:position w:val="-10"/>
        </w:rPr>
        <w:drawing>
          <wp:inline distT="0" distB="0" distL="0" distR="0">
            <wp:extent cx="9239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w:t>
      </w:r>
      <w:r>
        <w:rPr>
          <w:sz w:val="20"/>
        </w:rPr>
        <w:t xml:space="preserve"> - весовое значение i-го критерия оценки (показателя критерия оценки);</w:t>
      </w:r>
    </w:p>
    <w:p>
      <w:pPr>
        <w:pStyle w:val="0"/>
        <w:spacing w:before="200" w:line-rule="auto"/>
        <w:ind w:firstLine="540"/>
        <w:jc w:val="both"/>
      </w:pPr>
      <w:r>
        <w:rPr>
          <w:sz w:val="20"/>
        </w:rPr>
        <w:t xml:space="preserve">F</w:t>
      </w:r>
      <w:r>
        <w:rPr>
          <w:sz w:val="20"/>
          <w:vertAlign w:val="subscript"/>
        </w:rPr>
        <w:t xml:space="preserve">in</w:t>
      </w:r>
      <w:r>
        <w:rPr>
          <w:sz w:val="20"/>
        </w:rPr>
        <w:t xml:space="preserve"> - количество баллов, присвоенных n-му участнику отбора по i-му критерию.</w:t>
      </w:r>
    </w:p>
    <w:p>
      <w:pPr>
        <w:pStyle w:val="0"/>
        <w:jc w:val="both"/>
      </w:pPr>
      <w:r>
        <w:rPr>
          <w:sz w:val="20"/>
        </w:rPr>
      </w:r>
    </w:p>
    <w:p>
      <w:pPr>
        <w:pStyle w:val="0"/>
        <w:ind w:firstLine="540"/>
        <w:jc w:val="both"/>
      </w:pPr>
      <w:r>
        <w:rPr>
          <w:sz w:val="20"/>
        </w:rPr>
        <w:t xml:space="preserve">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 и последующего деления на количество членов комиссии.</w:t>
      </w:r>
    </w:p>
    <w:p>
      <w:pPr>
        <w:pStyle w:val="0"/>
        <w:spacing w:before="200" w:line-rule="auto"/>
        <w:ind w:firstLine="540"/>
        <w:jc w:val="both"/>
      </w:pPr>
      <w:r>
        <w:rPr>
          <w:sz w:val="20"/>
        </w:rPr>
        <w:t xml:space="preserve">Сумма величин значимости всех применяемых критериев оценки, составляет 100 процентов.</w:t>
      </w:r>
    </w:p>
    <w:p>
      <w:pPr>
        <w:pStyle w:val="0"/>
        <w:spacing w:before="200" w:line-rule="auto"/>
        <w:ind w:firstLine="540"/>
        <w:jc w:val="both"/>
      </w:pPr>
      <w:r>
        <w:rPr>
          <w:sz w:val="20"/>
        </w:rPr>
        <w:t xml:space="preserve">Начисление баллов по критериям оценки осуществляется с использованием 100-балльной шкалы оценки.</w:t>
      </w:r>
    </w:p>
    <w:p>
      <w:pPr>
        <w:pStyle w:val="0"/>
        <w:spacing w:before="200" w:line-rule="auto"/>
        <w:ind w:firstLine="540"/>
        <w:jc w:val="both"/>
      </w:pPr>
      <w:r>
        <w:rPr>
          <w:sz w:val="20"/>
        </w:rPr>
        <w:t xml:space="preserve">Шкалы оценки по критериям оценки имеют конкретные значения.</w:t>
      </w:r>
    </w:p>
    <w:p>
      <w:pPr>
        <w:pStyle w:val="0"/>
        <w:spacing w:before="200" w:line-rule="auto"/>
        <w:ind w:firstLine="540"/>
        <w:jc w:val="both"/>
      </w:pPr>
      <w:r>
        <w:rPr>
          <w:sz w:val="20"/>
        </w:rPr>
        <w:t xml:space="preserve">Ранжирование заявок участников отбора, допущенных к отбору, осуществляется по мере уменьшения итоговой суммы баллов, полученных по итогам оценки заявок, и очередности их поступления в случае равенства количества полученных баллов.</w:t>
      </w:r>
    </w:p>
    <w:p>
      <w:pPr>
        <w:pStyle w:val="0"/>
        <w:spacing w:before="200" w:line-rule="auto"/>
        <w:ind w:firstLine="540"/>
        <w:jc w:val="both"/>
      </w:pPr>
      <w:r>
        <w:rPr>
          <w:sz w:val="20"/>
        </w:rPr>
        <w:t xml:space="preserve">По итогам оценки заявок в срок, указанный в </w:t>
      </w:r>
      <w:hyperlink w:history="0" w:anchor="P6430" w:tooltip="26. Комиссия осуществляет оценку заявок в течение 10 рабочих дней со дня подписания протокола рассмотрения заявок.">
        <w:r>
          <w:rPr>
            <w:sz w:val="20"/>
            <w:color w:val="0000ff"/>
          </w:rPr>
          <w:t xml:space="preserve">пункте 26</w:t>
        </w:r>
      </w:hyperlink>
      <w:r>
        <w:rPr>
          <w:sz w:val="20"/>
        </w:rPr>
        <w:t xml:space="preserve"> Порядка, комиссией составляется рейтинговый список участников отбора.</w:t>
      </w:r>
    </w:p>
    <w:p>
      <w:pPr>
        <w:pStyle w:val="0"/>
        <w:spacing w:before="200" w:line-rule="auto"/>
        <w:ind w:firstLine="540"/>
        <w:jc w:val="both"/>
      </w:pPr>
      <w:r>
        <w:rPr>
          <w:sz w:val="20"/>
        </w:rPr>
        <w:t xml:space="preserve">28. Победителями отбора признаются участники отбора, заявки которых расположены первой и последующими в рейтинговом списке, суммарный размер Гранта по которым не превышает предельного объема средств, предусмотренных на цели, указанные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доведенных до Мининвеста Московской области на предоставление Гранта на текущий финансовый год.</w:t>
      </w:r>
    </w:p>
    <w:p>
      <w:pPr>
        <w:pStyle w:val="0"/>
        <w:spacing w:before="200" w:line-rule="auto"/>
        <w:ind w:firstLine="540"/>
        <w:jc w:val="both"/>
      </w:pPr>
      <w:r>
        <w:rPr>
          <w:sz w:val="20"/>
        </w:rPr>
        <w:t xml:space="preserve">29.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(председателем комиссии и членами комиссии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30. Днем принятия решения о предоставлении Гранта является дата подписания протокола подведения итогов отбора председателем комиссии и членами комиссии.</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об участниках отбора, заявки которых были рассмотрены;</w:t>
      </w:r>
    </w:p>
    <w:p>
      <w:pPr>
        <w:pStyle w:val="0"/>
        <w:spacing w:before="200" w:line-rule="auto"/>
        <w:ind w:firstLine="540"/>
        <w:jc w:val="both"/>
      </w:pPr>
      <w:r>
        <w:rPr>
          <w:sz w:val="20"/>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00" w:line-rule="auto"/>
        <w:ind w:firstLine="540"/>
        <w:jc w:val="both"/>
      </w:pPr>
      <w:r>
        <w:rPr>
          <w:sz w:val="20"/>
        </w:rPr>
        <w:t xml:space="preserve">наименование получателя Гранта, с которым заключается Соглашение, и размер предоставляемого ему Гранта.</w:t>
      </w:r>
    </w:p>
    <w:p>
      <w:pPr>
        <w:pStyle w:val="0"/>
        <w:spacing w:before="200" w:line-rule="auto"/>
        <w:ind w:firstLine="540"/>
        <w:jc w:val="both"/>
      </w:pPr>
      <w:r>
        <w:rPr>
          <w:sz w:val="20"/>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0"/>
        <w:spacing w:before="200" w:line-rule="auto"/>
        <w:ind w:firstLine="540"/>
        <w:jc w:val="both"/>
      </w:pPr>
      <w:r>
        <w:rPr>
          <w:sz w:val="20"/>
        </w:rPr>
        <w:t xml:space="preserve">31. Отбор признается комиссией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настоящем пункте, Мининвест Московской области в течение 10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32.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Гранта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Мининвеста Московской области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6468" w:name="P6468"/>
    <w:bookmarkEnd w:id="6468"/>
    <w:p>
      <w:pPr>
        <w:pStyle w:val="0"/>
        <w:spacing w:before="200" w:line-rule="auto"/>
        <w:ind w:firstLine="540"/>
        <w:jc w:val="both"/>
      </w:pPr>
      <w:r>
        <w:rPr>
          <w:sz w:val="20"/>
        </w:rPr>
        <w:t xml:space="preserve">33.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направить в Мининвест Московской области запрос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Мининвест Московской области в ответ на запрос, указанный в </w:t>
      </w:r>
      <w:hyperlink w:history="0" w:anchor="P6468" w:tooltip="33.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ить в Мининвест Московской области запрос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предоставляется всем участникам отбора.</w:t>
      </w:r>
    </w:p>
    <w:p>
      <w:pPr>
        <w:pStyle w:val="0"/>
        <w:jc w:val="both"/>
      </w:pPr>
      <w:r>
        <w:rPr>
          <w:sz w:val="20"/>
        </w:rPr>
      </w:r>
    </w:p>
    <w:p>
      <w:pPr>
        <w:pStyle w:val="2"/>
        <w:outlineLvl w:val="4"/>
        <w:jc w:val="center"/>
      </w:pPr>
      <w:r>
        <w:rPr>
          <w:sz w:val="20"/>
        </w:rPr>
        <w:t xml:space="preserve">III. Условия и порядок предоставления Гранта</w:t>
      </w:r>
    </w:p>
    <w:p>
      <w:pPr>
        <w:pStyle w:val="0"/>
        <w:jc w:val="both"/>
      </w:pPr>
      <w:r>
        <w:rPr>
          <w:sz w:val="20"/>
        </w:rPr>
      </w:r>
    </w:p>
    <w:p>
      <w:pPr>
        <w:pStyle w:val="0"/>
        <w:ind w:firstLine="540"/>
        <w:jc w:val="both"/>
      </w:pPr>
      <w:r>
        <w:rPr>
          <w:sz w:val="20"/>
        </w:rPr>
        <w:t xml:space="preserve">34. Направления расходов, источником финансового обеспечения которых является Грант:</w:t>
      </w:r>
    </w:p>
    <w:p>
      <w:pPr>
        <w:pStyle w:val="0"/>
        <w:spacing w:before="200" w:line-rule="auto"/>
        <w:ind w:firstLine="540"/>
        <w:jc w:val="both"/>
      </w:pPr>
      <w:r>
        <w:rPr>
          <w:sz w:val="20"/>
        </w:rPr>
        <w:t xml:space="preserve">оплата труда исполнителей проекта, включая единый социальный налог;</w:t>
      </w:r>
    </w:p>
    <w:p>
      <w:pPr>
        <w:pStyle w:val="0"/>
        <w:spacing w:before="200" w:line-rule="auto"/>
        <w:ind w:firstLine="540"/>
        <w:jc w:val="both"/>
      </w:pPr>
      <w:r>
        <w:rPr>
          <w:sz w:val="20"/>
        </w:rPr>
        <w:t xml:space="preserve">общехозяйственные расходы, связанные с реализацией проекта (арендная плата за пользование имуществом, оплата коммунальных услуг);</w:t>
      </w:r>
    </w:p>
    <w:p>
      <w:pPr>
        <w:pStyle w:val="0"/>
        <w:spacing w:before="200" w:line-rule="auto"/>
        <w:ind w:firstLine="540"/>
        <w:jc w:val="both"/>
      </w:pPr>
      <w:r>
        <w:rPr>
          <w:sz w:val="20"/>
        </w:rPr>
        <w:t xml:space="preserve">приобретение материальных запасов и основных средств, необходимых для реализации проекта;</w:t>
      </w:r>
    </w:p>
    <w:p>
      <w:pPr>
        <w:pStyle w:val="0"/>
        <w:spacing w:before="200" w:line-rule="auto"/>
        <w:ind w:firstLine="540"/>
        <w:jc w:val="both"/>
      </w:pPr>
      <w:r>
        <w:rPr>
          <w:sz w:val="20"/>
        </w:rPr>
        <w:t xml:space="preserve">расходы на оказание услуг (выполнение работ) привлекаемыми организациями в целях реализации проекта.</w:t>
      </w:r>
    </w:p>
    <w:bookmarkStart w:id="6479" w:name="P6479"/>
    <w:bookmarkEnd w:id="6479"/>
    <w:p>
      <w:pPr>
        <w:pStyle w:val="0"/>
        <w:spacing w:before="200" w:line-rule="auto"/>
        <w:ind w:firstLine="540"/>
        <w:jc w:val="both"/>
      </w:pPr>
      <w:r>
        <w:rPr>
          <w:sz w:val="20"/>
        </w:rPr>
        <w:t xml:space="preserve">35. Размер Гранта определяется в соответствии с предельным размером Гранта. Предельный размер Гранта составляет 10000000 (десять миллионов) рублей 00 копеек.</w:t>
      </w:r>
    </w:p>
    <w:p>
      <w:pPr>
        <w:pStyle w:val="0"/>
        <w:spacing w:before="200" w:line-rule="auto"/>
        <w:ind w:firstLine="540"/>
        <w:jc w:val="both"/>
      </w:pPr>
      <w:r>
        <w:rPr>
          <w:sz w:val="20"/>
        </w:rPr>
        <w:t xml:space="preserve">36. Распределение Гранта между участниками отбора, включенными в рейтинговый список, указанный в </w:t>
      </w:r>
      <w:hyperlink w:history="0" w:anchor="P6431" w:tooltip="27. В целях оценки заявок используются критерии оценки, и их весовое значение в общей оценке, предусмотренные в таблице 1 к Порядку.">
        <w:r>
          <w:rPr>
            <w:sz w:val="20"/>
            <w:color w:val="0000ff"/>
          </w:rPr>
          <w:t xml:space="preserve">пункте 27</w:t>
        </w:r>
      </w:hyperlink>
      <w:r>
        <w:rPr>
          <w:sz w:val="20"/>
        </w:rPr>
        <w:t xml:space="preserve"> Порядка, осуществляется в размере, установленном в </w:t>
      </w:r>
      <w:hyperlink w:history="0" w:anchor="P6479" w:tooltip="35. Размер Гранта определяется в соответствии с предельным размером Гранта. Предельный размер Гранта составляет 10000000 (десять миллионов) рублей 00 копеек.">
        <w:r>
          <w:rPr>
            <w:sz w:val="20"/>
            <w:color w:val="0000ff"/>
          </w:rPr>
          <w:t xml:space="preserve">пункте 35</w:t>
        </w:r>
      </w:hyperlink>
      <w:r>
        <w:rPr>
          <w:sz w:val="20"/>
        </w:rPr>
        <w:t xml:space="preserve"> Порядка.</w:t>
      </w:r>
    </w:p>
    <w:p>
      <w:pPr>
        <w:pStyle w:val="0"/>
        <w:spacing w:before="200" w:line-rule="auto"/>
        <w:ind w:firstLine="540"/>
        <w:jc w:val="both"/>
      </w:pPr>
      <w:r>
        <w:rPr>
          <w:sz w:val="20"/>
        </w:rPr>
        <w:t xml:space="preserve">37. Грант предоставляется при условии согласия получателя Гранта и обеспечении получателем Гранта получения согласия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Гранта, в том числе в части достижения результата предоставления Гранта в том числе в части достижения характеристик результата предоставления Гранта, необходимых для достижения результативности проекта, а также проверки органами государственного финансового контроля в соответствии со </w:t>
      </w:r>
      <w:hyperlink w:history="0" r:id="rId44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4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38. Получателю Гранта, а также иным юридическим лицам, получающим средства на основании договоров (соглашений), заключенных с получателями Гранта, запрещается приобретать средства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39. По результатам отбора с победителем отбора заключается Соглашение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В целях заключения Соглашения победителем отбора в ГИС "РЭБ" уточняется информация о счетах в соответствии с законодательством Российской Федерации для перечисления Гранта.</w:t>
      </w:r>
    </w:p>
    <w:bookmarkStart w:id="6486" w:name="P6486"/>
    <w:bookmarkEnd w:id="6486"/>
    <w:p>
      <w:pPr>
        <w:pStyle w:val="0"/>
        <w:spacing w:before="200" w:line-rule="auto"/>
        <w:ind w:firstLine="540"/>
        <w:jc w:val="both"/>
      </w:pPr>
      <w:r>
        <w:rPr>
          <w:sz w:val="20"/>
        </w:rPr>
        <w:t xml:space="preserve">40. Соглашение заключается с победителем отбора в течение 20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Гранта) требованиям, установленным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41.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42. Мининвестом Московской области не позднее 5 рабочего дня, следующего за днем принятия решения о предоставлении Гранта, размещает Соглашения в форме электронного документа в ГИС "РЭБ".</w:t>
      </w:r>
    </w:p>
    <w:bookmarkStart w:id="6492" w:name="P6492"/>
    <w:bookmarkEnd w:id="6492"/>
    <w:p>
      <w:pPr>
        <w:pStyle w:val="0"/>
        <w:spacing w:before="200" w:line-rule="auto"/>
        <w:ind w:firstLine="540"/>
        <w:jc w:val="both"/>
      </w:pPr>
      <w:r>
        <w:rPr>
          <w:sz w:val="20"/>
        </w:rPr>
        <w:t xml:space="preserve">Получатель Гранта не позднее 5 рабочих дней, следующих за днем размещения Соглашения в ГИС "РЭБ", подписывает Соглашение в ГИС "РЭБ" усиленной квалифицированной электронной подписью лица, имеющего право действовать от имени получателя Гранта.</w:t>
      </w:r>
    </w:p>
    <w:p>
      <w:pPr>
        <w:pStyle w:val="0"/>
        <w:spacing w:before="200" w:line-rule="auto"/>
        <w:ind w:firstLine="540"/>
        <w:jc w:val="both"/>
      </w:pPr>
      <w:r>
        <w:rPr>
          <w:sz w:val="20"/>
        </w:rPr>
        <w:t xml:space="preserve">В случае не подписания получателем Гранта Соглашения в ГИС "РЭБ" в срок, установленный </w:t>
      </w:r>
      <w:hyperlink w:history="0" w:anchor="P6492" w:tooltip="Получатель Гранта не позднее 5 рабочих дней, следующих за днем размещения Соглашения в ГИС &quot;РЭБ&quot;, подписывает Соглашение в ГИС &quot;РЭБ&quot; усиленной квалифицированной электронной подписью лица, имеющего право действовать от имени получателя Гранта.">
        <w:r>
          <w:rPr>
            <w:sz w:val="20"/>
            <w:color w:val="0000ff"/>
          </w:rPr>
          <w:t xml:space="preserve">абзацем вторым</w:t>
        </w:r>
      </w:hyperlink>
      <w:r>
        <w:rPr>
          <w:sz w:val="20"/>
        </w:rPr>
        <w:t xml:space="preserve"> 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Гранта проекта Соглашения в ГИС "РЭБ" в срок, установленный </w:t>
      </w:r>
      <w:hyperlink w:history="0" w:anchor="P6492" w:tooltip="Получатель Гранта не позднее 5 рабочих дней, следующих за днем размещения Соглашения в ГИС &quot;РЭБ&quot;, подписывает Соглашение в ГИС &quot;РЭБ&quot; усиленной квалифицированной электронной подписью лица, имеющего право действовать от имени получателя Гранта.">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10 рабочих дней, следующих за днем размещения Соглашения в ГИС "РЭБ".</w:t>
      </w:r>
    </w:p>
    <w:p>
      <w:pPr>
        <w:pStyle w:val="0"/>
        <w:spacing w:before="200" w:line-rule="auto"/>
        <w:ind w:firstLine="540"/>
        <w:jc w:val="both"/>
      </w:pPr>
      <w:r>
        <w:rPr>
          <w:sz w:val="20"/>
        </w:rPr>
        <w:t xml:space="preserve">43.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Мининвестом Московской области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о согласии получателя Гранта, лиц, получающих средства 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Гранта, в том числе в части достижения результата предоставления Гранта (и его характеристик), а также проверки органами государственного финансового контроля в соответствии со </w:t>
      </w:r>
      <w:hyperlink w:history="0" r:id="rId4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о запрете приобретения получателем Гранта, а также иными юридическими лицами, получающими средства на основании договоров (соглашений), заключенных с получателями Гранта, средств иностранной валюты за счет средств Гранта,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об обязательстве получателя Гранта по целевому использованию средств Гранта и соблюдению порядка представления отчетности по каждому этапу выполнения проекта;</w:t>
      </w:r>
    </w:p>
    <w:p>
      <w:pPr>
        <w:pStyle w:val="0"/>
        <w:spacing w:before="200" w:line-rule="auto"/>
        <w:ind w:firstLine="540"/>
        <w:jc w:val="both"/>
      </w:pPr>
      <w:r>
        <w:rPr>
          <w:sz w:val="20"/>
        </w:rPr>
        <w:t xml:space="preserve">об обязательстве получателя Гранта о возврате в бюджет Московской области средств Гранта в случае их нецелевого использования и (или) неиспользованных остатков этих средств в соответствии с законодательством Российской Федерации;</w:t>
      </w:r>
    </w:p>
    <w:p>
      <w:pPr>
        <w:pStyle w:val="0"/>
        <w:spacing w:before="200" w:line-rule="auto"/>
        <w:ind w:firstLine="540"/>
        <w:jc w:val="both"/>
      </w:pPr>
      <w:r>
        <w:rPr>
          <w:sz w:val="20"/>
        </w:rPr>
        <w:t xml:space="preserve">об обязательствах, указанных в абзацах шестнадцатом, семнадцатом </w:t>
      </w:r>
      <w:hyperlink w:history="0" w:anchor="P6331" w:tooltip="12. Требования к участникам отбора, которым они должны соответствовать на даты рассмотрения заявки и заключения Соглашения о предоставлении Гранта:">
        <w:r>
          <w:rPr>
            <w:sz w:val="20"/>
            <w:color w:val="0000ff"/>
          </w:rPr>
          <w:t xml:space="preserve">пункта 12</w:t>
        </w:r>
      </w:hyperlink>
      <w:r>
        <w:rPr>
          <w:sz w:val="20"/>
        </w:rPr>
        <w:t xml:space="preserve"> Порядка;</w:t>
      </w:r>
    </w:p>
    <w:p>
      <w:pPr>
        <w:pStyle w:val="0"/>
        <w:spacing w:before="200" w:line-rule="auto"/>
        <w:ind w:firstLine="540"/>
        <w:jc w:val="both"/>
      </w:pPr>
      <w:r>
        <w:rPr>
          <w:sz w:val="20"/>
        </w:rPr>
        <w:t xml:space="preserve">об обязательстве получателя Гранта о представлении сведений об уплате сумм налога на добавленную стоимость, налога на имущество организации, налога на прибыль организации, а также уплаченных страховых взносов, в рамках отчета в год завершения проекта и год, следующий за ним;</w:t>
      </w:r>
    </w:p>
    <w:p>
      <w:pPr>
        <w:pStyle w:val="0"/>
        <w:spacing w:before="200" w:line-rule="auto"/>
        <w:ind w:firstLine="540"/>
        <w:jc w:val="both"/>
      </w:pPr>
      <w:r>
        <w:rPr>
          <w:sz w:val="20"/>
        </w:rPr>
        <w:t xml:space="preserve">о закреплении за получателем Гранта прав на результаты интеллектуальной деятельности, созданные на средства Гранта;</w:t>
      </w:r>
    </w:p>
    <w:p>
      <w:pPr>
        <w:pStyle w:val="0"/>
        <w:spacing w:before="200" w:line-rule="auto"/>
        <w:ind w:firstLine="540"/>
        <w:jc w:val="both"/>
      </w:pPr>
      <w:r>
        <w:rPr>
          <w:sz w:val="20"/>
        </w:rPr>
        <w:t xml:space="preserve">о направлении получателем Гранта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w:history="0" r:id="rId452" w:tooltip="Постановление Правительства РФ от 12.04.2013 N 327 (ред. от 15.01.2025) &quot;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quot; (вместе с &quot;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pPr>
        <w:pStyle w:val="0"/>
        <w:spacing w:before="200" w:line-rule="auto"/>
        <w:ind w:firstLine="540"/>
        <w:jc w:val="both"/>
      </w:pPr>
      <w:r>
        <w:rPr>
          <w:sz w:val="20"/>
        </w:rPr>
        <w:t xml:space="preserve">44. Основания для отказа получателю Гранта в предоставлении Гранта:</w:t>
      </w:r>
    </w:p>
    <w:p>
      <w:pPr>
        <w:pStyle w:val="0"/>
        <w:spacing w:before="200" w:line-rule="auto"/>
        <w:ind w:firstLine="540"/>
        <w:jc w:val="both"/>
      </w:pPr>
      <w:r>
        <w:rPr>
          <w:sz w:val="20"/>
        </w:rPr>
        <w:t xml:space="preserve">несоответствие представленных получателем Гранта документов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Гранта информации;</w:t>
      </w:r>
    </w:p>
    <w:p>
      <w:pPr>
        <w:pStyle w:val="0"/>
        <w:spacing w:before="200" w:line-rule="auto"/>
        <w:ind w:firstLine="540"/>
        <w:jc w:val="both"/>
      </w:pPr>
      <w:r>
        <w:rPr>
          <w:sz w:val="20"/>
        </w:rP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p>
      <w:pPr>
        <w:pStyle w:val="0"/>
        <w:spacing w:before="200" w:line-rule="auto"/>
        <w:ind w:firstLine="540"/>
        <w:jc w:val="both"/>
      </w:pPr>
      <w:r>
        <w:rPr>
          <w:sz w:val="20"/>
        </w:rPr>
        <w:t xml:space="preserve">45. Перечисление Гранта осуществляется в течение 10 рабочих дней со дня принятия решения о перечислении Гранта. Решение о перечислении Гранта утверждается приказом Мининвеста Московской области.</w:t>
      </w:r>
    </w:p>
    <w:p>
      <w:pPr>
        <w:pStyle w:val="0"/>
        <w:spacing w:before="200" w:line-rule="auto"/>
        <w:ind w:firstLine="540"/>
        <w:jc w:val="both"/>
      </w:pPr>
      <w:r>
        <w:rPr>
          <w:sz w:val="20"/>
        </w:rPr>
        <w:t xml:space="preserve">По итогам рассмотрения финансового отчета первого этапа об использовании собственных средств получателя Гранта и привлеченных средств организации, а также индивидуального предпринимателя,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(далее - финансовый отчет первого этапа), Мининвест Московской области принимает решение о перечислении Гранта или об отказе в перечислении Гранта в случае нарушения условий Соглашения.</w:t>
      </w:r>
    </w:p>
    <w:p>
      <w:pPr>
        <w:pStyle w:val="0"/>
        <w:spacing w:before="200" w:line-rule="auto"/>
        <w:ind w:firstLine="540"/>
        <w:jc w:val="both"/>
      </w:pPr>
      <w:r>
        <w:rPr>
          <w:sz w:val="20"/>
        </w:rPr>
        <w:t xml:space="preserve">Грант подлежит перечислению на расчетный счет, открытый получателю Гранта в кредитной организации, указанный в Соглашении.</w:t>
      </w:r>
    </w:p>
    <w:p>
      <w:pPr>
        <w:pStyle w:val="0"/>
        <w:spacing w:before="200" w:line-rule="auto"/>
        <w:ind w:firstLine="540"/>
        <w:jc w:val="both"/>
      </w:pPr>
      <w:r>
        <w:rPr>
          <w:sz w:val="20"/>
        </w:rPr>
        <w:t xml:space="preserve">46.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Гранта в форме разделения, выделения,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не использованного остатка Гранта в бюджет Московской области.</w:t>
      </w:r>
    </w:p>
    <w:p>
      <w:pPr>
        <w:pStyle w:val="0"/>
        <w:spacing w:before="200" w:line-rule="auto"/>
        <w:ind w:firstLine="540"/>
        <w:jc w:val="both"/>
      </w:pPr>
      <w:r>
        <w:rPr>
          <w:sz w:val="20"/>
        </w:rPr>
        <w:t xml:space="preserve">47. Результатом предоставления Гранта является: реализация проектов в сферах науки, технологий, техники и инноваций, поддержанных за счет предоставления Гранта из бюджета Московской области.</w:t>
      </w:r>
    </w:p>
    <w:p>
      <w:pPr>
        <w:pStyle w:val="0"/>
        <w:spacing w:before="200" w:line-rule="auto"/>
        <w:ind w:firstLine="540"/>
        <w:jc w:val="both"/>
      </w:pPr>
      <w:r>
        <w:rPr>
          <w:sz w:val="20"/>
        </w:rPr>
        <w:t xml:space="preserve">Характеристиками результата предоставления Гранта являются:</w:t>
      </w:r>
    </w:p>
    <w:p>
      <w:pPr>
        <w:pStyle w:val="0"/>
        <w:spacing w:before="200" w:line-rule="auto"/>
        <w:ind w:firstLine="540"/>
        <w:jc w:val="both"/>
      </w:pPr>
      <w:r>
        <w:rPr>
          <w:sz w:val="20"/>
        </w:rPr>
        <w:t xml:space="preserve">1) выручка от реализации продукции (услуг), разработанной в рамках проекта;</w:t>
      </w:r>
    </w:p>
    <w:p>
      <w:pPr>
        <w:pStyle w:val="0"/>
        <w:spacing w:before="200" w:line-rule="auto"/>
        <w:ind w:firstLine="540"/>
        <w:jc w:val="both"/>
      </w:pPr>
      <w:r>
        <w:rPr>
          <w:sz w:val="20"/>
        </w:rPr>
        <w:t xml:space="preserve">2) объем затрат организации на научные исследования и разработки;</w:t>
      </w:r>
    </w:p>
    <w:p>
      <w:pPr>
        <w:pStyle w:val="0"/>
        <w:spacing w:before="200" w:line-rule="auto"/>
        <w:ind w:firstLine="540"/>
        <w:jc w:val="both"/>
      </w:pPr>
      <w:r>
        <w:rPr>
          <w:sz w:val="20"/>
        </w:rPr>
        <w:t xml:space="preserve">3) количество высокотехнологичных рабочих мест, созданных в организации получателя Гранта;</w:t>
      </w:r>
    </w:p>
    <w:p>
      <w:pPr>
        <w:pStyle w:val="0"/>
        <w:spacing w:before="200" w:line-rule="auto"/>
        <w:ind w:firstLine="540"/>
        <w:jc w:val="both"/>
      </w:pPr>
      <w:r>
        <w:rPr>
          <w:sz w:val="20"/>
        </w:rPr>
        <w:t xml:space="preserve">4) количество опубликованных в рамках проекта статей в научных изданиях, учитываемых Российским индексом научного цитирования и Высшей аттестационной комиссии;</w:t>
      </w:r>
    </w:p>
    <w:p>
      <w:pPr>
        <w:pStyle w:val="0"/>
        <w:spacing w:before="200" w:line-rule="auto"/>
        <w:ind w:firstLine="540"/>
        <w:jc w:val="both"/>
      </w:pPr>
      <w:r>
        <w:rPr>
          <w:sz w:val="20"/>
        </w:rPr>
        <w:t xml:space="preserve">5) количество патентов на изобретения, полезные модели, промышленные образцы (свидетельств для ЭВМ, баз данных, топологий интегральных микросхем), полученных в рамках проекта после получения Гранта.</w:t>
      </w:r>
    </w:p>
    <w:p>
      <w:pPr>
        <w:pStyle w:val="0"/>
        <w:spacing w:before="200" w:line-rule="auto"/>
        <w:ind w:firstLine="540"/>
        <w:jc w:val="both"/>
      </w:pPr>
      <w:r>
        <w:rPr>
          <w:sz w:val="20"/>
        </w:rPr>
        <w:t xml:space="preserve">Результаты интеллектуальной деятельности, полученные по итогам прикладных научных исследований и (или) экспериментальных разработок, должны быть способны к правовой охране в качестве объекта патентных прав.</w:t>
      </w:r>
    </w:p>
    <w:p>
      <w:pPr>
        <w:pStyle w:val="0"/>
        <w:spacing w:before="200" w:line-rule="auto"/>
        <w:ind w:firstLine="540"/>
        <w:jc w:val="both"/>
      </w:pPr>
      <w:r>
        <w:rPr>
          <w:sz w:val="20"/>
        </w:rPr>
        <w:t xml:space="preserve">Срок завершения работ по второму этапу реализации проекта - не позднее 25 декабря каждого года.</w:t>
      </w:r>
    </w:p>
    <w:p>
      <w:pPr>
        <w:pStyle w:val="0"/>
        <w:spacing w:before="200" w:line-rule="auto"/>
        <w:ind w:firstLine="540"/>
        <w:jc w:val="both"/>
      </w:pPr>
      <w:r>
        <w:rPr>
          <w:sz w:val="20"/>
        </w:rPr>
        <w:t xml:space="preserve">Точная дата завершения, конечное значение результата предоставления Гранта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48. Получатель Гранта вправе осуществлять расходы, источником финансового обеспечения, которых является не использованный в отчетном финансовом году остаток Гранта на цель, указанную в </w:t>
      </w:r>
      <w:hyperlink w:history="0" w:anchor="P6289" w:tooltip="5. Целью предоставления Гранта является финансовое обеспечение затрат получателя Гранта на осуществление научных, научно-технических и инновационных проектов, особо значимых для Московской области включенных в Перечень тем научных исследований и разработок, утвержденный Мининвестом Московской области (далее соответственно - проекты, Перечень тем).">
        <w:r>
          <w:rPr>
            <w:sz w:val="20"/>
            <w:color w:val="0000ff"/>
          </w:rPr>
          <w:t xml:space="preserve">пункте 5</w:t>
        </w:r>
      </w:hyperlink>
      <w:r>
        <w:rPr>
          <w:sz w:val="20"/>
        </w:rPr>
        <w:t xml:space="preserve"> Порядка при принятии Мининвестом Московской области по согласованию с Министерством экономики и финансов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49. Отчеты о достижении значений результата предоставления Гранта (а также характеристик результата и об осуществлении расходов, источником финансового обеспечения которых является Грант, с приложением документов, подтверждающих такие расходы получателя Гранта (платежные поручения, расчетные ведомости, реестры зачисления, договоры, счета (счета на оплату), акты выполненных работ (оказанных услуг), универсальные передаточные документы, товарные накладные, счета-фактуры), представляются получателем Гранта в Мининвест Московской области ежеквартально не позднее 10 рабочего дня, следующего за отчетным кварталом.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Гранта юридическим лицам - производителям товаров, работ, услуг.</w:t>
      </w:r>
    </w:p>
    <w:p>
      <w:pPr>
        <w:pStyle w:val="0"/>
        <w:spacing w:before="200" w:line-rule="auto"/>
        <w:ind w:firstLine="540"/>
        <w:jc w:val="both"/>
      </w:pPr>
      <w:r>
        <w:rPr>
          <w:sz w:val="20"/>
        </w:rPr>
        <w:t xml:space="preserve">В целях контроля за исполнением условий Соглашения получатель Гранта представляет в Мининвест Московской области:</w:t>
      </w:r>
    </w:p>
    <w:p>
      <w:pPr>
        <w:pStyle w:val="0"/>
        <w:spacing w:before="200" w:line-rule="auto"/>
        <w:ind w:firstLine="540"/>
        <w:jc w:val="both"/>
      </w:pPr>
      <w:r>
        <w:rPr>
          <w:sz w:val="20"/>
        </w:rPr>
        <w:t xml:space="preserve">финансовый отчет первого этапа об использовании собственных средств получателя Гранта в течение 10 рабочих дней со дня окончания первого этапа работ;</w:t>
      </w:r>
    </w:p>
    <w:p>
      <w:pPr>
        <w:pStyle w:val="0"/>
        <w:spacing w:before="200" w:line-rule="auto"/>
        <w:ind w:firstLine="540"/>
        <w:jc w:val="both"/>
      </w:pPr>
      <w:r>
        <w:rPr>
          <w:sz w:val="20"/>
        </w:rPr>
        <w:t xml:space="preserve">финансовый отчет второго этапа о результатах использования Гранта не позднее 10 рабочего дня, следующего за отчетным годом;</w:t>
      </w:r>
    </w:p>
    <w:p>
      <w:pPr>
        <w:pStyle w:val="0"/>
        <w:spacing w:before="200" w:line-rule="auto"/>
        <w:ind w:firstLine="540"/>
        <w:jc w:val="both"/>
      </w:pPr>
      <w:r>
        <w:rPr>
          <w:sz w:val="20"/>
        </w:rPr>
        <w:t xml:space="preserve">отчет по достигнутым характеристикам результата предоставления Гранта не позднее 10 рабочего дня, с даты завершения второго этапа реализации проекта;</w:t>
      </w:r>
    </w:p>
    <w:p>
      <w:pPr>
        <w:pStyle w:val="0"/>
        <w:spacing w:before="200" w:line-rule="auto"/>
        <w:ind w:firstLine="540"/>
        <w:jc w:val="both"/>
      </w:pPr>
      <w:r>
        <w:rPr>
          <w:sz w:val="20"/>
        </w:rPr>
        <w:t xml:space="preserve">научно-технический отчет о результатах выполнения двух этапов проекта ежегодно не позднее 10 рабочего дня, следующего за отчетным годом.</w:t>
      </w:r>
    </w:p>
    <w:p>
      <w:pPr>
        <w:pStyle w:val="0"/>
        <w:spacing w:before="200" w:line-rule="auto"/>
        <w:ind w:firstLine="540"/>
        <w:jc w:val="both"/>
      </w:pPr>
      <w:r>
        <w:rPr>
          <w:sz w:val="20"/>
        </w:rPr>
        <w:t xml:space="preserve">Формы и сроки дополнительной отчетности, подлежащей представлению получателем Гранта, определяются Соглашением.</w:t>
      </w:r>
    </w:p>
    <w:p>
      <w:pPr>
        <w:pStyle w:val="0"/>
        <w:spacing w:before="200" w:line-rule="auto"/>
        <w:ind w:firstLine="540"/>
        <w:jc w:val="both"/>
      </w:pPr>
      <w:r>
        <w:rPr>
          <w:sz w:val="20"/>
        </w:rPr>
        <w:t xml:space="preserve">50. Проверка и принятие отчетности, представляемой в соответствии настоящим разделом, осуществляется Мининвестом Московской области в течение 30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Мининвестом Московской области принимает представленную получателем Гранта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Гранта отчетности требованиям, установленным Порядком, Мининвестом Московской области в течение 5 рабочих дней направляет получателю Гранта уведомление об исправлении представленных отчетов и повторном их направлении в Мининвестом Московской области в срок, указанный в уведомлении.</w:t>
      </w:r>
    </w:p>
    <w:p>
      <w:pPr>
        <w:pStyle w:val="0"/>
        <w:spacing w:before="200" w:line-rule="auto"/>
        <w:ind w:firstLine="540"/>
        <w:jc w:val="both"/>
      </w:pPr>
      <w:r>
        <w:rPr>
          <w:sz w:val="20"/>
        </w:rPr>
        <w:t xml:space="preserve">Не устранение получателем Гранта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Гранта порядка и условий предоставления Гранта в соответствии с </w:t>
      </w:r>
      <w:hyperlink w:history="0" w:anchor="P6544" w:tooltip="51. Мининвестом Московской области осуществляет в отношении получателя Гранта и лиц, получающих средства на основании договоров (соглашений), заключенных с получателем Гранта, проверку соблюдения им порядка и условий предоставления Гранта, в том числе в части достижения результата его предоставления.">
        <w:r>
          <w:rPr>
            <w:sz w:val="20"/>
            <w:color w:val="0000ff"/>
          </w:rPr>
          <w:t xml:space="preserve">пунктом 51</w:t>
        </w:r>
      </w:hyperlink>
      <w:r>
        <w:rPr>
          <w:sz w:val="20"/>
        </w:rPr>
        <w:t xml:space="preserve"> Порядка.</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Гранта и ответственность за их нарушение</w:t>
      </w:r>
    </w:p>
    <w:p>
      <w:pPr>
        <w:pStyle w:val="0"/>
        <w:jc w:val="both"/>
      </w:pPr>
      <w:r>
        <w:rPr>
          <w:sz w:val="20"/>
        </w:rPr>
      </w:r>
    </w:p>
    <w:bookmarkStart w:id="6544" w:name="P6544"/>
    <w:bookmarkEnd w:id="6544"/>
    <w:p>
      <w:pPr>
        <w:pStyle w:val="0"/>
        <w:ind w:firstLine="540"/>
        <w:jc w:val="both"/>
      </w:pPr>
      <w:r>
        <w:rPr>
          <w:sz w:val="20"/>
        </w:rPr>
        <w:t xml:space="preserve">51. Мининвестом Московской области осуществляет в отношении получателя Гранта и лиц, получающих средства на основании договоров (соглашений), заключенных с получателем Гранта, проверку соблюдения им порядка и условий предоставления Гранта, в том числе в части достижения результата его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Гранта и лиц, получающих средства на основании договоров (соглашений), заключенных с получателем Гранта, в соответствии со </w:t>
      </w:r>
      <w:hyperlink w:history="0" r:id="rId4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Гранта исходя из достижения значений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Мининвест Московской области при проведении контроля достижения значений предоставления Гранта проводит оценку зрелости разработанной технологии в соответствии с </w:t>
      </w:r>
      <w:hyperlink w:history="0" r:id="rId455" w:tooltip="&quot;ГОСТ Р 58048-2017. Национальный стандарт Российской Федерации. Трансфер технологий. Методические указания по оценке уровня зрелости технологий&quot; (утв. и введен в действие Приказом Росстандарта от 29.12.2017 N 2128-ст) {КонсультантПлюс}">
        <w:r>
          <w:rPr>
            <w:sz w:val="20"/>
            <w:color w:val="0000ff"/>
          </w:rPr>
          <w:t xml:space="preserve">ГОСТ Р 58048-2017</w:t>
        </w:r>
      </w:hyperlink>
      <w:r>
        <w:rPr>
          <w:sz w:val="20"/>
        </w:rPr>
        <w:t xml:space="preserve"> "Национальный стандарт Российской Федерации. Трансфер технологий. Методические указания по оценке уровня зрелости технологий".</w:t>
      </w:r>
    </w:p>
    <w:p>
      <w:pPr>
        <w:pStyle w:val="0"/>
        <w:spacing w:before="200" w:line-rule="auto"/>
        <w:ind w:firstLine="540"/>
        <w:jc w:val="both"/>
      </w:pPr>
      <w:r>
        <w:rPr>
          <w:sz w:val="20"/>
        </w:rPr>
        <w:t xml:space="preserve">52. В случае нарушения получателем Гранта условий, установленных при предоставлении Гранта, выявленного в том числе по фактам проверок, проведенных Мининвестом Московской области и органом государственного финансового контроля, получатель Гранта обеспечивает возврат средств Гранта (средств, полученных на основании договоров (соглашений), заключенных с получателем Гранта), использованных с нарушением таких условий, в бюджет Московской области в течение 10 рабочих дней со дня получения от Мининвеста Московской области соответствующего требования о возврате средств Гранта (средств, полученных на основании договоров (соглашений), заключенных с получателем Гранта)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53. В случае недостижения значений результата предоставления Гранта получатель Гранта обеспечивает возврат средств Гранта (средств, полученных на основании договоров (соглашений), заключенных с получателем Гранта)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Гранта (средств, полученных на основании договоров (соглашений), заключенных с получателем Гранта) или в срок, указанный в акте органа государственного финансового контроля, в размере, рассчитанном пропорционально недостигнутым характеристикам результата предоставления Гранта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V</w:t>
      </w:r>
      <w:r>
        <w:rPr>
          <w:sz w:val="20"/>
          <w:vertAlign w:val="subscript"/>
        </w:rPr>
        <w:t xml:space="preserve">гранта</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размер Гранта, подлежащий возврату;</w:t>
      </w:r>
    </w:p>
    <w:p>
      <w:pPr>
        <w:pStyle w:val="0"/>
        <w:spacing w:before="200" w:line-rule="auto"/>
        <w:ind w:firstLine="540"/>
        <w:jc w:val="both"/>
      </w:pPr>
      <w:r>
        <w:rPr>
          <w:sz w:val="20"/>
        </w:rPr>
        <w:t xml:space="preserve">V</w:t>
      </w:r>
      <w:r>
        <w:rPr>
          <w:sz w:val="20"/>
          <w:vertAlign w:val="subscript"/>
        </w:rPr>
        <w:t xml:space="preserve">гранта</w:t>
      </w:r>
      <w:r>
        <w:rPr>
          <w:sz w:val="20"/>
        </w:rPr>
        <w:t xml:space="preserve"> - размер Гранта, предоставленного получателю гранта;</w:t>
      </w:r>
    </w:p>
    <w:p>
      <w:pPr>
        <w:pStyle w:val="0"/>
        <w:spacing w:before="200" w:line-rule="auto"/>
        <w:ind w:firstLine="540"/>
        <w:jc w:val="both"/>
      </w:pPr>
      <w:r>
        <w:rPr>
          <w:sz w:val="20"/>
        </w:rPr>
        <w:t xml:space="preserve">K - коэффициент возврата Гранта, который рассчитывается по формуле:</w:t>
      </w:r>
    </w:p>
    <w:p>
      <w:pPr>
        <w:pStyle w:val="0"/>
        <w:jc w:val="both"/>
      </w:pPr>
      <w:r>
        <w:rPr>
          <w:sz w:val="20"/>
        </w:rPr>
      </w:r>
    </w:p>
    <w:p>
      <w:pPr>
        <w:pStyle w:val="0"/>
        <w:jc w:val="center"/>
      </w:pPr>
      <w:r>
        <w:rPr>
          <w:position w:val="-20"/>
        </w:rPr>
        <w:drawing>
          <wp:inline distT="0" distB="0" distL="0" distR="0">
            <wp:extent cx="609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характеристики результата предоставления Гранта на отчетную дату;</w:t>
      </w:r>
    </w:p>
    <w:p>
      <w:pPr>
        <w:pStyle w:val="0"/>
        <w:spacing w:before="200" w:line-rule="auto"/>
        <w:ind w:firstLine="540"/>
        <w:jc w:val="both"/>
      </w:pPr>
      <w:r>
        <w:rPr>
          <w:sz w:val="20"/>
        </w:rPr>
        <w:t xml:space="preserve">S - плановое значение характеристики результата предоставления Гранта, установленное Соглашением.</w:t>
      </w:r>
    </w:p>
    <w:p>
      <w:pPr>
        <w:pStyle w:val="0"/>
        <w:jc w:val="both"/>
      </w:pPr>
      <w:r>
        <w:rPr>
          <w:sz w:val="20"/>
        </w:rPr>
      </w:r>
    </w:p>
    <w:p>
      <w:pPr>
        <w:pStyle w:val="0"/>
        <w:ind w:firstLine="540"/>
        <w:jc w:val="both"/>
      </w:pPr>
      <w:r>
        <w:rPr>
          <w:sz w:val="20"/>
        </w:rPr>
        <w:t xml:space="preserve">54. В случае неисполнения получателем Гранта требования о возврате средств Гранта Мининвест Московской области производит взыскание средств Гранта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Гранта</w:t>
      </w:r>
    </w:p>
    <w:p>
      <w:pPr>
        <w:pStyle w:val="0"/>
        <w:jc w:val="both"/>
      </w:pPr>
      <w:r>
        <w:rPr>
          <w:sz w:val="20"/>
        </w:rPr>
      </w:r>
    </w:p>
    <w:bookmarkStart w:id="6568" w:name="P6568"/>
    <w:bookmarkEnd w:id="6568"/>
    <w:p>
      <w:pPr>
        <w:pStyle w:val="0"/>
        <w:ind w:firstLine="540"/>
        <w:jc w:val="both"/>
      </w:pPr>
      <w:r>
        <w:rPr>
          <w:sz w:val="20"/>
        </w:rPr>
        <w:t xml:space="preserve">55. В случае введения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Санкции) допускается изменение сроков достижения результата предоставления Гранта, установленных Соглашением, но не более чем на год, при условии невозможности достижения результата предоставления Гранта в сроки, установленные Соглашением, в связи с введением Санкций.</w:t>
      </w:r>
    </w:p>
    <w:bookmarkStart w:id="6569" w:name="P6569"/>
    <w:bookmarkEnd w:id="6569"/>
    <w:p>
      <w:pPr>
        <w:pStyle w:val="0"/>
        <w:spacing w:before="200" w:line-rule="auto"/>
        <w:ind w:firstLine="540"/>
        <w:jc w:val="both"/>
      </w:pPr>
      <w:r>
        <w:rPr>
          <w:sz w:val="20"/>
        </w:rPr>
        <w:t xml:space="preserve">56. В случае наступления обстоятельства, определенного в </w:t>
      </w:r>
      <w:hyperlink w:history="0" w:anchor="P6568" w:tooltip="55. В случае введения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Санкции) допускается измене...">
        <w:r>
          <w:rPr>
            <w:sz w:val="20"/>
            <w:color w:val="0000ff"/>
          </w:rPr>
          <w:t xml:space="preserve">пункте 55</w:t>
        </w:r>
      </w:hyperlink>
      <w:r>
        <w:rPr>
          <w:sz w:val="20"/>
        </w:rPr>
        <w:t xml:space="preserve"> Порядка, получатель Гранта вправе направить в Мининвест Московской области подписанное уполномоченным лицом получателя Гранта мотивированное заявление об изменении сроков достижения результата предоставления Гранта, установленных Соглашением, с приложением к нему документов, обосновывающих степень влияния Санкций на достижение результата предоставления Гранта (далее - Мотивированное заявление), а также отчета о достижении результата предоставления Гранта, установленного Соглашением, на день подачи Мотивированного заявления.</w:t>
      </w:r>
    </w:p>
    <w:p>
      <w:pPr>
        <w:pStyle w:val="0"/>
        <w:spacing w:before="200" w:line-rule="auto"/>
        <w:ind w:firstLine="540"/>
        <w:jc w:val="both"/>
      </w:pPr>
      <w:r>
        <w:rPr>
          <w:sz w:val="20"/>
        </w:rPr>
        <w:t xml:space="preserve">Мотивированное заявление включает обоснование влияния Санкций на достижение результата предоставления Гранта, а также сведения о:</w:t>
      </w:r>
    </w:p>
    <w:p>
      <w:pPr>
        <w:pStyle w:val="0"/>
        <w:spacing w:before="200" w:line-rule="auto"/>
        <w:ind w:firstLine="540"/>
        <w:jc w:val="both"/>
      </w:pPr>
      <w:r>
        <w:rPr>
          <w:sz w:val="20"/>
        </w:rPr>
        <w:t xml:space="preserve">1) введении торговых и экономических Санкций в отношении российских юридических и (или) физических лиц, если они повлияли на достижение результата предоставления Гранта;</w:t>
      </w:r>
    </w:p>
    <w:p>
      <w:pPr>
        <w:pStyle w:val="0"/>
        <w:spacing w:before="200" w:line-rule="auto"/>
        <w:ind w:firstLine="540"/>
        <w:jc w:val="both"/>
      </w:pPr>
      <w:r>
        <w:rPr>
          <w:sz w:val="20"/>
        </w:rPr>
        <w:t xml:space="preserve">2) введении Правительством Российской Федерации мер, ограничивающих транспортировку продукции через транспортно-логистические узлы или закупку иностранного оборудования, сырья и комплектующих, если такие меры повлияли на достижение результата предоставления Гранта;</w:t>
      </w:r>
    </w:p>
    <w:p>
      <w:pPr>
        <w:pStyle w:val="0"/>
        <w:spacing w:before="200" w:line-rule="auto"/>
        <w:ind w:firstLine="540"/>
        <w:jc w:val="both"/>
      </w:pPr>
      <w:r>
        <w:rPr>
          <w:sz w:val="20"/>
        </w:rPr>
        <w:t xml:space="preserve">3) возникновении обстоятельств непреодолимой силы либо введении иностранным государством запретов и ограничений в области предпринимательской деятельности, осуществления валютных операций, а также иных ограничительных и запретительных мер, действующих в отношении Российской Федерации или российских хозяйствующих субъектов, если такие обстоятельства повлияли на достижение результата предоставления Гранта.</w:t>
      </w:r>
    </w:p>
    <w:bookmarkStart w:id="6574" w:name="P6574"/>
    <w:bookmarkEnd w:id="6574"/>
    <w:p>
      <w:pPr>
        <w:pStyle w:val="0"/>
        <w:spacing w:before="200" w:line-rule="auto"/>
        <w:ind w:firstLine="540"/>
        <w:jc w:val="both"/>
      </w:pPr>
      <w:r>
        <w:rPr>
          <w:sz w:val="20"/>
        </w:rPr>
        <w:t xml:space="preserve">57. Комиссия в течение 10 рабочих дней со дня поступления в адрес Мининвеста Московской области документов, указанных в </w:t>
      </w:r>
      <w:hyperlink w:history="0" w:anchor="P6569" w:tooltip="56. В случае наступления обстоятельства, определенного в пункте 55 Порядка, получатель Гранта вправе направить в Мининвест Московской области подписанное уполномоченным лицом получателя Гранта мотивированное заявление об изменении сроков достижения результата предоставления Гранта, установленных Соглашением, с приложением к нему документов, обосновывающих степень влияния Санкций на достижение результата предоставления Гранта (далее - Мотивированное заявление), а также отчета о достижении результата предо...">
        <w:r>
          <w:rPr>
            <w:sz w:val="20"/>
            <w:color w:val="0000ff"/>
          </w:rPr>
          <w:t xml:space="preserve">пункте 56</w:t>
        </w:r>
      </w:hyperlink>
      <w:r>
        <w:rPr>
          <w:sz w:val="20"/>
        </w:rPr>
        <w:t xml:space="preserve"> Порядка, рассматривает и готовит заключение об обоснованности влияния Санкций на достижение результата предоставления Гранта, установленного Соглашением.</w:t>
      </w:r>
    </w:p>
    <w:p>
      <w:pPr>
        <w:pStyle w:val="0"/>
        <w:spacing w:before="200" w:line-rule="auto"/>
        <w:ind w:firstLine="540"/>
        <w:jc w:val="both"/>
      </w:pPr>
      <w:r>
        <w:rPr>
          <w:sz w:val="20"/>
        </w:rPr>
        <w:t xml:space="preserve">Мининвест Московской области рассматривает документы, указанные в </w:t>
      </w:r>
      <w:hyperlink w:history="0" w:anchor="P6569" w:tooltip="56. В случае наступления обстоятельства, определенного в пункте 55 Порядка, получатель Гранта вправе направить в Мининвест Московской области подписанное уполномоченным лицом получателя Гранта мотивированное заявление об изменении сроков достижения результата предоставления Гранта, установленных Соглашением, с приложением к нему документов, обосновывающих степень влияния Санкций на достижение результата предоставления Гранта (далее - Мотивированное заявление), а также отчета о достижении результата предо...">
        <w:r>
          <w:rPr>
            <w:sz w:val="20"/>
            <w:color w:val="0000ff"/>
          </w:rPr>
          <w:t xml:space="preserve">пункте 56</w:t>
        </w:r>
      </w:hyperlink>
      <w:r>
        <w:rPr>
          <w:sz w:val="20"/>
        </w:rPr>
        <w:t xml:space="preserve"> Порядка, и с учетом заключения комиссии, указанного в </w:t>
      </w:r>
      <w:hyperlink w:history="0" w:anchor="P6574" w:tooltip="57. Комиссия в течение 10 рабочих дней со дня поступления в адрес Мининвеста Московской области документов, указанных в пункте 56 Порядка, рассматривает и готовит заключение об обоснованности влияния Санкций на достижение результата предоставления Гранта, установленного Соглашением.">
        <w:r>
          <w:rPr>
            <w:sz w:val="20"/>
            <w:color w:val="0000ff"/>
          </w:rPr>
          <w:t xml:space="preserve">абзаце первом</w:t>
        </w:r>
      </w:hyperlink>
      <w:r>
        <w:rPr>
          <w:sz w:val="20"/>
        </w:rPr>
        <w:t xml:space="preserve"> настоящего пункта, в течение 10 рабочих дней со дня подготовки заключения комиссии принимает одно из следующих решений:</w:t>
      </w:r>
    </w:p>
    <w:bookmarkStart w:id="6576" w:name="P6576"/>
    <w:bookmarkEnd w:id="6576"/>
    <w:p>
      <w:pPr>
        <w:pStyle w:val="0"/>
        <w:spacing w:before="200" w:line-rule="auto"/>
        <w:ind w:firstLine="540"/>
        <w:jc w:val="both"/>
      </w:pPr>
      <w:r>
        <w:rPr>
          <w:sz w:val="20"/>
        </w:rPr>
        <w:t xml:space="preserve">1) о признании влияния Санкций на достижение результата предоставления Гранта и продлении сроков достижения результата предоставления Гранта;</w:t>
      </w:r>
    </w:p>
    <w:p>
      <w:pPr>
        <w:pStyle w:val="0"/>
        <w:spacing w:before="200" w:line-rule="auto"/>
        <w:ind w:firstLine="540"/>
        <w:jc w:val="both"/>
      </w:pPr>
      <w:r>
        <w:rPr>
          <w:sz w:val="20"/>
        </w:rPr>
        <w:t xml:space="preserve">2) об отказе в признании влияния Санкций на достижение результата предоставления Гранта и отказе в продлении сроков достижения результата предоставления Гранта.</w:t>
      </w:r>
    </w:p>
    <w:p>
      <w:pPr>
        <w:pStyle w:val="0"/>
        <w:spacing w:before="200" w:line-rule="auto"/>
        <w:ind w:firstLine="540"/>
        <w:jc w:val="both"/>
      </w:pPr>
      <w:r>
        <w:rPr>
          <w:sz w:val="20"/>
        </w:rPr>
        <w:t xml:space="preserve">Мининвест Московской области уведомляет получателя Гранта о принятом решении в срок не более 10 рабочих дней с даты его принятия.</w:t>
      </w:r>
    </w:p>
    <w:p>
      <w:pPr>
        <w:pStyle w:val="0"/>
        <w:spacing w:before="200" w:line-rule="auto"/>
        <w:ind w:firstLine="540"/>
        <w:jc w:val="both"/>
      </w:pPr>
      <w:r>
        <w:rPr>
          <w:sz w:val="20"/>
        </w:rPr>
        <w:t xml:space="preserve">58. В случае принятия решения, указанного в </w:t>
      </w:r>
      <w:hyperlink w:history="0" w:anchor="P6576" w:tooltip="1) о признании влияния Санкций на достижение результата предоставления Гранта и продлении сроков достижения результата предоставления Гранта;">
        <w:r>
          <w:rPr>
            <w:sz w:val="20"/>
            <w:color w:val="0000ff"/>
          </w:rPr>
          <w:t xml:space="preserve">подпункте первом пункта 57</w:t>
        </w:r>
      </w:hyperlink>
      <w:r>
        <w:rPr>
          <w:sz w:val="20"/>
        </w:rPr>
        <w:t xml:space="preserve"> Порядка, Мининвест Московской области одновременно с уведомлением направляет получателю Гранта дополнительное соглашение к Соглашению о предоставлении Гранта в части продления сроков достижения результата предоставления Гранта.</w:t>
      </w:r>
    </w:p>
    <w:p>
      <w:pPr>
        <w:pStyle w:val="0"/>
        <w:spacing w:before="200" w:line-rule="auto"/>
        <w:ind w:firstLine="540"/>
        <w:jc w:val="both"/>
      </w:pPr>
      <w:r>
        <w:rPr>
          <w:sz w:val="20"/>
        </w:rPr>
        <w:t xml:space="preserve">Срок подписания получателем Гранта дополнительного соглашения к Соглашению о предоставлении Гранта не может составлять более 10 рабочих дней.</w:t>
      </w:r>
    </w:p>
    <w:p>
      <w:pPr>
        <w:pStyle w:val="0"/>
        <w:spacing w:before="200" w:line-rule="auto"/>
        <w:ind w:firstLine="540"/>
        <w:jc w:val="both"/>
      </w:pPr>
      <w:r>
        <w:rPr>
          <w:sz w:val="20"/>
        </w:rPr>
        <w:t xml:space="preserve">59. В случаях наличия по результатам проведения отбора остатка лимитов бюджетных обязательств на предоставление Гранта на соответствующий финансовый год, не распределенного между победителями конкурсного отбора увеличения лимитов бюджетных обязательств, отказа от заключения Соглашения, не подписания победителем отбора Соглашения в срок, определенный объявлением о проведении отбора получателей Гранта в соответствии с </w:t>
      </w:r>
      <w:hyperlink w:history="0" w:anchor="P6486" w:tooltip="40. Соглашение заключается с победителем отбора в течение 20 рабочих дней со дня размещения на едином портале протокола подведения итогов отбора.">
        <w:r>
          <w:rPr>
            <w:sz w:val="20"/>
            <w:color w:val="0000ff"/>
          </w:rPr>
          <w:t xml:space="preserve">пунктом 40</w:t>
        </w:r>
      </w:hyperlink>
      <w:r>
        <w:rPr>
          <w:sz w:val="20"/>
        </w:rPr>
        <w:t xml:space="preserve"> Порядка, расторжения Соглашения с получателем Гранта и наличия заявителей, прошедших отбор, которым отказано в предоставлении Гранта по причине недостаточности лимитов бюджетных обязательств на предоставление Гранта или признанных прошедшими отбор, заявки которых в части запрашиваемого размера Гранта не были удовлетворены в полном объеме, Грант может распределяться без повторного проведения отбора с учетом присвоенного ранее номера в рейтинге.</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6585" w:name="P6585"/>
    <w:bookmarkEnd w:id="6585"/>
    <w:p>
      <w:pPr>
        <w:pStyle w:val="2"/>
        <w:jc w:val="center"/>
      </w:pPr>
      <w:r>
        <w:rPr>
          <w:sz w:val="20"/>
        </w:rPr>
        <w:t xml:space="preserve">КРИТЕРИИ ОЦЕНКИ ЗАЯВОК ЮРИДИЧЕСКИХ ЛИЦ МОСКОВСКОЙ ОБЛАСТИ</w:t>
      </w:r>
    </w:p>
    <w:p>
      <w:pPr>
        <w:pStyle w:val="2"/>
        <w:jc w:val="center"/>
      </w:pPr>
      <w:r>
        <w:rPr>
          <w:sz w:val="20"/>
        </w:rPr>
        <w:t xml:space="preserve">НА ПОЛУЧЕНИЕ ГРАНТОВ ПРАВИТЕЛЬСТВА МОСКОВСКОЙ ОБЛАСТИ</w:t>
      </w:r>
    </w:p>
    <w:p>
      <w:pPr>
        <w:pStyle w:val="2"/>
        <w:jc w:val="center"/>
      </w:pPr>
      <w:r>
        <w:rPr>
          <w:sz w:val="20"/>
        </w:rPr>
        <w:t xml:space="preserve">В СФЕРАХ НАУКИ, ТЕХНОЛОГИЙ, ТЕХНИКИ И ИННОВАЦИЙ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438"/>
        <w:gridCol w:w="1531"/>
        <w:gridCol w:w="3969"/>
        <w:gridCol w:w="1644"/>
        <w:gridCol w:w="1814"/>
        <w:gridCol w:w="4309"/>
      </w:tblGrid>
      <w:tr>
        <w:tc>
          <w:tcPr>
            <w:tcW w:w="737" w:type="dxa"/>
          </w:tcPr>
          <w:p>
            <w:pPr>
              <w:pStyle w:val="0"/>
              <w:jc w:val="center"/>
            </w:pPr>
            <w:r>
              <w:rPr>
                <w:sz w:val="20"/>
              </w:rPr>
              <w:t xml:space="preserve">N п/п</w:t>
            </w:r>
          </w:p>
        </w:tc>
        <w:tc>
          <w:tcPr>
            <w:tcW w:w="2438" w:type="dxa"/>
          </w:tcPr>
          <w:p>
            <w:pPr>
              <w:pStyle w:val="0"/>
              <w:jc w:val="center"/>
            </w:pPr>
            <w:r>
              <w:rPr>
                <w:sz w:val="20"/>
              </w:rPr>
              <w:t xml:space="preserve">Критерий</w:t>
            </w:r>
          </w:p>
        </w:tc>
        <w:tc>
          <w:tcPr>
            <w:tcW w:w="1531" w:type="dxa"/>
          </w:tcPr>
          <w:p>
            <w:pPr>
              <w:pStyle w:val="0"/>
              <w:jc w:val="center"/>
            </w:pPr>
            <w:r>
              <w:rPr>
                <w:sz w:val="20"/>
              </w:rPr>
              <w:t xml:space="preserve">Значимость критерия, процент</w:t>
            </w:r>
          </w:p>
        </w:tc>
        <w:tc>
          <w:tcPr>
            <w:tcW w:w="3969" w:type="dxa"/>
          </w:tcPr>
          <w:p>
            <w:pPr>
              <w:pStyle w:val="0"/>
              <w:jc w:val="center"/>
            </w:pPr>
            <w:r>
              <w:rPr>
                <w:sz w:val="20"/>
              </w:rPr>
              <w:t xml:space="preserve">Показатели, образующие критерий</w:t>
            </w:r>
          </w:p>
        </w:tc>
        <w:tc>
          <w:tcPr>
            <w:tcW w:w="1644" w:type="dxa"/>
          </w:tcPr>
          <w:p>
            <w:pPr>
              <w:pStyle w:val="0"/>
              <w:jc w:val="center"/>
            </w:pPr>
            <w:r>
              <w:rPr>
                <w:sz w:val="20"/>
              </w:rPr>
              <w:t xml:space="preserve">Значимость показателя, образующего критерий, процент</w:t>
            </w:r>
          </w:p>
        </w:tc>
        <w:tc>
          <w:tcPr>
            <w:tcW w:w="1814" w:type="dxa"/>
          </w:tcPr>
          <w:p>
            <w:pPr>
              <w:pStyle w:val="0"/>
              <w:jc w:val="center"/>
            </w:pPr>
            <w:r>
              <w:rPr>
                <w:sz w:val="20"/>
              </w:rPr>
              <w:t xml:space="preserve">Балльная оценка показателя, образующего критерий</w:t>
            </w:r>
          </w:p>
        </w:tc>
        <w:tc>
          <w:tcPr>
            <w:tcW w:w="4309" w:type="dxa"/>
          </w:tcPr>
          <w:p>
            <w:pPr>
              <w:pStyle w:val="0"/>
              <w:jc w:val="center"/>
            </w:pPr>
            <w:r>
              <w:rPr>
                <w:sz w:val="20"/>
              </w:rPr>
              <w:t xml:space="preserve">Описание</w:t>
            </w:r>
          </w:p>
        </w:tc>
      </w:tr>
      <w:tr>
        <w:tc>
          <w:tcPr>
            <w:tcW w:w="737" w:type="dxa"/>
            <w:vMerge w:val="restart"/>
          </w:tcPr>
          <w:p>
            <w:pPr>
              <w:pStyle w:val="0"/>
            </w:pPr>
            <w:r>
              <w:rPr>
                <w:sz w:val="20"/>
              </w:rPr>
              <w:t xml:space="preserve">1</w:t>
            </w:r>
          </w:p>
        </w:tc>
        <w:tc>
          <w:tcPr>
            <w:tcW w:w="2438" w:type="dxa"/>
            <w:vMerge w:val="restart"/>
          </w:tcPr>
          <w:p>
            <w:pPr>
              <w:pStyle w:val="0"/>
            </w:pPr>
            <w:r>
              <w:rPr>
                <w:sz w:val="20"/>
              </w:rPr>
              <w:t xml:space="preserve">Объем обязательного софинансирования проекта за счет средств получателя Гранта (% от объема Гранта)</w:t>
            </w:r>
          </w:p>
        </w:tc>
        <w:tc>
          <w:tcPr>
            <w:tcW w:w="1531" w:type="dxa"/>
            <w:vMerge w:val="restart"/>
          </w:tcPr>
          <w:p>
            <w:pPr>
              <w:pStyle w:val="0"/>
            </w:pPr>
            <w:r>
              <w:rPr>
                <w:sz w:val="20"/>
              </w:rPr>
              <w:t xml:space="preserve">15</w:t>
            </w:r>
          </w:p>
        </w:tc>
        <w:tc>
          <w:tcPr>
            <w:tcW w:w="3969" w:type="dxa"/>
          </w:tcPr>
          <w:p>
            <w:pPr>
              <w:pStyle w:val="0"/>
            </w:pPr>
            <w:r>
              <w:rPr>
                <w:sz w:val="20"/>
              </w:rPr>
              <w:t xml:space="preserve">Более 100%</w:t>
            </w:r>
          </w:p>
        </w:tc>
        <w:tc>
          <w:tcPr>
            <w:tcW w:w="1644" w:type="dxa"/>
          </w:tcPr>
          <w:p>
            <w:pPr>
              <w:pStyle w:val="0"/>
            </w:pPr>
            <w:r>
              <w:rPr>
                <w:sz w:val="20"/>
              </w:rPr>
              <w:t xml:space="preserve">30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Оцениваются сведения, указанные в гарантийных письмах от участника конкурсного отбора о готовности софинансирования проекта за счет собственных средств.</w:t>
            </w:r>
          </w:p>
          <w:p>
            <w:pPr>
              <w:pStyle w:val="0"/>
            </w:pPr>
            <w:r>
              <w:rPr>
                <w:sz w:val="20"/>
              </w:rPr>
              <w:t xml:space="preserve">2. Выписка со счета, подтверждающая наличие денежных средств на софинансирование проекта</w:t>
            </w:r>
          </w:p>
        </w:tc>
      </w:tr>
      <w:tr>
        <w:tc>
          <w:tcPr>
            <w:vMerge w:val="continue"/>
          </w:tcPr>
          <w:p/>
        </w:tc>
        <w:tc>
          <w:tcPr>
            <w:vMerge w:val="continue"/>
          </w:tcPr>
          <w:p/>
        </w:tc>
        <w:tc>
          <w:tcPr>
            <w:vMerge w:val="continue"/>
          </w:tcPr>
          <w:p/>
        </w:tc>
        <w:tc>
          <w:tcPr>
            <w:tcW w:w="3969" w:type="dxa"/>
          </w:tcPr>
          <w:p>
            <w:pPr>
              <w:pStyle w:val="0"/>
            </w:pPr>
            <w:r>
              <w:rPr>
                <w:sz w:val="20"/>
              </w:rPr>
              <w:t xml:space="preserve">81-100%</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61-80%</w:t>
            </w:r>
          </w:p>
        </w:tc>
        <w:tc>
          <w:tcPr>
            <w:tcW w:w="1644" w:type="dxa"/>
          </w:tcPr>
          <w:p>
            <w:pPr>
              <w:pStyle w:val="0"/>
            </w:pPr>
            <w:r>
              <w:rPr>
                <w:sz w:val="20"/>
              </w:rPr>
              <w:t xml:space="preserve">20</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41-60%</w:t>
            </w:r>
          </w:p>
        </w:tc>
        <w:tc>
          <w:tcPr>
            <w:tcW w:w="1644" w:type="dxa"/>
          </w:tcPr>
          <w:p>
            <w:pPr>
              <w:pStyle w:val="0"/>
            </w:pPr>
            <w:r>
              <w:rPr>
                <w:sz w:val="20"/>
              </w:rPr>
              <w:t xml:space="preserve">15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20-40%</w:t>
            </w:r>
          </w:p>
        </w:tc>
        <w:tc>
          <w:tcPr>
            <w:tcW w:w="1644" w:type="dxa"/>
          </w:tcPr>
          <w:p>
            <w:pPr>
              <w:pStyle w:val="0"/>
            </w:pPr>
            <w:r>
              <w:rPr>
                <w:sz w:val="20"/>
              </w:rPr>
              <w:t xml:space="preserve">10</w:t>
            </w:r>
          </w:p>
        </w:tc>
        <w:tc>
          <w:tcPr>
            <w:vMerge w:val="continue"/>
          </w:tcPr>
          <w:p/>
        </w:tc>
        <w:tc>
          <w:tcPr>
            <w:vMerge w:val="continue"/>
          </w:tcPr>
          <w:p/>
        </w:tc>
      </w:tr>
      <w:tr>
        <w:tc>
          <w:tcPr>
            <w:tcW w:w="737" w:type="dxa"/>
            <w:vMerge w:val="restart"/>
          </w:tcPr>
          <w:p>
            <w:pPr>
              <w:pStyle w:val="0"/>
            </w:pPr>
            <w:r>
              <w:rPr>
                <w:sz w:val="20"/>
              </w:rPr>
              <w:t xml:space="preserve">2</w:t>
            </w:r>
          </w:p>
        </w:tc>
        <w:tc>
          <w:tcPr>
            <w:tcW w:w="2438" w:type="dxa"/>
            <w:vMerge w:val="restart"/>
          </w:tcPr>
          <w:p>
            <w:pPr>
              <w:pStyle w:val="0"/>
            </w:pPr>
            <w:r>
              <w:rPr>
                <w:sz w:val="20"/>
              </w:rPr>
              <w:t xml:space="preserve">Коммерциализация проекта</w:t>
            </w:r>
          </w:p>
        </w:tc>
        <w:tc>
          <w:tcPr>
            <w:tcW w:w="1531" w:type="dxa"/>
            <w:vMerge w:val="restart"/>
          </w:tcPr>
          <w:p>
            <w:pPr>
              <w:pStyle w:val="0"/>
            </w:pPr>
            <w:r>
              <w:rPr>
                <w:sz w:val="20"/>
              </w:rPr>
              <w:t xml:space="preserve">10</w:t>
            </w:r>
          </w:p>
        </w:tc>
        <w:tc>
          <w:tcPr>
            <w:tcW w:w="3969" w:type="dxa"/>
          </w:tcPr>
          <w:p>
            <w:pPr>
              <w:pStyle w:val="0"/>
            </w:pPr>
            <w:r>
              <w:rPr>
                <w:sz w:val="20"/>
              </w:rPr>
              <w:t xml:space="preserve">Стратегия коммерциализации проекта</w:t>
            </w:r>
          </w:p>
        </w:tc>
        <w:tc>
          <w:tcPr>
            <w:tcW w:w="1644" w:type="dxa"/>
          </w:tcPr>
          <w:p>
            <w:pPr>
              <w:pStyle w:val="0"/>
            </w:pPr>
            <w:r>
              <w:rPr>
                <w:sz w:val="20"/>
              </w:rPr>
              <w:t xml:space="preserve">50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Оценка описания стратегии коммерциализации проекта (содержит оценку рынка, описание системы сбыта продукта, наличие сайта в информационно-телекоммуникационной сети "Интернет").</w:t>
            </w:r>
          </w:p>
          <w:p>
            <w:pPr>
              <w:pStyle w:val="0"/>
            </w:pPr>
            <w:r>
              <w:rPr>
                <w:sz w:val="20"/>
              </w:rPr>
              <w:t xml:space="preserve">2. Оценка гарантийных писем от потенциальных заказчиков, потребителей продукции (услуг) по проекту о готовности использования (применения) результатов проекта, в том числе на территории Московской области.</w:t>
            </w:r>
          </w:p>
          <w:p>
            <w:pPr>
              <w:pStyle w:val="0"/>
            </w:pPr>
            <w:r>
              <w:rPr>
                <w:sz w:val="20"/>
              </w:rPr>
              <w:t xml:space="preserve">3. Оценка соглашений о намерениях</w:t>
            </w:r>
          </w:p>
        </w:tc>
      </w:tr>
      <w:tr>
        <w:tc>
          <w:tcPr>
            <w:vMerge w:val="continue"/>
          </w:tcPr>
          <w:p/>
        </w:tc>
        <w:tc>
          <w:tcPr>
            <w:vMerge w:val="continue"/>
          </w:tcPr>
          <w:p/>
        </w:tc>
        <w:tc>
          <w:tcPr>
            <w:vMerge w:val="continue"/>
          </w:tcPr>
          <w:p/>
        </w:tc>
        <w:tc>
          <w:tcPr>
            <w:tcW w:w="3969" w:type="dxa"/>
          </w:tcPr>
          <w:p>
            <w:pPr>
              <w:pStyle w:val="0"/>
            </w:pPr>
            <w:r>
              <w:rPr>
                <w:sz w:val="20"/>
              </w:rPr>
              <w:t xml:space="preserve">Обязательства организаций, а также индивидуальных предпринимателей,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проекта в хозяйственный оборот организаций реального сектора экономики, и иных организаций об организации производства с использованием результатов реализации проекта, закупке опытной партии, произведенной с использованием результатов интеллектуальной деятельности (с указанием объемов)</w:t>
            </w:r>
          </w:p>
        </w:tc>
        <w:tc>
          <w:tcPr>
            <w:tcW w:w="1644" w:type="dxa"/>
          </w:tcPr>
          <w:p>
            <w:pPr>
              <w:pStyle w:val="0"/>
            </w:pPr>
            <w:r>
              <w:rPr>
                <w:sz w:val="20"/>
              </w:rPr>
              <w:t xml:space="preserve">30</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Гарантийные письма, подтверждающие заинтересованность потенциальных потребителей в результатах реализации проекта</w:t>
            </w:r>
          </w:p>
        </w:tc>
        <w:tc>
          <w:tcPr>
            <w:tcW w:w="1644" w:type="dxa"/>
          </w:tcPr>
          <w:p>
            <w:pPr>
              <w:pStyle w:val="0"/>
            </w:pPr>
            <w:r>
              <w:rPr>
                <w:sz w:val="20"/>
              </w:rPr>
              <w:t xml:space="preserve">20</w:t>
            </w:r>
          </w:p>
        </w:tc>
        <w:tc>
          <w:tcPr>
            <w:vMerge w:val="continue"/>
          </w:tcPr>
          <w:p/>
        </w:tc>
        <w:tc>
          <w:tcPr>
            <w:vMerge w:val="continue"/>
          </w:tcPr>
          <w:p/>
        </w:tc>
      </w:tr>
      <w:tr>
        <w:tc>
          <w:tcPr>
            <w:tcW w:w="737" w:type="dxa"/>
            <w:vMerge w:val="restart"/>
          </w:tcPr>
          <w:p>
            <w:pPr>
              <w:pStyle w:val="0"/>
            </w:pPr>
            <w:r>
              <w:rPr>
                <w:sz w:val="20"/>
              </w:rPr>
              <w:t xml:space="preserve">3</w:t>
            </w:r>
          </w:p>
        </w:tc>
        <w:tc>
          <w:tcPr>
            <w:tcW w:w="2438" w:type="dxa"/>
            <w:vMerge w:val="restart"/>
          </w:tcPr>
          <w:p>
            <w:pPr>
              <w:pStyle w:val="0"/>
            </w:pPr>
            <w:r>
              <w:rPr>
                <w:sz w:val="20"/>
              </w:rPr>
              <w:t xml:space="preserve">Наличие производственных мощностей</w:t>
            </w:r>
          </w:p>
        </w:tc>
        <w:tc>
          <w:tcPr>
            <w:tcW w:w="1531" w:type="dxa"/>
            <w:vMerge w:val="restart"/>
          </w:tcPr>
          <w:p>
            <w:pPr>
              <w:pStyle w:val="0"/>
            </w:pPr>
            <w:r>
              <w:rPr>
                <w:sz w:val="20"/>
              </w:rPr>
              <w:t xml:space="preserve">10</w:t>
            </w:r>
          </w:p>
        </w:tc>
        <w:tc>
          <w:tcPr>
            <w:tcW w:w="3969" w:type="dxa"/>
          </w:tcPr>
          <w:p>
            <w:pPr>
              <w:pStyle w:val="0"/>
            </w:pPr>
            <w:r>
              <w:rPr>
                <w:sz w:val="20"/>
              </w:rPr>
              <w:t xml:space="preserve">Наличие производственных мощностей у получателя Гранта и организаций, а также индивидуальных предпринимателей,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w:t>
            </w:r>
          </w:p>
        </w:tc>
        <w:tc>
          <w:tcPr>
            <w:tcW w:w="1644" w:type="dxa"/>
          </w:tcPr>
          <w:p>
            <w:pPr>
              <w:pStyle w:val="0"/>
            </w:pPr>
            <w:r>
              <w:rPr>
                <w:sz w:val="20"/>
              </w:rPr>
              <w:t xml:space="preserve">60</w:t>
            </w:r>
          </w:p>
        </w:tc>
        <w:tc>
          <w:tcPr>
            <w:tcW w:w="1814" w:type="dxa"/>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Договоры купли-продажи.</w:t>
            </w:r>
          </w:p>
          <w:p>
            <w:pPr>
              <w:pStyle w:val="0"/>
            </w:pPr>
            <w:r>
              <w:rPr>
                <w:sz w:val="20"/>
              </w:rPr>
              <w:t xml:space="preserve">2. Товарные накладные.</w:t>
            </w:r>
          </w:p>
          <w:p>
            <w:pPr>
              <w:pStyle w:val="0"/>
            </w:pPr>
            <w:r>
              <w:rPr>
                <w:sz w:val="20"/>
              </w:rPr>
              <w:t xml:space="preserve">3. Акты приема-передачи.</w:t>
            </w:r>
          </w:p>
          <w:p>
            <w:pPr>
              <w:pStyle w:val="0"/>
            </w:pPr>
            <w:r>
              <w:rPr>
                <w:sz w:val="20"/>
              </w:rPr>
              <w:t xml:space="preserve">4. Платежные поручения.</w:t>
            </w:r>
          </w:p>
          <w:p>
            <w:pPr>
              <w:pStyle w:val="0"/>
            </w:pPr>
            <w:r>
              <w:rPr>
                <w:sz w:val="20"/>
              </w:rPr>
              <w:t xml:space="preserve">5. Согласие организаций, а также индивидуальных предпринимателей,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 на использование получателем Гранта производственных мощностей для достижения результатов реализации проекта (в случае если проект реализуется с использованием мощностей партнера)</w:t>
            </w:r>
          </w:p>
        </w:tc>
      </w:tr>
      <w:tr>
        <w:tc>
          <w:tcPr>
            <w:vMerge w:val="continue"/>
          </w:tcPr>
          <w:p/>
        </w:tc>
        <w:tc>
          <w:tcPr>
            <w:vMerge w:val="continue"/>
          </w:tcPr>
          <w:p/>
        </w:tc>
        <w:tc>
          <w:tcPr>
            <w:vMerge w:val="continue"/>
          </w:tcPr>
          <w:p/>
        </w:tc>
        <w:tc>
          <w:tcPr>
            <w:tcW w:w="3969" w:type="dxa"/>
          </w:tcPr>
          <w:p>
            <w:pPr>
              <w:pStyle w:val="0"/>
            </w:pPr>
            <w:r>
              <w:rPr>
                <w:sz w:val="20"/>
              </w:rPr>
              <w:t xml:space="preserve">Наличие производственных мощностей у получателя Гранта или у организаций, а также индивидуальных предпринимателей,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w:t>
            </w:r>
          </w:p>
        </w:tc>
        <w:tc>
          <w:tcPr>
            <w:tcW w:w="1644" w:type="dxa"/>
          </w:tcPr>
          <w:p>
            <w:pPr>
              <w:pStyle w:val="0"/>
            </w:pPr>
            <w:r>
              <w:rPr>
                <w:sz w:val="20"/>
              </w:rPr>
              <w:t xml:space="preserve">40</w:t>
            </w:r>
          </w:p>
        </w:tc>
        <w:tc>
          <w:tcPr>
            <w:tcW w:w="1814" w:type="dxa"/>
          </w:tcPr>
          <w:p>
            <w:pPr>
              <w:pStyle w:val="0"/>
            </w:pPr>
            <w:r>
              <w:rPr>
                <w:sz w:val="20"/>
              </w:rPr>
              <w:t xml:space="preserve">Наличие - 100 баллов;</w:t>
            </w:r>
          </w:p>
          <w:p>
            <w:pPr>
              <w:pStyle w:val="0"/>
            </w:pPr>
            <w:r>
              <w:rPr>
                <w:sz w:val="20"/>
              </w:rPr>
              <w:t xml:space="preserve">отсутствие - 0 баллов</w:t>
            </w:r>
          </w:p>
        </w:tc>
        <w:tc>
          <w:tcPr>
            <w:vMerge w:val="continue"/>
          </w:tcPr>
          <w:p/>
        </w:tc>
      </w:tr>
      <w:tr>
        <w:tc>
          <w:tcPr>
            <w:tcW w:w="737" w:type="dxa"/>
            <w:vMerge w:val="restart"/>
          </w:tcPr>
          <w:p>
            <w:pPr>
              <w:pStyle w:val="0"/>
            </w:pPr>
            <w:r>
              <w:rPr>
                <w:sz w:val="20"/>
              </w:rPr>
              <w:t xml:space="preserve">4</w:t>
            </w:r>
          </w:p>
        </w:tc>
        <w:tc>
          <w:tcPr>
            <w:tcW w:w="2438" w:type="dxa"/>
            <w:vMerge w:val="restart"/>
          </w:tcPr>
          <w:p>
            <w:pPr>
              <w:pStyle w:val="0"/>
            </w:pPr>
            <w:r>
              <w:rPr>
                <w:sz w:val="20"/>
              </w:rPr>
              <w:t xml:space="preserve">Срок реализации проекта</w:t>
            </w:r>
          </w:p>
        </w:tc>
        <w:tc>
          <w:tcPr>
            <w:tcW w:w="1531" w:type="dxa"/>
            <w:vMerge w:val="restart"/>
          </w:tcPr>
          <w:p>
            <w:pPr>
              <w:pStyle w:val="0"/>
            </w:pPr>
            <w:r>
              <w:rPr>
                <w:sz w:val="20"/>
              </w:rPr>
              <w:t xml:space="preserve">10</w:t>
            </w:r>
          </w:p>
        </w:tc>
        <w:tc>
          <w:tcPr>
            <w:tcW w:w="3969" w:type="dxa"/>
          </w:tcPr>
          <w:p>
            <w:pPr>
              <w:pStyle w:val="0"/>
            </w:pPr>
            <w:r>
              <w:rPr>
                <w:sz w:val="20"/>
              </w:rPr>
              <w:t xml:space="preserve">Срок реализации проекта составляет 1 год</w:t>
            </w:r>
          </w:p>
        </w:tc>
        <w:tc>
          <w:tcPr>
            <w:tcW w:w="1644" w:type="dxa"/>
          </w:tcPr>
          <w:p>
            <w:pPr>
              <w:pStyle w:val="0"/>
            </w:pPr>
            <w:r>
              <w:rPr>
                <w:sz w:val="20"/>
              </w:rPr>
              <w:t xml:space="preserve">60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Оценка сведений о сроке реализации проекта, указанная в концепции проекта</w:t>
            </w:r>
          </w:p>
        </w:tc>
      </w:tr>
      <w:tr>
        <w:tc>
          <w:tcPr>
            <w:vMerge w:val="continue"/>
          </w:tcPr>
          <w:p/>
        </w:tc>
        <w:tc>
          <w:tcPr>
            <w:vMerge w:val="continue"/>
          </w:tcPr>
          <w:p/>
        </w:tc>
        <w:tc>
          <w:tcPr>
            <w:vMerge w:val="continue"/>
          </w:tcPr>
          <w:p/>
        </w:tc>
        <w:tc>
          <w:tcPr>
            <w:tcW w:w="3969" w:type="dxa"/>
          </w:tcPr>
          <w:p>
            <w:pPr>
              <w:pStyle w:val="0"/>
            </w:pPr>
            <w:r>
              <w:rPr>
                <w:sz w:val="20"/>
              </w:rPr>
              <w:t xml:space="preserve">Срок реализации проекта составляет 2 года</w:t>
            </w:r>
          </w:p>
        </w:tc>
        <w:tc>
          <w:tcPr>
            <w:tcW w:w="1644" w:type="dxa"/>
          </w:tcPr>
          <w:p>
            <w:pPr>
              <w:pStyle w:val="0"/>
            </w:pPr>
            <w:r>
              <w:rPr>
                <w:sz w:val="20"/>
              </w:rPr>
              <w:t xml:space="preserve">40</w:t>
            </w:r>
          </w:p>
        </w:tc>
        <w:tc>
          <w:tcPr>
            <w:vMerge w:val="continue"/>
          </w:tcPr>
          <w:p/>
        </w:tc>
        <w:tc>
          <w:tcPr>
            <w:vMerge w:val="continue"/>
          </w:tcPr>
          <w:p/>
        </w:tc>
      </w:tr>
      <w:tr>
        <w:tc>
          <w:tcPr>
            <w:tcW w:w="737" w:type="dxa"/>
            <w:vMerge w:val="restart"/>
          </w:tcPr>
          <w:p>
            <w:pPr>
              <w:pStyle w:val="0"/>
            </w:pPr>
            <w:r>
              <w:rPr>
                <w:sz w:val="20"/>
              </w:rPr>
              <w:t xml:space="preserve">5</w:t>
            </w:r>
          </w:p>
        </w:tc>
        <w:tc>
          <w:tcPr>
            <w:tcW w:w="2438" w:type="dxa"/>
            <w:vMerge w:val="restart"/>
          </w:tcPr>
          <w:p>
            <w:pPr>
              <w:pStyle w:val="0"/>
            </w:pPr>
            <w:r>
              <w:rPr>
                <w:sz w:val="20"/>
              </w:rPr>
              <w:t xml:space="preserve">Уровень готовности технологии (далее - УГТ)</w:t>
            </w:r>
          </w:p>
        </w:tc>
        <w:tc>
          <w:tcPr>
            <w:tcW w:w="1531" w:type="dxa"/>
            <w:vMerge w:val="restart"/>
          </w:tcPr>
          <w:p>
            <w:pPr>
              <w:pStyle w:val="0"/>
            </w:pPr>
            <w:r>
              <w:rPr>
                <w:sz w:val="20"/>
              </w:rPr>
              <w:t xml:space="preserve">15</w:t>
            </w:r>
          </w:p>
        </w:tc>
        <w:tc>
          <w:tcPr>
            <w:tcW w:w="3969" w:type="dxa"/>
          </w:tcPr>
          <w:p>
            <w:pPr>
              <w:pStyle w:val="0"/>
            </w:pPr>
            <w:r>
              <w:rPr>
                <w:sz w:val="20"/>
              </w:rPr>
              <w:t xml:space="preserve">УГТ 7-8</w:t>
            </w:r>
          </w:p>
        </w:tc>
        <w:tc>
          <w:tcPr>
            <w:tcW w:w="1644" w:type="dxa"/>
          </w:tcPr>
          <w:p>
            <w:pPr>
              <w:pStyle w:val="0"/>
            </w:pPr>
            <w:r>
              <w:rPr>
                <w:sz w:val="20"/>
              </w:rPr>
              <w:t xml:space="preserve">50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Оценка сведений об уровне готовности технологии в рамках реализации проекта, согласно документам о стандартизации</w:t>
            </w:r>
          </w:p>
        </w:tc>
      </w:tr>
      <w:tr>
        <w:tc>
          <w:tcPr>
            <w:vMerge w:val="continue"/>
          </w:tcPr>
          <w:p/>
        </w:tc>
        <w:tc>
          <w:tcPr>
            <w:vMerge w:val="continue"/>
          </w:tcPr>
          <w:p/>
        </w:tc>
        <w:tc>
          <w:tcPr>
            <w:vMerge w:val="continue"/>
          </w:tcPr>
          <w:p/>
        </w:tc>
        <w:tc>
          <w:tcPr>
            <w:tcW w:w="3969" w:type="dxa"/>
          </w:tcPr>
          <w:p>
            <w:pPr>
              <w:pStyle w:val="0"/>
            </w:pPr>
            <w:r>
              <w:rPr>
                <w:sz w:val="20"/>
              </w:rPr>
              <w:t xml:space="preserve">УГТ 4-6</w:t>
            </w:r>
          </w:p>
        </w:tc>
        <w:tc>
          <w:tcPr>
            <w:tcW w:w="1644" w:type="dxa"/>
          </w:tcPr>
          <w:p>
            <w:pPr>
              <w:pStyle w:val="0"/>
            </w:pPr>
            <w:r>
              <w:rPr>
                <w:sz w:val="20"/>
              </w:rPr>
              <w:t xml:space="preserve">30</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УГТ 1-3</w:t>
            </w:r>
          </w:p>
        </w:tc>
        <w:tc>
          <w:tcPr>
            <w:tcW w:w="1644" w:type="dxa"/>
          </w:tcPr>
          <w:p>
            <w:pPr>
              <w:pStyle w:val="0"/>
            </w:pPr>
            <w:r>
              <w:rPr>
                <w:sz w:val="20"/>
              </w:rPr>
              <w:t xml:space="preserve">20</w:t>
            </w:r>
          </w:p>
        </w:tc>
        <w:tc>
          <w:tcPr>
            <w:vMerge w:val="continue"/>
          </w:tcPr>
          <w:p/>
        </w:tc>
        <w:tc>
          <w:tcPr>
            <w:vMerge w:val="continue"/>
          </w:tcPr>
          <w:p/>
        </w:tc>
      </w:tr>
      <w:tr>
        <w:tc>
          <w:tcPr>
            <w:tcW w:w="737" w:type="dxa"/>
            <w:vMerge w:val="restart"/>
          </w:tcPr>
          <w:p>
            <w:pPr>
              <w:pStyle w:val="0"/>
            </w:pPr>
            <w:r>
              <w:rPr>
                <w:sz w:val="20"/>
              </w:rPr>
              <w:t xml:space="preserve">6</w:t>
            </w:r>
          </w:p>
        </w:tc>
        <w:tc>
          <w:tcPr>
            <w:tcW w:w="2438" w:type="dxa"/>
            <w:vMerge w:val="restart"/>
          </w:tcPr>
          <w:p>
            <w:pPr>
              <w:pStyle w:val="0"/>
            </w:pPr>
            <w:r>
              <w:rPr>
                <w:sz w:val="20"/>
              </w:rPr>
              <w:t xml:space="preserve">Наличие софинансирования со стороны организаций, а также индивидуальных предпринимателей, заинтересованных в результатах реализации проекта для внедрения результатов проектов в хозяйственный оборот организаций реального сектора экономики (% от объема Гранта)</w:t>
            </w:r>
          </w:p>
        </w:tc>
        <w:tc>
          <w:tcPr>
            <w:tcW w:w="1531" w:type="dxa"/>
            <w:vMerge w:val="restart"/>
          </w:tcPr>
          <w:p>
            <w:pPr>
              <w:pStyle w:val="0"/>
            </w:pPr>
            <w:r>
              <w:rPr>
                <w:sz w:val="20"/>
              </w:rPr>
              <w:t xml:space="preserve">10</w:t>
            </w:r>
          </w:p>
        </w:tc>
        <w:tc>
          <w:tcPr>
            <w:tcW w:w="3969" w:type="dxa"/>
          </w:tcPr>
          <w:p>
            <w:pPr>
              <w:pStyle w:val="0"/>
            </w:pPr>
            <w:r>
              <w:rPr>
                <w:sz w:val="20"/>
              </w:rPr>
              <w:t xml:space="preserve">Более 100%</w:t>
            </w:r>
          </w:p>
        </w:tc>
        <w:tc>
          <w:tcPr>
            <w:tcW w:w="1644" w:type="dxa"/>
          </w:tcPr>
          <w:p>
            <w:pPr>
              <w:pStyle w:val="0"/>
            </w:pPr>
            <w:r>
              <w:rPr>
                <w:sz w:val="20"/>
              </w:rPr>
              <w:t xml:space="preserve">30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Оценка гарантийных писем от организаций, а также индивидуальных предпринимателей, заинтересованных в результатах реализации проекта, обладающих ресурсами, кадрами, технологиями, сырьем, информационными ресурсами для внедрения результатов проектов в хозяйственный оборот организаций реального сектора экономики.</w:t>
            </w:r>
          </w:p>
          <w:p>
            <w:pPr>
              <w:pStyle w:val="0"/>
            </w:pPr>
            <w:r>
              <w:rPr>
                <w:sz w:val="20"/>
              </w:rPr>
              <w:t xml:space="preserve">2. Выписка со счета, подтверждающая наличие денежных средств на софинансирование проекта</w:t>
            </w:r>
          </w:p>
        </w:tc>
      </w:tr>
      <w:tr>
        <w:tc>
          <w:tcPr>
            <w:vMerge w:val="continue"/>
          </w:tcPr>
          <w:p/>
        </w:tc>
        <w:tc>
          <w:tcPr>
            <w:vMerge w:val="continue"/>
          </w:tcPr>
          <w:p/>
        </w:tc>
        <w:tc>
          <w:tcPr>
            <w:vMerge w:val="continue"/>
          </w:tcPr>
          <w:p/>
        </w:tc>
        <w:tc>
          <w:tcPr>
            <w:tcW w:w="3969" w:type="dxa"/>
          </w:tcPr>
          <w:p>
            <w:pPr>
              <w:pStyle w:val="0"/>
            </w:pPr>
            <w:r>
              <w:rPr>
                <w:sz w:val="20"/>
              </w:rPr>
              <w:t xml:space="preserve">81-100%</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61-80%</w:t>
            </w:r>
          </w:p>
        </w:tc>
        <w:tc>
          <w:tcPr>
            <w:tcW w:w="1644" w:type="dxa"/>
          </w:tcPr>
          <w:p>
            <w:pPr>
              <w:pStyle w:val="0"/>
            </w:pPr>
            <w:r>
              <w:rPr>
                <w:sz w:val="20"/>
              </w:rPr>
              <w:t xml:space="preserve">20</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41-60%</w:t>
            </w:r>
          </w:p>
        </w:tc>
        <w:tc>
          <w:tcPr>
            <w:tcW w:w="1644" w:type="dxa"/>
          </w:tcPr>
          <w:p>
            <w:pPr>
              <w:pStyle w:val="0"/>
            </w:pPr>
            <w:r>
              <w:rPr>
                <w:sz w:val="20"/>
              </w:rPr>
              <w:t xml:space="preserve">15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20-40%</w:t>
            </w:r>
          </w:p>
        </w:tc>
        <w:tc>
          <w:tcPr>
            <w:tcW w:w="1644" w:type="dxa"/>
          </w:tcPr>
          <w:p>
            <w:pPr>
              <w:pStyle w:val="0"/>
            </w:pPr>
            <w:r>
              <w:rPr>
                <w:sz w:val="20"/>
              </w:rPr>
              <w:t xml:space="preserve">10</w:t>
            </w:r>
          </w:p>
        </w:tc>
        <w:tc>
          <w:tcPr>
            <w:vMerge w:val="continue"/>
          </w:tcPr>
          <w:p/>
        </w:tc>
        <w:tc>
          <w:tcPr>
            <w:vMerge w:val="continue"/>
          </w:tcPr>
          <w:p/>
        </w:tc>
      </w:tr>
      <w:tr>
        <w:tc>
          <w:tcPr>
            <w:tcW w:w="737" w:type="dxa"/>
            <w:vMerge w:val="restart"/>
          </w:tcPr>
          <w:p>
            <w:pPr>
              <w:pStyle w:val="0"/>
            </w:pPr>
            <w:r>
              <w:rPr>
                <w:sz w:val="20"/>
              </w:rPr>
              <w:t xml:space="preserve">7</w:t>
            </w:r>
          </w:p>
        </w:tc>
        <w:tc>
          <w:tcPr>
            <w:tcW w:w="2438" w:type="dxa"/>
            <w:vMerge w:val="restart"/>
          </w:tcPr>
          <w:p>
            <w:pPr>
              <w:pStyle w:val="0"/>
            </w:pPr>
            <w:r>
              <w:rPr>
                <w:sz w:val="20"/>
              </w:rPr>
              <w:t xml:space="preserve">Уникальность проекта и научная новизна</w:t>
            </w:r>
          </w:p>
        </w:tc>
        <w:tc>
          <w:tcPr>
            <w:tcW w:w="1531" w:type="dxa"/>
            <w:vMerge w:val="restart"/>
          </w:tcPr>
          <w:p>
            <w:pPr>
              <w:pStyle w:val="0"/>
            </w:pPr>
            <w:r>
              <w:rPr>
                <w:sz w:val="20"/>
              </w:rPr>
              <w:t xml:space="preserve">10</w:t>
            </w:r>
          </w:p>
        </w:tc>
        <w:tc>
          <w:tcPr>
            <w:tcW w:w="3969" w:type="dxa"/>
          </w:tcPr>
          <w:p>
            <w:pPr>
              <w:pStyle w:val="0"/>
            </w:pPr>
            <w:r>
              <w:rPr>
                <w:sz w:val="20"/>
              </w:rPr>
              <w:t xml:space="preserve">Научно-технологическая новизна (инновационность) продукции (услуг), разработанной в рамках реализации проекта</w:t>
            </w:r>
          </w:p>
        </w:tc>
        <w:tc>
          <w:tcPr>
            <w:tcW w:w="1644" w:type="dxa"/>
          </w:tcPr>
          <w:p>
            <w:pPr>
              <w:pStyle w:val="0"/>
            </w:pPr>
            <w:r>
              <w:rPr>
                <w:sz w:val="20"/>
              </w:rPr>
              <w:t xml:space="preserve">25</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Оценка сведений о планах по использованию цифровых технологий в процессе реализации проекта.</w:t>
            </w:r>
          </w:p>
          <w:p>
            <w:pPr>
              <w:pStyle w:val="0"/>
            </w:pPr>
            <w:r>
              <w:rPr>
                <w:sz w:val="20"/>
              </w:rPr>
              <w:t xml:space="preserve">2. Оценка сведений о планах по созданию объектов интеллектуальной собственности.</w:t>
            </w:r>
          </w:p>
          <w:p>
            <w:pPr>
              <w:pStyle w:val="0"/>
            </w:pPr>
            <w:r>
              <w:rPr>
                <w:sz w:val="20"/>
              </w:rPr>
              <w:t xml:space="preserve">3. Копии патентов и иных охранных документов.</w:t>
            </w:r>
          </w:p>
          <w:p>
            <w:pPr>
              <w:pStyle w:val="0"/>
            </w:pPr>
            <w:r>
              <w:rPr>
                <w:sz w:val="20"/>
              </w:rPr>
              <w:t xml:space="preserve">4. Оценка сведений о конкурентных преимуществах по сравнению с аналогами.</w:t>
            </w:r>
          </w:p>
          <w:p>
            <w:pPr>
              <w:pStyle w:val="0"/>
            </w:pPr>
            <w:r>
              <w:rPr>
                <w:sz w:val="20"/>
              </w:rPr>
              <w:t xml:space="preserve">5. Справка о научно-технологической новизне (инновационности) продукции (услуг), разработанной в рамках проекта, с учетом анализа рынка продукции (услуг)</w:t>
            </w:r>
          </w:p>
        </w:tc>
      </w:tr>
      <w:tr>
        <w:tc>
          <w:tcPr>
            <w:vMerge w:val="continue"/>
          </w:tcPr>
          <w:p/>
        </w:tc>
        <w:tc>
          <w:tcPr>
            <w:vMerge w:val="continue"/>
          </w:tcPr>
          <w:p/>
        </w:tc>
        <w:tc>
          <w:tcPr>
            <w:vMerge w:val="continue"/>
          </w:tcPr>
          <w:p/>
        </w:tc>
        <w:tc>
          <w:tcPr>
            <w:tcW w:w="3969" w:type="dxa"/>
          </w:tcPr>
          <w:p>
            <w:pPr>
              <w:pStyle w:val="0"/>
            </w:pPr>
            <w:r>
              <w:rPr>
                <w:sz w:val="20"/>
              </w:rPr>
              <w:t xml:space="preserve">Запланировано создание объектов интеллектуальной собственности, а также получение патента и (или) иных охранных документов</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Продукт имеет конкурентные преимущества по сравнению с аналогами</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проект планируется реализовать с использованием цифровых технологий</w:t>
            </w:r>
          </w:p>
        </w:tc>
        <w:tc>
          <w:tcPr>
            <w:tcW w:w="1644" w:type="dxa"/>
          </w:tcPr>
          <w:p>
            <w:pPr>
              <w:pStyle w:val="0"/>
            </w:pPr>
            <w:r>
              <w:rPr>
                <w:sz w:val="20"/>
              </w:rPr>
              <w:t xml:space="preserve">25</w:t>
            </w:r>
          </w:p>
        </w:tc>
        <w:tc>
          <w:tcPr>
            <w:vMerge w:val="continue"/>
          </w:tcPr>
          <w:p/>
        </w:tc>
        <w:tc>
          <w:tcPr>
            <w:vMerge w:val="continue"/>
          </w:tcPr>
          <w:p/>
        </w:tc>
      </w:tr>
      <w:tr>
        <w:tc>
          <w:tcPr>
            <w:tcW w:w="737" w:type="dxa"/>
            <w:vMerge w:val="restart"/>
          </w:tcPr>
          <w:p>
            <w:pPr>
              <w:pStyle w:val="0"/>
            </w:pPr>
            <w:r>
              <w:rPr>
                <w:sz w:val="20"/>
              </w:rPr>
              <w:t xml:space="preserve">8</w:t>
            </w:r>
          </w:p>
        </w:tc>
        <w:tc>
          <w:tcPr>
            <w:tcW w:w="2438" w:type="dxa"/>
            <w:vMerge w:val="restart"/>
          </w:tcPr>
          <w:p>
            <w:pPr>
              <w:pStyle w:val="0"/>
            </w:pPr>
            <w:r>
              <w:rPr>
                <w:sz w:val="20"/>
              </w:rPr>
              <w:t xml:space="preserve">Эффективность проекта</w:t>
            </w:r>
          </w:p>
        </w:tc>
        <w:tc>
          <w:tcPr>
            <w:tcW w:w="1531" w:type="dxa"/>
            <w:vMerge w:val="restart"/>
          </w:tcPr>
          <w:p>
            <w:pPr>
              <w:pStyle w:val="0"/>
            </w:pPr>
            <w:r>
              <w:rPr>
                <w:sz w:val="20"/>
              </w:rPr>
              <w:t xml:space="preserve">10</w:t>
            </w:r>
          </w:p>
        </w:tc>
        <w:tc>
          <w:tcPr>
            <w:tcW w:w="3969" w:type="dxa"/>
          </w:tcPr>
          <w:p>
            <w:pPr>
              <w:pStyle w:val="0"/>
            </w:pPr>
            <w:r>
              <w:rPr>
                <w:sz w:val="20"/>
              </w:rPr>
              <w:t xml:space="preserve">Сумма прогнозируемых налоговых поступлений в федеральный бюджет и бюджет Московской области за период пять лет с момента получения Гранта</w:t>
            </w:r>
          </w:p>
        </w:tc>
        <w:tc>
          <w:tcPr>
            <w:tcW w:w="1644" w:type="dxa"/>
          </w:tcPr>
          <w:p>
            <w:pPr>
              <w:pStyle w:val="0"/>
            </w:pPr>
            <w:r>
              <w:rPr>
                <w:sz w:val="20"/>
              </w:rPr>
              <w:t xml:space="preserve">60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Оценка сведений о суммах прогнозируемых налоговых поступлений в федеральный бюджет и бюджет Московской области за период пять лет с момента получения Гранта.</w:t>
            </w:r>
          </w:p>
          <w:p>
            <w:pPr>
              <w:pStyle w:val="0"/>
            </w:pPr>
            <w:r>
              <w:rPr>
                <w:sz w:val="20"/>
              </w:rPr>
              <w:t xml:space="preserve">2. Оценка сведений об импортозамещении с указанием замещающих российских и зарубежных аналогов</w:t>
            </w:r>
          </w:p>
        </w:tc>
      </w:tr>
      <w:tr>
        <w:tc>
          <w:tcPr>
            <w:vMerge w:val="continue"/>
          </w:tcPr>
          <w:p/>
        </w:tc>
        <w:tc>
          <w:tcPr>
            <w:vMerge w:val="continue"/>
          </w:tcPr>
          <w:p/>
        </w:tc>
        <w:tc>
          <w:tcPr>
            <w:vMerge w:val="continue"/>
          </w:tcPr>
          <w:p/>
        </w:tc>
        <w:tc>
          <w:tcPr>
            <w:tcW w:w="3969" w:type="dxa"/>
          </w:tcPr>
          <w:p>
            <w:pPr>
              <w:pStyle w:val="0"/>
            </w:pPr>
            <w:r>
              <w:rPr>
                <w:sz w:val="20"/>
              </w:rPr>
              <w:t xml:space="preserve">Оценка импортозамещения</w:t>
            </w:r>
          </w:p>
        </w:tc>
        <w:tc>
          <w:tcPr>
            <w:tcW w:w="1644" w:type="dxa"/>
          </w:tcPr>
          <w:p>
            <w:pPr>
              <w:pStyle w:val="0"/>
            </w:pPr>
            <w:r>
              <w:rPr>
                <w:sz w:val="20"/>
              </w:rPr>
              <w:t xml:space="preserve">40</w:t>
            </w:r>
          </w:p>
        </w:tc>
        <w:tc>
          <w:tcPr>
            <w:vMerge w:val="continue"/>
          </w:tcPr>
          <w:p/>
        </w:tc>
        <w:tc>
          <w:tcPr>
            <w:vMerge w:val="continue"/>
          </w:tcPr>
          <w:p/>
        </w:tc>
      </w:tr>
      <w:tr>
        <w:tc>
          <w:tcPr>
            <w:tcW w:w="737" w:type="dxa"/>
            <w:vMerge w:val="restart"/>
          </w:tcPr>
          <w:p>
            <w:pPr>
              <w:pStyle w:val="0"/>
            </w:pPr>
            <w:r>
              <w:rPr>
                <w:sz w:val="20"/>
              </w:rPr>
              <w:t xml:space="preserve">9</w:t>
            </w:r>
          </w:p>
        </w:tc>
        <w:tc>
          <w:tcPr>
            <w:tcW w:w="2438" w:type="dxa"/>
            <w:vMerge w:val="restart"/>
          </w:tcPr>
          <w:p>
            <w:pPr>
              <w:pStyle w:val="0"/>
            </w:pPr>
            <w:r>
              <w:rPr>
                <w:sz w:val="20"/>
              </w:rPr>
              <w:t xml:space="preserve">Кадры, привлекаемые к реализации проекта</w:t>
            </w:r>
          </w:p>
        </w:tc>
        <w:tc>
          <w:tcPr>
            <w:tcW w:w="1531" w:type="dxa"/>
            <w:vMerge w:val="restart"/>
          </w:tcPr>
          <w:p>
            <w:pPr>
              <w:pStyle w:val="0"/>
            </w:pPr>
            <w:r>
              <w:rPr>
                <w:sz w:val="20"/>
              </w:rPr>
              <w:t xml:space="preserve">10</w:t>
            </w:r>
          </w:p>
        </w:tc>
        <w:tc>
          <w:tcPr>
            <w:tcW w:w="3969" w:type="dxa"/>
          </w:tcPr>
          <w:p>
            <w:pPr>
              <w:pStyle w:val="0"/>
            </w:pPr>
            <w:r>
              <w:rPr>
                <w:sz w:val="20"/>
              </w:rPr>
              <w:t xml:space="preserve">Наличие управленческих, научно-технических и инженерно-технических кадров при реализации проекта</w:t>
            </w:r>
          </w:p>
        </w:tc>
        <w:tc>
          <w:tcPr>
            <w:tcW w:w="1644" w:type="dxa"/>
          </w:tcPr>
          <w:p>
            <w:pPr>
              <w:pStyle w:val="0"/>
            </w:pPr>
            <w:r>
              <w:rPr>
                <w:sz w:val="20"/>
              </w:rPr>
              <w:t xml:space="preserve">30</w:t>
            </w:r>
          </w:p>
        </w:tc>
        <w:tc>
          <w:tcPr>
            <w:tcW w:w="1814" w:type="dxa"/>
            <w:vMerge w:val="restart"/>
          </w:tcPr>
          <w:p>
            <w:pPr>
              <w:pStyle w:val="0"/>
            </w:pPr>
            <w:r>
              <w:rPr>
                <w:sz w:val="20"/>
              </w:rPr>
              <w:t xml:space="preserve">Наличие - 100 баллов;</w:t>
            </w:r>
          </w:p>
          <w:p>
            <w:pPr>
              <w:pStyle w:val="0"/>
            </w:pPr>
            <w:r>
              <w:rPr>
                <w:sz w:val="20"/>
              </w:rPr>
              <w:t xml:space="preserve">отсутствие - 0 баллов</w:t>
            </w:r>
          </w:p>
        </w:tc>
        <w:tc>
          <w:tcPr>
            <w:tcW w:w="4309" w:type="dxa"/>
            <w:vMerge w:val="restart"/>
          </w:tcPr>
          <w:p>
            <w:pPr>
              <w:pStyle w:val="0"/>
            </w:pPr>
            <w:r>
              <w:rPr>
                <w:sz w:val="20"/>
              </w:rPr>
              <w:t xml:space="preserve">1. Оценка сведений о наличии управленческих, научно-технических и инженерно-технических кадров в команде проекта.</w:t>
            </w:r>
          </w:p>
          <w:p>
            <w:pPr>
              <w:pStyle w:val="0"/>
            </w:pPr>
            <w:r>
              <w:rPr>
                <w:sz w:val="20"/>
              </w:rPr>
              <w:t xml:space="preserve">2. Копии документов об образовании команды проекта (дипломов).</w:t>
            </w:r>
          </w:p>
          <w:p>
            <w:pPr>
              <w:pStyle w:val="0"/>
            </w:pPr>
            <w:r>
              <w:rPr>
                <w:sz w:val="20"/>
              </w:rPr>
              <w:t xml:space="preserve">3. Оценка сведений о членах команды проекта в возрасте до 39 лет (не менее 30% от состава команды проекта).</w:t>
            </w:r>
          </w:p>
          <w:p>
            <w:pPr>
              <w:pStyle w:val="0"/>
            </w:pPr>
            <w:r>
              <w:rPr>
                <w:sz w:val="20"/>
              </w:rPr>
              <w:t xml:space="preserve">4. Оценка сведений о проведенных работах (опыт) по направлению заявленного проекта (за последние два года) с указанием конкретных программ, проектов, мероприятий и результативности данных мероприятий.</w:t>
            </w:r>
          </w:p>
          <w:p>
            <w:pPr>
              <w:pStyle w:val="0"/>
            </w:pPr>
            <w:r>
              <w:rPr>
                <w:sz w:val="20"/>
              </w:rPr>
              <w:t xml:space="preserve">5. Копии документов о дополнительном образовании и (или) повышении квалификации команды проекта (свидетельства, сертификаты, удостоверения).</w:t>
            </w:r>
          </w:p>
          <w:p>
            <w:pPr>
              <w:pStyle w:val="0"/>
            </w:pPr>
            <w:r>
              <w:rPr>
                <w:sz w:val="20"/>
              </w:rPr>
              <w:t xml:space="preserve">6. Оценка сведений о наличии специалистов по маркетингу и экономике в команде проекта (наличие специализированного образования и соответствующей ему должности в организации).</w:t>
            </w:r>
          </w:p>
          <w:p>
            <w:pPr>
              <w:pStyle w:val="0"/>
            </w:pPr>
            <w:r>
              <w:rPr>
                <w:sz w:val="20"/>
              </w:rPr>
              <w:t xml:space="preserve">7. Оценка сведений о координаторе (ответственном за выполнение проекта) проекта (Ф.И.О. полностью, должность полностью, контакты (телефон, e-mail).</w:t>
            </w:r>
          </w:p>
          <w:p>
            <w:pPr>
              <w:pStyle w:val="0"/>
            </w:pPr>
            <w:r>
              <w:rPr>
                <w:sz w:val="20"/>
              </w:rPr>
              <w:t xml:space="preserve">8. Оценка сведений о членах команды проекта, имеющих степень кандидатов и докторов наук (подтверждение ученой степени).</w:t>
            </w:r>
          </w:p>
          <w:p>
            <w:pPr>
              <w:pStyle w:val="0"/>
            </w:pPr>
            <w:r>
              <w:rPr>
                <w:sz w:val="20"/>
              </w:rPr>
              <w:t xml:space="preserve">9. Оценка сведений о публикационной активности (научные статьи, публикации, в т.ч. в международных изданиях) команды проекта.</w:t>
            </w:r>
          </w:p>
          <w:p>
            <w:pPr>
              <w:pStyle w:val="0"/>
            </w:pPr>
            <w:r>
              <w:rPr>
                <w:sz w:val="20"/>
              </w:rPr>
              <w:t xml:space="preserve">10. Оценка сведений о патентной активности команды проекта (в т.ч. зарубежной).</w:t>
            </w:r>
          </w:p>
          <w:p>
            <w:pPr>
              <w:pStyle w:val="0"/>
            </w:pPr>
            <w:r>
              <w:rPr>
                <w:sz w:val="20"/>
              </w:rPr>
              <w:t xml:space="preserve">11. Сведения (если применимо) о лицензиях, иных разрешительных документах, обязательных для осуществления запланированной деятельности по проекту</w:t>
            </w:r>
          </w:p>
        </w:tc>
      </w:tr>
      <w:tr>
        <w:tc>
          <w:tcPr>
            <w:vMerge w:val="continue"/>
          </w:tcPr>
          <w:p/>
        </w:tc>
        <w:tc>
          <w:tcPr>
            <w:vMerge w:val="continue"/>
          </w:tcPr>
          <w:p/>
        </w:tc>
        <w:tc>
          <w:tcPr>
            <w:vMerge w:val="continue"/>
          </w:tcPr>
          <w:p/>
        </w:tc>
        <w:tc>
          <w:tcPr>
            <w:tcW w:w="3969" w:type="dxa"/>
          </w:tcPr>
          <w:p>
            <w:pPr>
              <w:pStyle w:val="0"/>
            </w:pPr>
            <w:r>
              <w:rPr>
                <w:sz w:val="20"/>
              </w:rPr>
              <w:t xml:space="preserve">Наличие научных сотрудников и специалистов до 39 лет (не менее 30 %)</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Наличие реализованных проектов (опыт) по направлению заявленного проекта</w:t>
            </w:r>
          </w:p>
        </w:tc>
        <w:tc>
          <w:tcPr>
            <w:tcW w:w="1644" w:type="dxa"/>
          </w:tcPr>
          <w:p>
            <w:pPr>
              <w:pStyle w:val="0"/>
            </w:pPr>
            <w:r>
              <w:rPr>
                <w:sz w:val="20"/>
              </w:rPr>
              <w:t xml:space="preserve">25</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Наличие сведений о дополнительном образовании и (или) повышении квалификации команды проекта</w:t>
            </w:r>
          </w:p>
        </w:tc>
        <w:tc>
          <w:tcPr>
            <w:tcW w:w="1644" w:type="dxa"/>
          </w:tcPr>
          <w:p>
            <w:pPr>
              <w:pStyle w:val="0"/>
            </w:pPr>
            <w:r>
              <w:rPr>
                <w:sz w:val="20"/>
              </w:rPr>
              <w:t xml:space="preserve">10</w:t>
            </w:r>
          </w:p>
        </w:tc>
        <w:tc>
          <w:tcPr>
            <w:vMerge w:val="continue"/>
          </w:tcPr>
          <w:p/>
        </w:tc>
        <w:tc>
          <w:tcPr>
            <w:vMerge w:val="continue"/>
          </w:tcPr>
          <w:p/>
        </w:tc>
      </w:tr>
      <w:tr>
        <w:tc>
          <w:tcPr>
            <w:vMerge w:val="continue"/>
          </w:tcPr>
          <w:p/>
        </w:tc>
        <w:tc>
          <w:tcPr>
            <w:vMerge w:val="continue"/>
          </w:tcPr>
          <w:p/>
        </w:tc>
        <w:tc>
          <w:tcPr>
            <w:vMerge w:val="continue"/>
          </w:tcPr>
          <w:p/>
        </w:tc>
        <w:tc>
          <w:tcPr>
            <w:tcW w:w="3969" w:type="dxa"/>
          </w:tcPr>
          <w:p>
            <w:pPr>
              <w:pStyle w:val="0"/>
            </w:pPr>
            <w:r>
              <w:rPr>
                <w:sz w:val="20"/>
              </w:rPr>
              <w:t xml:space="preserve">Наличие специалистов по маркетингу и экономике в команде проекта</w:t>
            </w:r>
          </w:p>
        </w:tc>
        <w:tc>
          <w:tcPr>
            <w:tcW w:w="1644" w:type="dxa"/>
          </w:tcPr>
          <w:p>
            <w:pPr>
              <w:pStyle w:val="0"/>
            </w:pPr>
            <w:r>
              <w:rPr>
                <w:sz w:val="20"/>
              </w:rPr>
              <w:t xml:space="preserve">10</w:t>
            </w:r>
          </w:p>
        </w:tc>
        <w:tc>
          <w:tcPr>
            <w:vMerge w:val="continue"/>
          </w:tcP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5.4. Порядки определения объема и предоставления субсидий</w:t>
      </w:r>
    </w:p>
    <w:p>
      <w:pPr>
        <w:pStyle w:val="2"/>
        <w:jc w:val="center"/>
      </w:pPr>
      <w:r>
        <w:rPr>
          <w:sz w:val="20"/>
        </w:rPr>
        <w:t xml:space="preserve">из бюджета Московской области, в том числе результаты их</w:t>
      </w:r>
    </w:p>
    <w:p>
      <w:pPr>
        <w:pStyle w:val="2"/>
        <w:jc w:val="center"/>
      </w:pPr>
      <w:r>
        <w:rPr>
          <w:sz w:val="20"/>
        </w:rPr>
        <w:t xml:space="preserve">предоставления, иным некоммерческим организациям,</w:t>
      </w:r>
    </w:p>
    <w:p>
      <w:pPr>
        <w:pStyle w:val="2"/>
        <w:jc w:val="center"/>
      </w:pPr>
      <w:r>
        <w:rPr>
          <w:sz w:val="20"/>
        </w:rPr>
        <w:t xml:space="preserve">не являющимся государственными (муниципальными) учреждениями</w:t>
      </w:r>
    </w:p>
    <w:p>
      <w:pPr>
        <w:pStyle w:val="0"/>
        <w:jc w:val="both"/>
      </w:pPr>
      <w:r>
        <w:rPr>
          <w:sz w:val="20"/>
        </w:rPr>
      </w:r>
    </w:p>
    <w:p>
      <w:pPr>
        <w:pStyle w:val="2"/>
        <w:outlineLvl w:val="3"/>
        <w:jc w:val="center"/>
      </w:pPr>
      <w:r>
        <w:rPr>
          <w:sz w:val="20"/>
        </w:rPr>
        <w:t xml:space="preserve">5.4.1. Порядок предоставления из бюджета Московской области</w:t>
      </w:r>
    </w:p>
    <w:p>
      <w:pPr>
        <w:pStyle w:val="2"/>
        <w:jc w:val="center"/>
      </w:pPr>
      <w:r>
        <w:rPr>
          <w:sz w:val="20"/>
        </w:rPr>
        <w:t xml:space="preserve">субсидии некоммерческой организации "Государственный фонд</w:t>
      </w:r>
    </w:p>
    <w:p>
      <w:pPr>
        <w:pStyle w:val="2"/>
        <w:jc w:val="center"/>
      </w:pPr>
      <w:r>
        <w:rPr>
          <w:sz w:val="20"/>
        </w:rPr>
        <w:t xml:space="preserve">развития промышленности Московской области" в рамках</w:t>
      </w:r>
    </w:p>
    <w:p>
      <w:pPr>
        <w:pStyle w:val="2"/>
        <w:jc w:val="center"/>
      </w:pPr>
      <w:r>
        <w:rPr>
          <w:sz w:val="20"/>
        </w:rPr>
        <w:t xml:space="preserve">реализации мероприятия 05.01 "Обеспечение деятельности</w:t>
      </w:r>
    </w:p>
    <w:p>
      <w:pPr>
        <w:pStyle w:val="2"/>
        <w:jc w:val="center"/>
      </w:pPr>
      <w:r>
        <w:rPr>
          <w:sz w:val="20"/>
        </w:rPr>
        <w:t xml:space="preserve">некоммерческой организации "Государственный фонд развития</w:t>
      </w:r>
    </w:p>
    <w:p>
      <w:pPr>
        <w:pStyle w:val="2"/>
        <w:jc w:val="center"/>
      </w:pPr>
      <w:r>
        <w:rPr>
          <w:sz w:val="20"/>
        </w:rPr>
        <w:t xml:space="preserve">промышленности Московской области" в целях финансовой</w:t>
      </w:r>
    </w:p>
    <w:p>
      <w:pPr>
        <w:pStyle w:val="2"/>
        <w:jc w:val="center"/>
      </w:pPr>
      <w:r>
        <w:rPr>
          <w:sz w:val="20"/>
        </w:rPr>
        <w:t xml:space="preserve">поддержки субъектов деятельности в сфере промышленности,</w:t>
      </w:r>
    </w:p>
    <w:p>
      <w:pPr>
        <w:pStyle w:val="2"/>
        <w:jc w:val="center"/>
      </w:pPr>
      <w:r>
        <w:rPr>
          <w:sz w:val="20"/>
        </w:rPr>
        <w:t xml:space="preserve">реализующих проекты, направленные на обеспечение</w:t>
      </w:r>
    </w:p>
    <w:p>
      <w:pPr>
        <w:pStyle w:val="2"/>
        <w:jc w:val="center"/>
      </w:pPr>
      <w:r>
        <w:rPr>
          <w:sz w:val="20"/>
        </w:rPr>
        <w:t xml:space="preserve">импортозамещения" Подпрограммы 1 государственной программы"</w:t>
      </w:r>
    </w:p>
    <w:p>
      <w:pPr>
        <w:pStyle w:val="0"/>
        <w:jc w:val="center"/>
      </w:pPr>
      <w:r>
        <w:rPr>
          <w:sz w:val="20"/>
        </w:rPr>
      </w:r>
    </w:p>
    <w:p>
      <w:pPr>
        <w:pStyle w:val="0"/>
        <w:jc w:val="center"/>
      </w:pPr>
      <w:r>
        <w:rPr>
          <w:sz w:val="20"/>
        </w:rPr>
        <w:t xml:space="preserve">(в ред. </w:t>
      </w:r>
      <w:hyperlink w:history="0" r:id="rId457"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некоммерческой организации "Государственный фонд развития промышленности Московской области" (далее соответственно - Порядок, субсидия) в рамках реализации </w:t>
      </w:r>
      <w:hyperlink w:history="0" w:anchor="P1750" w:tooltip="Мероприятие 05.01. Обеспечение деятельности некоммерческой организации &quot;Государственный фонд развития промышленности Московской области в целях финансовой поддержки субъектов деятельности в сфере промышленности, реализующих проекты, направленные на обеспечение импортозамещения">
        <w:r>
          <w:rPr>
            <w:sz w:val="20"/>
            <w:color w:val="0000ff"/>
          </w:rPr>
          <w:t xml:space="preserve">мероприятия 05.01</w:t>
        </w:r>
      </w:hyperlink>
      <w:r>
        <w:rPr>
          <w:sz w:val="20"/>
        </w:rPr>
        <w:t xml:space="preserve"> "Обеспечение деятельности некоммерческой организации "Государственный фонд развития промышленности Московской области" в целях финансовой поддержки субъектов деятельности в сфере промышленности, реализующих проекты, направленные на обеспечение импортозамещения" Подпрограммы 1 государственной программы разработан в соответствии со </w:t>
      </w:r>
      <w:hyperlink w:history="0" r:id="rId45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45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результаты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6765" w:tooltip="5. Целью предоставления субсидии является финансовое обеспечение затрат некоммерческой организации &quot;Государственный фонд развития промышленности Московской области&quot;, связанных с уставной деятельностью некоммерческой организации &quot;Государственный фонд развития промышленности Московской области&quot;, направленной на оказание финансовой поддержки субъектам деятельности в сфере промышленности, осуществляющим и (или) планирующим к осуществлению на территории Московской области виды экономической (предпринимательск...">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6765" w:name="P6765"/>
    <w:bookmarkEnd w:id="6765"/>
    <w:p>
      <w:pPr>
        <w:pStyle w:val="0"/>
        <w:spacing w:before="200" w:line-rule="auto"/>
        <w:ind w:firstLine="540"/>
        <w:jc w:val="both"/>
      </w:pPr>
      <w:r>
        <w:rPr>
          <w:sz w:val="20"/>
        </w:rPr>
        <w:t xml:space="preserve">5. Целью предоставления субсидии является финансовое обеспечение затрат некоммерческой организации "Государственный фонд развития промышленности Московской области", связанных с уставной деятельностью некоммерческой организации "Государственный фонд развития промышленности Московской области", направленной на оказание финансовой поддержки субъектам деятельности в сфере промышленности, осуществляющим и (или) планирующим к осуществлению на территории Московской области виды экономической (предпринимательской) деятельности, указанные в </w:t>
      </w:r>
      <w:hyperlink w:history="0" r:id="rId460"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пунктах 10</w:t>
        </w:r>
      </w:hyperlink>
      <w:r>
        <w:rPr>
          <w:sz w:val="20"/>
        </w:rPr>
        <w:t xml:space="preserve"> - </w:t>
      </w:r>
      <w:hyperlink w:history="0" r:id="rId461"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29</w:t>
        </w:r>
      </w:hyperlink>
      <w:r>
        <w:rPr>
          <w:sz w:val="20"/>
        </w:rPr>
        <w:t xml:space="preserve"> Перечня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утвержденного Законом Московской области N 32/2022-ОЗ, в том числе осуществляющим выпуск высокотехнологичной продукции, а также организациям, реализующим научные, научно-технические, инновационные и высокотехнологичные проекты, направленные на внедрение наилучших доступных технологий и импортозамещение в сфере промышленности, осуществляющим деятельность на территории Московской области, в том числе в виде займов, грантов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w:history="0" r:id="rId462" w:tooltip="Федеральный закон от 02.12.1990 N 395-1 (ред. от 28.12.2024) &quot;О банках и банковской деятельности&quot; {КонсультантПлюс}">
        <w:r>
          <w:rPr>
            <w:sz w:val="20"/>
            <w:color w:val="0000ff"/>
          </w:rPr>
          <w:t xml:space="preserve">законом</w:t>
        </w:r>
      </w:hyperlink>
      <w:r>
        <w:rPr>
          <w:sz w:val="20"/>
        </w:rPr>
        <w:t xml:space="preserve"> от 02.12.1990 N 395-1 "О банках и банковской деятельности" требованиям (далее - грант), в соответствии с законодательством Российской Федерации в сфере промышленности.</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некоммерческая организация "Государственный фонд развития промышленности Московской области"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6768" w:name="P6768"/>
    <w:bookmarkEnd w:id="6768"/>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463"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6771" w:name="P6771"/>
    <w:bookmarkEnd w:id="6771"/>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6772" w:name="P6772"/>
    <w:bookmarkEnd w:id="6772"/>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6773" w:name="P6773"/>
    <w:bookmarkEnd w:id="6773"/>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Start w:id="6774" w:name="P6774"/>
    <w:bookmarkEnd w:id="6774"/>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6765" w:tooltip="5. Целью предоставления субсидии является финансовое обеспечение затрат некоммерческой организации &quot;Государственный фонд развития промышленности Московской области&quot;, связанных с уставной деятельностью некоммерческой организации &quot;Государственный фонд развития промышленности Московской области&quot;, направленной на оказание финансовой поддержки субъектам деятельности в сфере промышленности, осуществляющим и (или) планирующим к осуществлению на территории Московской области виды экономической (предпринимательск...">
        <w:r>
          <w:rPr>
            <w:sz w:val="20"/>
            <w:color w:val="0000ff"/>
          </w:rPr>
          <w:t xml:space="preserve">пунктом 5</w:t>
        </w:r>
      </w:hyperlink>
      <w:r>
        <w:rPr>
          <w:sz w:val="20"/>
        </w:rPr>
        <w:t xml:space="preserve"> Порядка;</w:t>
      </w:r>
    </w:p>
    <w:bookmarkStart w:id="6775" w:name="P6775"/>
    <w:bookmarkEnd w:id="6775"/>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46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6778" w:name="P6778"/>
    <w:bookmarkEnd w:id="6778"/>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465"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6779" w:name="P6779"/>
    <w:bookmarkEnd w:id="6779"/>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6768"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в срок до 10 декабря соответствующего финансового года представляет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письмо, подписанное руководителем либо иным уполномоченным лицом, а также главным бухгалтером (при наличии) получателя субсидии, подтверждающее соответствие требованиям, предусмотренным </w:t>
      </w:r>
      <w:hyperlink w:history="0" w:anchor="P6771"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абзацами вторым</w:t>
        </w:r>
      </w:hyperlink>
      <w:r>
        <w:rPr>
          <w:sz w:val="20"/>
        </w:rPr>
        <w:t xml:space="preserve"> и </w:t>
      </w:r>
      <w:hyperlink w:history="0" w:anchor="P6774"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пятым подпункта 2 пункта 8</w:t>
        </w:r>
      </w:hyperlink>
      <w:r>
        <w:rPr>
          <w:sz w:val="20"/>
        </w:rPr>
        <w:t xml:space="preserve"> Порядка;</w:t>
      </w:r>
    </w:p>
    <w:p>
      <w:pPr>
        <w:pStyle w:val="0"/>
        <w:spacing w:before="200" w:line-rule="auto"/>
        <w:ind w:firstLine="540"/>
        <w:jc w:val="both"/>
      </w:pPr>
      <w:r>
        <w:rPr>
          <w:sz w:val="20"/>
        </w:rPr>
        <w:t xml:space="preserve">письмо, подписанное руководителем либо иным уполномоченным лицом получателя субсидии, подтверждающее соответствие требованиям, предусмотренным </w:t>
      </w:r>
      <w:hyperlink w:history="0" w:anchor="P6773"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абзацами четвертым</w:t>
        </w:r>
      </w:hyperlink>
      <w:r>
        <w:rPr>
          <w:sz w:val="20"/>
        </w:rPr>
        <w:t xml:space="preserve">, </w:t>
      </w:r>
      <w:hyperlink w:history="0" w:anchor="P6775" w:tooltip="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шестым</w:t>
        </w:r>
      </w:hyperlink>
      <w:r>
        <w:rPr>
          <w:sz w:val="20"/>
        </w:rPr>
        <w:t xml:space="preserve"> - </w:t>
      </w:r>
      <w:hyperlink w:history="0" w:anchor="P6778"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девятым подпункта 2 пункта 8</w:t>
        </w:r>
      </w:hyperlink>
      <w:r>
        <w:rPr>
          <w:sz w:val="20"/>
        </w:rPr>
        <w:t xml:space="preserve"> Порядка;</w:t>
      </w:r>
    </w:p>
    <w:p>
      <w:pPr>
        <w:pStyle w:val="0"/>
        <w:spacing w:before="200" w:line-rule="auto"/>
        <w:ind w:firstLine="540"/>
        <w:jc w:val="both"/>
      </w:pPr>
      <w:r>
        <w:rPr>
          <w:sz w:val="20"/>
        </w:rPr>
        <w:t xml:space="preserve">справка об отсутствии сведений в РДЛ о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получателя субсидии, подтверждающая соответствие получателя субсидии требованию, предусмотренному </w:t>
      </w:r>
      <w:hyperlink w:history="0" w:anchor="P6772" w:tooltip="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абзацем третьим подпункта 2 пункта 8</w:t>
        </w:r>
      </w:hyperlink>
      <w:r>
        <w:rPr>
          <w:sz w:val="20"/>
        </w:rPr>
        <w:t xml:space="preserve"> Порядка;</w:t>
      </w:r>
    </w:p>
    <w:p>
      <w:pPr>
        <w:pStyle w:val="0"/>
        <w:spacing w:before="200" w:line-rule="auto"/>
        <w:ind w:firstLine="540"/>
        <w:jc w:val="both"/>
      </w:pPr>
      <w:r>
        <w:rPr>
          <w:sz w:val="20"/>
        </w:rPr>
        <w:t xml:space="preserve">информация о плановом значении результата предоставления субсидии, подписанная руководителем либо иным уполномоченным лицом, а также главным бухгалтером (при наличии).</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6795" w:name="P6795"/>
    <w:bookmarkEnd w:id="6795"/>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10 рабочих дней с даты поступления заявки рассматривает документы, указанные в </w:t>
      </w:r>
      <w:hyperlink w:history="0" w:anchor="P6779" w:tooltip="9. Получатель субсидии в подтверждение соответствия требованиям, указанным в пункте 8 Порядка, в срок до 10 декабря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6768"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p>
      <w:pPr>
        <w:pStyle w:val="0"/>
        <w:spacing w:before="200" w:line-rule="auto"/>
        <w:ind w:firstLine="540"/>
        <w:jc w:val="both"/>
      </w:pPr>
      <w:r>
        <w:rPr>
          <w:sz w:val="20"/>
        </w:rPr>
        <w:t xml:space="preserve">13. По результатам рассмотрения документов, указанных в </w:t>
      </w:r>
      <w:hyperlink w:history="0" w:anchor="P6779" w:tooltip="9. Получатель субсидии в подтверждение соответствия требованиям, указанным в пункте 8 Порядка, в срок до 10 декабря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6795"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приказом Мининвеста Московской области.</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несоответствие получателя субсидии требованиям, установленным в </w:t>
      </w:r>
      <w:hyperlink w:history="0" w:anchor="P6768"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6779" w:tooltip="9. Получатель субсидии в подтверждение соответствия требованиям, указанным в пункте 8 Порядка, в срок до 10 декабря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расходы получателя субсидии на предоставление займов и грантов субъектам деятельности в сфере промышленности в рамках оказания финансовой поддержки субъектам деятельности в сфере промышленности.</w:t>
      </w:r>
    </w:p>
    <w:p>
      <w:pPr>
        <w:pStyle w:val="0"/>
        <w:spacing w:before="200" w:line-rule="auto"/>
        <w:ind w:firstLine="540"/>
        <w:jc w:val="both"/>
      </w:pPr>
      <w:r>
        <w:rPr>
          <w:sz w:val="20"/>
        </w:rPr>
        <w:t xml:space="preserve">17. Размер субсидии определяется по следующей формуле:</w:t>
      </w:r>
    </w:p>
    <w:p>
      <w:pPr>
        <w:pStyle w:val="0"/>
        <w:jc w:val="both"/>
      </w:pPr>
      <w:r>
        <w:rPr>
          <w:sz w:val="20"/>
        </w:rPr>
      </w:r>
    </w:p>
    <w:p>
      <w:pPr>
        <w:pStyle w:val="0"/>
        <w:ind w:firstLine="540"/>
        <w:jc w:val="both"/>
      </w:pPr>
      <w:r>
        <w:rPr>
          <w:sz w:val="20"/>
        </w:rPr>
        <w:t xml:space="preserve">S = S1 + S2,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предоставляемой получателю субсидии;</w:t>
      </w:r>
    </w:p>
    <w:p>
      <w:pPr>
        <w:pStyle w:val="0"/>
        <w:spacing w:before="200" w:line-rule="auto"/>
        <w:ind w:firstLine="540"/>
        <w:jc w:val="both"/>
      </w:pPr>
      <w:r>
        <w:rPr>
          <w:sz w:val="20"/>
        </w:rPr>
        <w:t xml:space="preserve">S1 - размер средств для предоставления получателем субсидии займов, определяемый по формуле:</w:t>
      </w:r>
    </w:p>
    <w:p>
      <w:pPr>
        <w:pStyle w:val="0"/>
        <w:jc w:val="both"/>
      </w:pPr>
      <w:r>
        <w:rPr>
          <w:sz w:val="20"/>
        </w:rPr>
      </w:r>
    </w:p>
    <w:p>
      <w:pPr>
        <w:pStyle w:val="0"/>
        <w:jc w:val="center"/>
      </w:pPr>
      <w:r>
        <w:rPr>
          <w:position w:val="-11"/>
        </w:rPr>
        <w:drawing>
          <wp:inline distT="0" distB="0" distL="0" distR="0">
            <wp:extent cx="15716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15716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получ1</w:t>
      </w:r>
      <w:r>
        <w:rPr>
          <w:sz w:val="20"/>
        </w:rPr>
        <w:t xml:space="preserve"> - прогнозируемое получателем субсидии количество займов в году предоставления субсидии;</w:t>
      </w:r>
    </w:p>
    <w:p>
      <w:pPr>
        <w:pStyle w:val="0"/>
        <w:spacing w:before="200" w:line-rule="auto"/>
        <w:ind w:firstLine="540"/>
        <w:jc w:val="both"/>
      </w:pPr>
      <w:r>
        <w:rPr>
          <w:sz w:val="20"/>
        </w:rPr>
        <w:t xml:space="preserve">СЗ - средняя сумма займа, выданного получателем субсидии за год, предшествующий году предоставления субсидии;</w:t>
      </w:r>
    </w:p>
    <w:p>
      <w:pPr>
        <w:pStyle w:val="0"/>
        <w:spacing w:before="200" w:line-rule="auto"/>
        <w:ind w:firstLine="540"/>
        <w:jc w:val="both"/>
      </w:pPr>
      <w:r>
        <w:rPr>
          <w:position w:val="-11"/>
        </w:rPr>
        <w:drawing>
          <wp:inline distT="0" distB="0" distL="0" distR="0">
            <wp:extent cx="485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sz w:val="20"/>
        </w:rPr>
        <w:t xml:space="preserve"> - плановый размер погашений ссудной задолженности, предусмотренный согласно заключенным договорам между получателем субсидии и заемщиками, получившими займы в годы, предшествующие году предоставления субсидии.</w:t>
      </w:r>
    </w:p>
    <w:p>
      <w:pPr>
        <w:pStyle w:val="0"/>
        <w:jc w:val="both"/>
      </w:pPr>
      <w:r>
        <w:rPr>
          <w:sz w:val="20"/>
        </w:rPr>
      </w:r>
    </w:p>
    <w:p>
      <w:pPr>
        <w:pStyle w:val="0"/>
        <w:ind w:firstLine="540"/>
        <w:jc w:val="both"/>
      </w:pPr>
      <w:r>
        <w:rPr>
          <w:sz w:val="20"/>
        </w:rPr>
        <w:t xml:space="preserve">S2 - размер средств для предоставления получателем субсидии грантов, определяемый по формуле:</w:t>
      </w:r>
    </w:p>
    <w:p>
      <w:pPr>
        <w:pStyle w:val="0"/>
        <w:jc w:val="both"/>
      </w:pPr>
      <w:r>
        <w:rPr>
          <w:sz w:val="20"/>
        </w:rPr>
      </w:r>
    </w:p>
    <w:p>
      <w:pPr>
        <w:pStyle w:val="0"/>
        <w:ind w:firstLine="540"/>
        <w:jc w:val="both"/>
      </w:pPr>
      <w:r>
        <w:rPr>
          <w:sz w:val="20"/>
        </w:rPr>
        <w:t xml:space="preserve">S2 = N</w:t>
      </w:r>
      <w:r>
        <w:rPr>
          <w:sz w:val="20"/>
          <w:vertAlign w:val="subscript"/>
        </w:rPr>
        <w:t xml:space="preserve">получ2</w:t>
      </w:r>
      <w:r>
        <w:rPr>
          <w:sz w:val="20"/>
        </w:rPr>
        <w:t xml:space="preserve"> x СК x Кл</w:t>
      </w:r>
      <w:r>
        <w:rPr>
          <w:sz w:val="20"/>
          <w:vertAlign w:val="subscript"/>
        </w:rPr>
        <w:t xml:space="preserve">Ст</w:t>
      </w:r>
      <w:r>
        <w:rPr>
          <w:sz w:val="20"/>
        </w:rPr>
        <w:t xml:space="preserve"> x 90%,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получ2</w:t>
      </w:r>
      <w:r>
        <w:rPr>
          <w:sz w:val="20"/>
        </w:rPr>
        <w:t xml:space="preserve"> - прогнозируемое получателем субсидии количество грантов в году предоставления субсидии;</w:t>
      </w:r>
    </w:p>
    <w:p>
      <w:pPr>
        <w:pStyle w:val="0"/>
        <w:spacing w:before="200" w:line-rule="auto"/>
        <w:ind w:firstLine="540"/>
        <w:jc w:val="both"/>
      </w:pPr>
      <w:r>
        <w:rPr>
          <w:sz w:val="20"/>
        </w:rPr>
        <w:t xml:space="preserve">СК - средняя сумма кредитного лимита по кредитным договорам получателей грантов за год, предшествующий году предоставления субсидии;</w:t>
      </w:r>
    </w:p>
    <w:p>
      <w:pPr>
        <w:pStyle w:val="0"/>
        <w:spacing w:before="200" w:line-rule="auto"/>
        <w:ind w:firstLine="540"/>
        <w:jc w:val="both"/>
      </w:pPr>
      <w:r>
        <w:rPr>
          <w:sz w:val="20"/>
        </w:rPr>
        <w:t xml:space="preserve">Кл</w:t>
      </w:r>
      <w:r>
        <w:rPr>
          <w:sz w:val="20"/>
          <w:vertAlign w:val="subscript"/>
        </w:rPr>
        <w:t xml:space="preserve">Ст</w:t>
      </w:r>
      <w:r>
        <w:rPr>
          <w:sz w:val="20"/>
        </w:rPr>
        <w:t xml:space="preserve"> - ключевая ставка Центрального банка Российской Федерации на дату расчета размера гранта.</w:t>
      </w:r>
    </w:p>
    <w:p>
      <w:pPr>
        <w:pStyle w:val="0"/>
        <w:jc w:val="both"/>
      </w:pPr>
      <w:r>
        <w:rPr>
          <w:sz w:val="20"/>
        </w:rPr>
      </w:r>
    </w:p>
    <w:p>
      <w:pPr>
        <w:pStyle w:val="0"/>
        <w:ind w:firstLine="540"/>
        <w:jc w:val="both"/>
      </w:pPr>
      <w:r>
        <w:rPr>
          <w:sz w:val="20"/>
        </w:rPr>
        <w:t xml:space="preserve">Абзац утратил силу с 1 января 2025 года. - </w:t>
      </w:r>
      <w:hyperlink w:history="0" r:id="rId46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w:t>
        </w:r>
      </w:hyperlink>
      <w:r>
        <w:rPr>
          <w:sz w:val="20"/>
        </w:rPr>
        <w:t xml:space="preserve"> Правительства МО от 25.12.2024 N 1684-ПП.</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Мининвестом Московской области и получателем субсидии на основании принятого Мининвестом Московской области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течение 15 рабочих дней со дня принятия Мининвестом Московской области решения о предоставлении субсидии получателю субсидии в соответствии с типовой формой, установленной МЭФ Московской области,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Московской области "Региональный электронный бюджет Московской области (далее - ГИС РЭБ), функционального блока "Реестр соглашений".</w:t>
      </w:r>
    </w:p>
    <w:p>
      <w:pPr>
        <w:pStyle w:val="0"/>
        <w:spacing w:before="200" w:line-rule="auto"/>
        <w:ind w:firstLine="540"/>
        <w:jc w:val="both"/>
      </w:pPr>
      <w:r>
        <w:rPr>
          <w:sz w:val="20"/>
        </w:rPr>
        <w:t xml:space="preserve">19.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4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20. Получателю субсидии, а также иным юридическим лицам, получающим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4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о возможности осуществления получателем субсидии расходов, источником финансового обеспечения которых являются не использованные в отчетном финансовом году остатки субсидии,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запрет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spacing w:before="200" w:line-rule="auto"/>
        <w:ind w:firstLine="540"/>
        <w:jc w:val="both"/>
      </w:pPr>
      <w:r>
        <w:rPr>
          <w:sz w:val="20"/>
        </w:rPr>
        <w:t xml:space="preserve">об обеспечении соблюдения получателем субсидии при последующем предоставлении средств иным лицам в форме займа и гранта (далее соответственно - иные лица, средства иным лицам) условия о заключении договоров о предоставлении средств иным лицам (внесении в них изменений) в соответствии с требованиями, установленными настоящим Порядком, с обязательным включением в такие договоры положений, аналогичных положениям, предусмотренным в </w:t>
      </w:r>
      <w:hyperlink w:history="0" w:anchor="P6849" w:tooltip="23. Результатом предоставления субсидии является количество субъектов деятельности в сфере промышленности, получивших финансовую поддержку за счет средств субсидии.">
        <w:r>
          <w:rPr>
            <w:sz w:val="20"/>
            <w:color w:val="0000ff"/>
          </w:rPr>
          <w:t xml:space="preserve">пунктах 23</w:t>
        </w:r>
      </w:hyperlink>
      <w:r>
        <w:rPr>
          <w:sz w:val="20"/>
        </w:rPr>
        <w:t xml:space="preserve">, </w:t>
      </w:r>
      <w:hyperlink w:history="0" w:anchor="P6858" w:tooltip="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копии платежных поручений, а также договоров о предоставлении финансовой поддержки субъектов деятельности в сфере промышленности), представляются получателем субсидии в Мининвест Московской области ежеквартально до 5-го рабочего дня месяца, следующего за отчетным кварталом,...">
        <w:r>
          <w:rPr>
            <w:sz w:val="20"/>
            <w:color w:val="0000ff"/>
          </w:rPr>
          <w:t xml:space="preserve">27</w:t>
        </w:r>
      </w:hyperlink>
      <w:r>
        <w:rPr>
          <w:sz w:val="20"/>
        </w:rPr>
        <w:t xml:space="preserve"> - </w:t>
      </w:r>
      <w:hyperlink w:history="0" w:anchor="P6864" w:tooltip="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
        <w:r>
          <w:rPr>
            <w:sz w:val="20"/>
            <w:color w:val="0000ff"/>
          </w:rPr>
          <w:t xml:space="preserve">29</w:t>
        </w:r>
      </w:hyperlink>
      <w:r>
        <w:rPr>
          <w:sz w:val="20"/>
        </w:rPr>
        <w:t xml:space="preserve">, </w:t>
      </w:r>
      <w:hyperlink w:history="0" w:anchor="P6872" w:tooltip="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
        <w:r>
          <w:rPr>
            <w:sz w:val="20"/>
            <w:color w:val="0000ff"/>
          </w:rPr>
          <w:t xml:space="preserve">абзаце третьем пункта 30</w:t>
        </w:r>
      </w:hyperlink>
      <w:r>
        <w:rPr>
          <w:sz w:val="20"/>
        </w:rPr>
        <w:t xml:space="preserve"> Порядка, в отношении таких лиц.</w:t>
      </w:r>
    </w:p>
    <w:p>
      <w:pPr>
        <w:pStyle w:val="0"/>
        <w:spacing w:before="200" w:line-rule="auto"/>
        <w:ind w:firstLine="540"/>
        <w:jc w:val="both"/>
      </w:pPr>
      <w:r>
        <w:rPr>
          <w:sz w:val="20"/>
        </w:rPr>
        <w:t xml:space="preserve">22.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bookmarkStart w:id="6849" w:name="P6849"/>
    <w:bookmarkEnd w:id="6849"/>
    <w:p>
      <w:pPr>
        <w:pStyle w:val="0"/>
        <w:spacing w:before="200" w:line-rule="auto"/>
        <w:ind w:firstLine="540"/>
        <w:jc w:val="both"/>
      </w:pPr>
      <w:r>
        <w:rPr>
          <w:sz w:val="20"/>
        </w:rPr>
        <w:t xml:space="preserve">23. Результатом предоставления субсидии является количество субъектов деятельности в сфере промышленности, получивших финансовую поддержку за счет средств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24. Перечисление Субсидии осуществляется в течение 10 рабочих дней с даты подписания Соглашения.</w:t>
      </w:r>
    </w:p>
    <w:p>
      <w:pPr>
        <w:pStyle w:val="0"/>
        <w:spacing w:before="200" w:line-rule="auto"/>
        <w:ind w:firstLine="540"/>
        <w:jc w:val="both"/>
      </w:pPr>
      <w:r>
        <w:rPr>
          <w:sz w:val="20"/>
        </w:rPr>
        <w:t xml:space="preserve">25. Субсидия подлежит перечислению в срок не более 10 рабочих дней с даты заключения Соглашения на лицевой счет, открытый в МЭФ Московской области, указанный в Соглашении.</w:t>
      </w:r>
    </w:p>
    <w:bookmarkStart w:id="6853" w:name="P6853"/>
    <w:bookmarkEnd w:id="6853"/>
    <w:p>
      <w:pPr>
        <w:pStyle w:val="0"/>
        <w:spacing w:before="200" w:line-rule="auto"/>
        <w:ind w:firstLine="540"/>
        <w:jc w:val="both"/>
      </w:pPr>
      <w:r>
        <w:rPr>
          <w:sz w:val="20"/>
        </w:rPr>
        <w:t xml:space="preserve">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w:t>
      </w:r>
      <w:hyperlink w:history="0" w:anchor="P6854"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ь, указанную в пункте 5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5.6 Подпрограммы 1 государственной программы.">
        <w:r>
          <w:rPr>
            <w:sz w:val="20"/>
            <w:color w:val="0000ff"/>
          </w:rPr>
          <w:t xml:space="preserve">абзацем вторым</w:t>
        </w:r>
      </w:hyperlink>
      <w:r>
        <w:rPr>
          <w:sz w:val="20"/>
        </w:rPr>
        <w:t xml:space="preserve"> настоящего пункта.</w:t>
      </w:r>
    </w:p>
    <w:bookmarkStart w:id="6854" w:name="P6854"/>
    <w:bookmarkEnd w:id="6854"/>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цель, указанную в </w:t>
      </w:r>
      <w:hyperlink w:history="0" w:anchor="P6765" w:tooltip="5. Целью предоставления субсидии является финансовое обеспечение затрат некоммерческой организации &quot;Государственный фонд развития промышленности Московской области&quot;, связанных с уставной деятельностью некоммерческой организации &quot;Государственный фонд развития промышленности Московской области&quot;, направленной на оказание финансовой поддержки субъектам деятельности в сфере промышленности, осуществляющим и (или) планирующим к осуществлению на территории Московской области виды экономической (предпринимательск...">
        <w:r>
          <w:rPr>
            <w:sz w:val="20"/>
            <w:color w:val="0000ff"/>
          </w:rPr>
          <w:t xml:space="preserve">пункте 5</w:t>
        </w:r>
      </w:hyperlink>
      <w:r>
        <w:rPr>
          <w:sz w:val="20"/>
        </w:rPr>
        <w:t xml:space="preserve">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bookmarkStart w:id="6858" w:name="P6858"/>
    <w:bookmarkEnd w:id="6858"/>
    <w:p>
      <w:pPr>
        <w:pStyle w:val="0"/>
        <w:ind w:firstLine="540"/>
        <w:jc w:val="both"/>
      </w:pPr>
      <w:r>
        <w:rPr>
          <w:sz w:val="20"/>
        </w:rPr>
        <w:t xml:space="preserve">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(копии платежных поручений, а также договоров о предоставлении финансовой поддержки субъектов деятельности в сфере промышленности), представляются получателем субсидии в Мининвест Московской области ежеквартально до 5-го рабочего дня месяца, следующего за отчетным кварталом, а по результатам года - не позднее 15 числа месяца, следующего за отчетным годом.</w:t>
      </w:r>
    </w:p>
    <w:p>
      <w:pPr>
        <w:pStyle w:val="0"/>
        <w:spacing w:before="200" w:line-rule="auto"/>
        <w:ind w:firstLine="540"/>
        <w:jc w:val="both"/>
      </w:pPr>
      <w:r>
        <w:rPr>
          <w:sz w:val="20"/>
        </w:rPr>
        <w:t xml:space="preserve">Формы отчетов определяются распоряжением МЭФ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Отчеты представляются получателем субсидий в ГИС РЭБ при наличии соответствующей технической и функциональной возможности системы, а в случае ее отсутствия - посредством МСЭД.</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28. Проверка и принятие отчетности, представляемой в соответствии с настоящим разделом, осуществляется Мининвестом Московской области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bookmarkStart w:id="6864" w:name="P6864"/>
    <w:bookmarkEnd w:id="6864"/>
    <w:p>
      <w:pPr>
        <w:pStyle w:val="0"/>
        <w:spacing w:before="200" w:line-rule="auto"/>
        <w:ind w:firstLine="540"/>
        <w:jc w:val="both"/>
      </w:pPr>
      <w:r>
        <w:rPr>
          <w:sz w:val="20"/>
        </w:rPr>
        <w:t xml:space="preserve">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6870" w:tooltip="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30</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6870" w:name="P6870"/>
    <w:bookmarkEnd w:id="6870"/>
    <w:p>
      <w:pPr>
        <w:pStyle w:val="0"/>
        <w:ind w:firstLine="540"/>
        <w:jc w:val="both"/>
      </w:pPr>
      <w:r>
        <w:rPr>
          <w:sz w:val="20"/>
        </w:rPr>
        <w:t xml:space="preserve">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4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bookmarkStart w:id="6872" w:name="P6872"/>
    <w:bookmarkEnd w:id="6872"/>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32. В случае недостижения значений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в размере, рассчитанном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подлежащей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jc w:val="both"/>
      </w:pPr>
      <w:r>
        <w:rPr>
          <w:sz w:val="20"/>
        </w:rPr>
      </w:r>
    </w:p>
    <w:p>
      <w:pPr>
        <w:pStyle w:val="0"/>
        <w:ind w:firstLine="540"/>
        <w:jc w:val="both"/>
      </w:pPr>
      <w:r>
        <w:rPr>
          <w:sz w:val="20"/>
        </w:rPr>
        <w:t xml:space="preserve">При расчете размера субсидии, подлежащего возврату (V</w:t>
      </w:r>
      <w:r>
        <w:rPr>
          <w:sz w:val="20"/>
          <w:vertAlign w:val="subscript"/>
        </w:rPr>
        <w:t xml:space="preserve">возв</w:t>
      </w:r>
      <w:r>
        <w:rPr>
          <w:sz w:val="20"/>
        </w:rPr>
        <w:t xml:space="preserve">) в размере субсидии, предоставленной получателю субсидии в отчетном финансовом году (V</w:t>
      </w:r>
      <w:r>
        <w:rPr>
          <w:sz w:val="20"/>
          <w:vertAlign w:val="subscript"/>
        </w:rPr>
        <w:t xml:space="preserve">суб</w:t>
      </w:r>
      <w:r>
        <w:rPr>
          <w:sz w:val="20"/>
        </w:rPr>
        <w:t xml:space="preserve">), не учитывается размер не использованного в отчетном финансовом году остатка субсидии, подлежащий возврату в бюджет Московской области в соответствии с </w:t>
      </w:r>
      <w:hyperlink w:history="0" w:anchor="P6853" w:tooltip="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абзацем вторым настоящего пункта.">
        <w:r>
          <w:rPr>
            <w:sz w:val="20"/>
            <w:color w:val="0000ff"/>
          </w:rPr>
          <w:t xml:space="preserve">пунктом 26</w:t>
        </w:r>
      </w:hyperlink>
      <w:r>
        <w:rPr>
          <w:sz w:val="20"/>
        </w:rPr>
        <w:t xml:space="preserve"> Порядка (при отсутствии решения Мининвеста Московской области о наличии потребности в указанных средствах).</w:t>
      </w:r>
    </w:p>
    <w:p>
      <w:pPr>
        <w:pStyle w:val="0"/>
        <w:spacing w:before="200" w:line-rule="auto"/>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ind w:firstLine="540"/>
        <w:jc w:val="both"/>
      </w:pPr>
      <w:r>
        <w:rPr>
          <w:sz w:val="20"/>
        </w:rPr>
        <w:t xml:space="preserve">k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33. В случае неисполнения получателем субсидии требования о возврате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spacing w:before="200" w:line-rule="auto"/>
        <w:ind w:firstLine="540"/>
        <w:jc w:val="both"/>
      </w:pPr>
      <w:r>
        <w:rPr>
          <w:sz w:val="20"/>
        </w:rPr>
        <w:t xml:space="preserve">34. При предоставлении получателем субсидии грантов иным лицам на получателя субсидии распространяются положения, предусмотренные </w:t>
      </w:r>
      <w:hyperlink w:history="0" r:id="rId47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разделами X</w:t>
        </w:r>
      </w:hyperlink>
      <w:r>
        <w:rPr>
          <w:sz w:val="20"/>
        </w:rPr>
        <w:t xml:space="preserve"> - </w:t>
      </w:r>
      <w:hyperlink w:history="0" r:id="rId47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XI</w:t>
        </w:r>
      </w:hyperlink>
      <w:r>
        <w:rPr>
          <w:sz w:val="20"/>
        </w:rPr>
        <w:t xml:space="preserve"> Общих требований, для главного распорядителя бюджетных средств, а на иных лиц - положения, предусмотренные </w:t>
      </w:r>
      <w:hyperlink w:history="0" r:id="rId47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разделами X</w:t>
        </w:r>
      </w:hyperlink>
      <w:r>
        <w:rPr>
          <w:sz w:val="20"/>
        </w:rPr>
        <w:t xml:space="preserve"> - </w:t>
      </w:r>
      <w:hyperlink w:history="0" r:id="rId47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XI</w:t>
        </w:r>
      </w:hyperlink>
      <w:r>
        <w:rPr>
          <w:sz w:val="20"/>
        </w:rPr>
        <w:t xml:space="preserve"> Общих требований, для участников отбора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w:t>
      </w:r>
    </w:p>
    <w:p>
      <w:pPr>
        <w:pStyle w:val="0"/>
        <w:jc w:val="both"/>
      </w:pPr>
      <w:r>
        <w:rPr>
          <w:sz w:val="20"/>
        </w:rPr>
      </w:r>
    </w:p>
    <w:p>
      <w:pPr>
        <w:pStyle w:val="2"/>
        <w:outlineLvl w:val="3"/>
        <w:jc w:val="center"/>
      </w:pPr>
      <w:r>
        <w:rPr>
          <w:sz w:val="20"/>
        </w:rPr>
        <w:t xml:space="preserve">5.4.2. Порядок предоставления из бюджета Московской области</w:t>
      </w:r>
    </w:p>
    <w:p>
      <w:pPr>
        <w:pStyle w:val="2"/>
        <w:jc w:val="center"/>
      </w:pPr>
      <w:r>
        <w:rPr>
          <w:sz w:val="20"/>
        </w:rPr>
        <w:t xml:space="preserve">субсидии некоммерческой организации "Фонд поддержки</w:t>
      </w:r>
    </w:p>
    <w:p>
      <w:pPr>
        <w:pStyle w:val="2"/>
        <w:jc w:val="center"/>
      </w:pPr>
      <w:r>
        <w:rPr>
          <w:sz w:val="20"/>
        </w:rPr>
        <w:t xml:space="preserve">внешнеэкономической деятельности Московской области"</w:t>
      </w:r>
    </w:p>
    <w:p>
      <w:pPr>
        <w:pStyle w:val="2"/>
        <w:jc w:val="center"/>
      </w:pPr>
      <w:r>
        <w:rPr>
          <w:sz w:val="20"/>
        </w:rPr>
        <w:t xml:space="preserve">в рамках реализации мероприятия 05.02 "Обеспечение</w:t>
      </w:r>
    </w:p>
    <w:p>
      <w:pPr>
        <w:pStyle w:val="2"/>
        <w:jc w:val="center"/>
      </w:pPr>
      <w:r>
        <w:rPr>
          <w:sz w:val="20"/>
        </w:rPr>
        <w:t xml:space="preserve">деятельности некоммерческой организации "Фонд поддержки</w:t>
      </w:r>
    </w:p>
    <w:p>
      <w:pPr>
        <w:pStyle w:val="2"/>
        <w:jc w:val="center"/>
      </w:pPr>
      <w:r>
        <w:rPr>
          <w:sz w:val="20"/>
        </w:rPr>
        <w:t xml:space="preserve">внешнеэкономической деятельности Московской области" в целях</w:t>
      </w:r>
    </w:p>
    <w:p>
      <w:pPr>
        <w:pStyle w:val="2"/>
        <w:jc w:val="center"/>
      </w:pPr>
      <w:r>
        <w:rPr>
          <w:sz w:val="20"/>
        </w:rPr>
        <w:t xml:space="preserve">оказания поддержки субъектам предпринимательства в области</w:t>
      </w:r>
    </w:p>
    <w:p>
      <w:pPr>
        <w:pStyle w:val="2"/>
        <w:jc w:val="center"/>
      </w:pPr>
      <w:r>
        <w:rPr>
          <w:sz w:val="20"/>
        </w:rPr>
        <w:t xml:space="preserve">внешнеэкономической деятельности"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479"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некоммерческой организации "Фонд поддержки внешнеэкономической деятельности Московской области" (далее соответственно - Порядок, субсидия) в рамках реализации </w:t>
      </w:r>
      <w:hyperlink w:history="0" w:anchor="P1793" w:tooltip="Мероприятие 05.02. Обеспечение деятельности некоммерческой организации &quot;Фонд поддержки внешнеэкономической деятельности Московской области&quot; в целях оказания поддержки субъектам предпринимательства в области внешнеэкономической деятельности">
        <w:r>
          <w:rPr>
            <w:sz w:val="20"/>
            <w:color w:val="0000ff"/>
          </w:rPr>
          <w:t xml:space="preserve">мероприятия 05.02</w:t>
        </w:r>
      </w:hyperlink>
      <w:r>
        <w:rPr>
          <w:sz w:val="20"/>
        </w:rPr>
        <w:t xml:space="preserve">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 Подпрограммы 1 государственной программы разработан в соответствии со </w:t>
      </w:r>
      <w:hyperlink w:history="0" r:id="rId48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48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результаты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6917" w:tooltip="5. Целью предоставления субсидии является финансовое обеспечение затрат некоммерческой организации &quot;Фонд поддержки внешнеэкономической деятельности Московской области&quot;, связанных с обеспечением его уставной деятельности, направлен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
        <w:r>
          <w:rPr>
            <w:sz w:val="20"/>
            <w:color w:val="0000ff"/>
          </w:rPr>
          <w:t xml:space="preserve">пункте 5</w:t>
        </w:r>
      </w:hyperlink>
      <w:r>
        <w:rPr>
          <w:sz w:val="20"/>
        </w:rPr>
        <w:t xml:space="preserve"> Порядка.</w:t>
      </w:r>
    </w:p>
    <w:bookmarkStart w:id="6915" w:name="P6915"/>
    <w:bookmarkEnd w:id="6915"/>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6917" w:name="P6917"/>
    <w:bookmarkEnd w:id="6917"/>
    <w:p>
      <w:pPr>
        <w:pStyle w:val="0"/>
        <w:spacing w:before="200" w:line-rule="auto"/>
        <w:ind w:firstLine="540"/>
        <w:jc w:val="both"/>
      </w:pPr>
      <w:r>
        <w:rPr>
          <w:sz w:val="20"/>
        </w:rPr>
        <w:t xml:space="preserve">5. Целью предоставления субсидии является финансовое обеспечение затрат некоммерческой организации "Фонд поддержки внешнеэкономической деятельности Московской области", связанных с обеспечением его уставной деятельности, направленной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некоммерческая организация "Фонд поддержки внешнеэкономической деятельности Московской области"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6920" w:name="P6920"/>
    <w:bookmarkEnd w:id="6920"/>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482"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6923" w:name="P6923"/>
    <w:bookmarkEnd w:id="6923"/>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6924" w:name="P6924"/>
    <w:bookmarkEnd w:id="6924"/>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6925" w:name="P6925"/>
    <w:bookmarkEnd w:id="6925"/>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Start w:id="6926" w:name="P6926"/>
    <w:bookmarkEnd w:id="6926"/>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6917" w:tooltip="5. Целью предоставления субсидии является финансовое обеспечение затрат некоммерческой организации &quot;Фонд поддержки внешнеэкономической деятельности Московской области&quot;, связанных с обеспечением его уставной деятельности, направлен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
        <w:r>
          <w:rPr>
            <w:sz w:val="20"/>
            <w:color w:val="0000ff"/>
          </w:rPr>
          <w:t xml:space="preserve">пунктом 5</w:t>
        </w:r>
      </w:hyperlink>
      <w:r>
        <w:rPr>
          <w:sz w:val="20"/>
        </w:rPr>
        <w:t xml:space="preserve"> Порядка;</w:t>
      </w:r>
    </w:p>
    <w:bookmarkStart w:id="6927" w:name="P6927"/>
    <w:bookmarkEnd w:id="6927"/>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48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6930" w:name="P6930"/>
    <w:bookmarkEnd w:id="6930"/>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484"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6931" w:name="P6931"/>
    <w:bookmarkEnd w:id="6931"/>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692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в срок до 10 декабря года, предшествующего году предоставления субсидии, представляет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письмо, подписанное руководителем либо иным уполномоченным лицом, а также главным бухгалтером (при наличии) получателя субсидии, подтверждающее соответствие требованиям, предусмотренным </w:t>
      </w:r>
      <w:hyperlink w:history="0" w:anchor="P6923"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абзацами вторым</w:t>
        </w:r>
      </w:hyperlink>
      <w:r>
        <w:rPr>
          <w:sz w:val="20"/>
        </w:rPr>
        <w:t xml:space="preserve"> и </w:t>
      </w:r>
      <w:hyperlink w:history="0" w:anchor="P6926"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пятым подпункта 2 пункта 8</w:t>
        </w:r>
      </w:hyperlink>
      <w:r>
        <w:rPr>
          <w:sz w:val="20"/>
        </w:rPr>
        <w:t xml:space="preserve"> Порядка;</w:t>
      </w:r>
    </w:p>
    <w:p>
      <w:pPr>
        <w:pStyle w:val="0"/>
        <w:spacing w:before="200" w:line-rule="auto"/>
        <w:ind w:firstLine="540"/>
        <w:jc w:val="both"/>
      </w:pPr>
      <w:r>
        <w:rPr>
          <w:sz w:val="20"/>
        </w:rPr>
        <w:t xml:space="preserve">письмо, подписанное руководителем либо иным уполномоченным лицом получателя субсидии, подтверждающее соответствие требованиям, предусмотренным </w:t>
      </w:r>
      <w:hyperlink w:history="0" w:anchor="P6924"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абзацами третьим</w:t>
        </w:r>
      </w:hyperlink>
      <w:r>
        <w:rPr>
          <w:sz w:val="20"/>
        </w:rPr>
        <w:t xml:space="preserve"> и </w:t>
      </w:r>
      <w:hyperlink w:history="0" w:anchor="P6925"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четвертым</w:t>
        </w:r>
      </w:hyperlink>
      <w:r>
        <w:rPr>
          <w:sz w:val="20"/>
        </w:rPr>
        <w:t xml:space="preserve">, </w:t>
      </w:r>
      <w:hyperlink w:history="0" w:anchor="P6927" w:tooltip="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шестым</w:t>
        </w:r>
      </w:hyperlink>
      <w:r>
        <w:rPr>
          <w:sz w:val="20"/>
        </w:rPr>
        <w:t xml:space="preserve"> - </w:t>
      </w:r>
      <w:hyperlink w:history="0" w:anchor="P6930"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девятым подпункта 2 пункта 8</w:t>
        </w:r>
      </w:hyperlink>
      <w:r>
        <w:rPr>
          <w:sz w:val="20"/>
        </w:rPr>
        <w:t xml:space="preserve"> Порядка;</w:t>
      </w:r>
    </w:p>
    <w:p>
      <w:pPr>
        <w:pStyle w:val="0"/>
        <w:spacing w:before="200" w:line-rule="auto"/>
        <w:ind w:firstLine="540"/>
        <w:jc w:val="both"/>
      </w:pPr>
      <w:r>
        <w:rPr>
          <w:sz w:val="20"/>
        </w:rPr>
        <w:t xml:space="preserve">информация о плановом значении результата предоставления Субсидии;</w:t>
      </w:r>
    </w:p>
    <w:p>
      <w:pPr>
        <w:pStyle w:val="0"/>
        <w:spacing w:before="200" w:line-rule="auto"/>
        <w:ind w:firstLine="540"/>
        <w:jc w:val="both"/>
      </w:pPr>
      <w:r>
        <w:rPr>
          <w:sz w:val="20"/>
        </w:rPr>
        <w:t xml:space="preserve">предварительный план направления расходов, источником финансового обеспечения которых является Субсидия, соответствующих цели предоставления Субсидии, на текущий финансовый год, содержащий обоснование расходов.</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6947" w:name="P6947"/>
    <w:bookmarkEnd w:id="6947"/>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10 рабочих дней с даты поступления заявки рассматривает документы, указанные в </w:t>
      </w:r>
      <w:hyperlink w:history="0" w:anchor="P6931" w:tooltip="9. Получатель субсидии в подтверждение соответствия требованиям, указанным в пункте 8 Порядка, в срок до 10 декабря года, предшествующего году предоставления субсидии,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692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в порядке межведомственного информационного взаимодействия,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p>
      <w:pPr>
        <w:pStyle w:val="0"/>
        <w:spacing w:before="200" w:line-rule="auto"/>
        <w:ind w:firstLine="540"/>
        <w:jc w:val="both"/>
      </w:pPr>
      <w:r>
        <w:rPr>
          <w:sz w:val="20"/>
        </w:rPr>
        <w:t xml:space="preserve">13. По результатам рассмотрения документов, указанных в </w:t>
      </w:r>
      <w:hyperlink w:history="0" w:anchor="P6931" w:tooltip="9. Получатель субсидии в подтверждение соответствия требованиям, указанным в пункте 8 Порядка, в срок до 10 декабря года, предшествующего году предоставления субсидии,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6947"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распорядительным актом Мининвеста Московской области.</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несоответствие получателя субсидии требованиям, установленным в </w:t>
      </w:r>
      <w:hyperlink w:history="0" w:anchor="P692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6931" w:tooltip="9. Получатель субсидии в подтверждение соответствия требованиям, указанным в пункте 8 Порядка, в срок до 10 декабря года, предшествующего году предоставления субсидии, представляет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1) оплата труда и начисления на выплаты по оплате труда;</w:t>
      </w:r>
    </w:p>
    <w:p>
      <w:pPr>
        <w:pStyle w:val="0"/>
        <w:spacing w:before="200" w:line-rule="auto"/>
        <w:ind w:firstLine="540"/>
        <w:jc w:val="both"/>
      </w:pPr>
      <w:r>
        <w:rPr>
          <w:sz w:val="20"/>
        </w:rPr>
        <w:t xml:space="preserve">2) оплата услуг связи и Интернета;</w:t>
      </w:r>
    </w:p>
    <w:p>
      <w:pPr>
        <w:pStyle w:val="0"/>
        <w:spacing w:before="200" w:line-rule="auto"/>
        <w:ind w:firstLine="540"/>
        <w:jc w:val="both"/>
      </w:pPr>
      <w:r>
        <w:rPr>
          <w:sz w:val="20"/>
        </w:rPr>
        <w:t xml:space="preserve">3) оплата коммунальных услуг;</w:t>
      </w:r>
    </w:p>
    <w:p>
      <w:pPr>
        <w:pStyle w:val="0"/>
        <w:spacing w:before="200" w:line-rule="auto"/>
        <w:ind w:firstLine="540"/>
        <w:jc w:val="both"/>
      </w:pPr>
      <w:r>
        <w:rPr>
          <w:sz w:val="20"/>
        </w:rPr>
        <w:t xml:space="preserve">4) расходы на содержание имущества;</w:t>
      </w:r>
    </w:p>
    <w:p>
      <w:pPr>
        <w:pStyle w:val="0"/>
        <w:spacing w:before="200" w:line-rule="auto"/>
        <w:ind w:firstLine="540"/>
        <w:jc w:val="both"/>
      </w:pPr>
      <w:r>
        <w:rPr>
          <w:sz w:val="20"/>
        </w:rPr>
        <w:t xml:space="preserve">5) расходы на аренду помещений;</w:t>
      </w:r>
    </w:p>
    <w:p>
      <w:pPr>
        <w:pStyle w:val="0"/>
        <w:spacing w:before="200" w:line-rule="auto"/>
        <w:ind w:firstLine="540"/>
        <w:jc w:val="both"/>
      </w:pPr>
      <w:r>
        <w:rPr>
          <w:sz w:val="20"/>
        </w:rPr>
        <w:t xml:space="preserve">6) уплата налогов и сборов;</w:t>
      </w:r>
    </w:p>
    <w:p>
      <w:pPr>
        <w:pStyle w:val="0"/>
        <w:spacing w:before="200" w:line-rule="auto"/>
        <w:ind w:firstLine="540"/>
        <w:jc w:val="both"/>
      </w:pPr>
      <w:r>
        <w:rPr>
          <w:sz w:val="20"/>
        </w:rPr>
        <w:t xml:space="preserve">7) расходы на увеличение стоимости основных средств;</w:t>
      </w:r>
    </w:p>
    <w:p>
      <w:pPr>
        <w:pStyle w:val="0"/>
        <w:spacing w:before="200" w:line-rule="auto"/>
        <w:ind w:firstLine="540"/>
        <w:jc w:val="both"/>
      </w:pPr>
      <w:r>
        <w:rPr>
          <w:sz w:val="20"/>
        </w:rPr>
        <w:t xml:space="preserve">8) расходы на увеличение стоимости материальных запасов;</w:t>
      </w:r>
    </w:p>
    <w:p>
      <w:pPr>
        <w:pStyle w:val="0"/>
        <w:spacing w:before="200" w:line-rule="auto"/>
        <w:ind w:firstLine="540"/>
        <w:jc w:val="both"/>
      </w:pPr>
      <w:r>
        <w:rPr>
          <w:sz w:val="20"/>
        </w:rPr>
        <w:t xml:space="preserve">9) командировочные расходы;</w:t>
      </w:r>
    </w:p>
    <w:p>
      <w:pPr>
        <w:pStyle w:val="0"/>
        <w:spacing w:before="200" w:line-rule="auto"/>
        <w:ind w:firstLine="540"/>
        <w:jc w:val="both"/>
      </w:pPr>
      <w:r>
        <w:rPr>
          <w:sz w:val="20"/>
        </w:rPr>
        <w:t xml:space="preserve">10) закупка работ, услуг в целях достижения результата предоставления субсидии, в том числе:</w:t>
      </w:r>
    </w:p>
    <w:p>
      <w:pPr>
        <w:pStyle w:val="0"/>
        <w:spacing w:before="200" w:line-rule="auto"/>
        <w:ind w:firstLine="540"/>
        <w:jc w:val="both"/>
      </w:pPr>
      <w:r>
        <w:rPr>
          <w:sz w:val="20"/>
        </w:rPr>
        <w:t xml:space="preserve">организация участия субъектов предпринимательства Московской области в международных выставочно-ярмарочных и конгрессных мероприятиях, бизнес-миссиях на территории Российской Федерации и за рубежом;</w:t>
      </w:r>
    </w:p>
    <w:p>
      <w:pPr>
        <w:pStyle w:val="0"/>
        <w:spacing w:before="200" w:line-rule="auto"/>
        <w:ind w:firstLine="540"/>
        <w:jc w:val="both"/>
      </w:pPr>
      <w:r>
        <w:rPr>
          <w:sz w:val="20"/>
        </w:rPr>
        <w:t xml:space="preserve">обучающие мероприятия для субъектов предпринимательства Московской области по экспортной деятельности;</w:t>
      </w:r>
    </w:p>
    <w:p>
      <w:pPr>
        <w:pStyle w:val="0"/>
        <w:spacing w:before="200" w:line-rule="auto"/>
        <w:ind w:firstLine="540"/>
        <w:jc w:val="both"/>
      </w:pPr>
      <w:r>
        <w:rPr>
          <w:sz w:val="20"/>
        </w:rPr>
        <w:t xml:space="preserve">содействие в поиске потенциальных иностранных покупателей, сопровождении экспортного контракта, логистике, сертификации, патентовании и оказание иных услуг по запросу субъектов предпринимательства Московской области, направленные на развитие экспортной деятельности в соответствии с уставными документами получателя субсидии;</w:t>
      </w:r>
    </w:p>
    <w:p>
      <w:pPr>
        <w:pStyle w:val="0"/>
        <w:spacing w:before="200" w:line-rule="auto"/>
        <w:ind w:firstLine="540"/>
        <w:jc w:val="both"/>
      </w:pPr>
      <w:r>
        <w:rPr>
          <w:sz w:val="20"/>
        </w:rPr>
        <w:t xml:space="preserve">11) оплата прочих работ, услуг.</w:t>
      </w:r>
    </w:p>
    <w:p>
      <w:pPr>
        <w:pStyle w:val="0"/>
        <w:spacing w:before="200" w:line-rule="auto"/>
        <w:ind w:firstLine="540"/>
        <w:jc w:val="both"/>
      </w:pPr>
      <w:r>
        <w:rPr>
          <w:sz w:val="20"/>
        </w:rPr>
        <w:t xml:space="preserve">17. Размер субсидии на соответствующий финансовый год составляет 150 000 000 (сто пятьдесят миллионов) рублей 00 копеек.</w:t>
      </w:r>
    </w:p>
    <w:p>
      <w:pPr>
        <w:pStyle w:val="0"/>
        <w:jc w:val="both"/>
      </w:pPr>
      <w:r>
        <w:rPr>
          <w:sz w:val="20"/>
        </w:rPr>
        <w:t xml:space="preserve">(в ред. </w:t>
      </w:r>
      <w:hyperlink w:history="0" r:id="rId48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Министерством и получателем субсидии на основании принятого Министерством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течение 15 рабочих дней со дня принятия Мининвестом Московской области решения о предоставлении субсидии получателю субсидии в соответствии с типовой формой, установленной Министерством экономики и финансов Московской области,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Московской области "Региональный электронный бюджет Московской области" (далее - ГИС РЭБ), функционального блока "Реестр соглашений".</w:t>
      </w:r>
    </w:p>
    <w:p>
      <w:pPr>
        <w:pStyle w:val="0"/>
        <w:spacing w:before="200" w:line-rule="auto"/>
        <w:ind w:firstLine="540"/>
        <w:jc w:val="both"/>
      </w:pPr>
      <w:r>
        <w:rPr>
          <w:sz w:val="20"/>
        </w:rPr>
        <w:t xml:space="preserve">19.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48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8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20. Получателю субсидии, а также иным юридическим лицам, получающим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путем оказания услуг, определенных уставными документами получателя субсидии, иных операций, совершаемых в рамках деятельности получателя субсидии за пределами Российской Федерации, либо требующих оплаты услуг иностранных субъектов предпринимательства (органов и/или организаций), соответствующих целям его деятельности.</w:t>
      </w:r>
    </w:p>
    <w:p>
      <w:pPr>
        <w:pStyle w:val="0"/>
        <w:spacing w:before="200" w:line-rule="auto"/>
        <w:ind w:firstLine="540"/>
        <w:jc w:val="both"/>
      </w:pPr>
      <w:r>
        <w:rPr>
          <w:sz w:val="20"/>
        </w:rPr>
        <w:t xml:space="preserve">21.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48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путем оказания услуг, определенных уставными документами получателя субсидии, иных операций, совершаемых в рамках деятельности получателя субсидии за пределами Российской Федерации, либо требующих оплаты услуг иностранных субъектов предпринимательства (органов и/или организаций), соответствующих целям его деятельности;</w:t>
      </w:r>
    </w:p>
    <w:p>
      <w:pPr>
        <w:pStyle w:val="0"/>
        <w:spacing w:before="200" w:line-rule="auto"/>
        <w:ind w:firstLine="540"/>
        <w:jc w:val="both"/>
      </w:pPr>
      <w:r>
        <w:rPr>
          <w:sz w:val="20"/>
        </w:rPr>
        <w:t xml:space="preserve">о запрете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spacing w:before="200" w:line-rule="auto"/>
        <w:ind w:firstLine="540"/>
        <w:jc w:val="both"/>
      </w:pPr>
      <w:r>
        <w:rPr>
          <w:sz w:val="20"/>
        </w:rPr>
        <w:t xml:space="preserve">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w:t>
      </w:r>
    </w:p>
    <w:p>
      <w:pPr>
        <w:pStyle w:val="0"/>
        <w:spacing w:before="200" w:line-rule="auto"/>
        <w:ind w:firstLine="540"/>
        <w:jc w:val="both"/>
      </w:pPr>
      <w:r>
        <w:rPr>
          <w:sz w:val="20"/>
        </w:rPr>
        <w:t xml:space="preserve">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23. Результатом предоставления субсидии является увеличение объема поддержанного экспорта субъектов предпринимательства Московской области.</w:t>
      </w:r>
    </w:p>
    <w:p>
      <w:pPr>
        <w:pStyle w:val="0"/>
        <w:spacing w:before="200" w:line-rule="auto"/>
        <w:ind w:firstLine="540"/>
        <w:jc w:val="both"/>
      </w:pPr>
      <w:r>
        <w:rPr>
          <w:sz w:val="20"/>
        </w:rPr>
        <w:t xml:space="preserve">Характеристикой результата предоставления субсидии является объем поддержанного экспорта субъектов предпринимательства Московской области.</w:t>
      </w:r>
    </w:p>
    <w:p>
      <w:pPr>
        <w:pStyle w:val="0"/>
        <w:spacing w:before="200" w:line-rule="auto"/>
        <w:ind w:firstLine="540"/>
        <w:jc w:val="both"/>
      </w:pPr>
      <w:r>
        <w:rPr>
          <w:sz w:val="20"/>
        </w:rPr>
        <w:t xml:space="preserve">Значения и сроки достижения характеристики результата предоставления субсидии устанавливаются Мининвестом Московской области в Соглашении.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24. Перечисление субсидии осуществляется в течение 15 календарных дней с даты подписания Соглашения.</w:t>
      </w:r>
    </w:p>
    <w:p>
      <w:pPr>
        <w:pStyle w:val="0"/>
        <w:spacing w:before="200" w:line-rule="auto"/>
        <w:ind w:firstLine="540"/>
        <w:jc w:val="both"/>
      </w:pPr>
      <w:r>
        <w:rPr>
          <w:sz w:val="20"/>
        </w:rPr>
        <w:t xml:space="preserve">25. Субсидия подлежит перечислению в соответствии с бюджетным законодательством Российской Федерации на расчетный счет, открытый Фондом в кредитной организации, указанный в Соглашении.</w:t>
      </w:r>
    </w:p>
    <w:p>
      <w:pPr>
        <w:pStyle w:val="0"/>
        <w:spacing w:before="200" w:line-rule="auto"/>
        <w:ind w:firstLine="540"/>
        <w:jc w:val="both"/>
      </w:pPr>
      <w:r>
        <w:rPr>
          <w:sz w:val="20"/>
        </w:rPr>
        <w:t xml:space="preserve">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w:t>
      </w:r>
      <w:hyperlink w:history="0" w:anchor="P6997"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пункте 3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5.6 Подпрограммы 1 государственной программы.">
        <w:r>
          <w:rPr>
            <w:sz w:val="20"/>
            <w:color w:val="0000ff"/>
          </w:rPr>
          <w:t xml:space="preserve">абзацем вторым</w:t>
        </w:r>
      </w:hyperlink>
      <w:r>
        <w:rPr>
          <w:sz w:val="20"/>
        </w:rPr>
        <w:t xml:space="preserve"> настоящего пункта.</w:t>
      </w:r>
    </w:p>
    <w:bookmarkStart w:id="6997" w:name="P6997"/>
    <w:bookmarkEnd w:id="6997"/>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history="0" w:anchor="P6915" w:tooltip="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
        <w:r>
          <w:rPr>
            <w:sz w:val="20"/>
            <w:color w:val="0000ff"/>
          </w:rPr>
          <w:t xml:space="preserve">пункте 3</w:t>
        </w:r>
      </w:hyperlink>
      <w:r>
        <w:rPr>
          <w:sz w:val="20"/>
        </w:rPr>
        <w:t xml:space="preserve">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p>
      <w:pPr>
        <w:pStyle w:val="0"/>
        <w:ind w:firstLine="540"/>
        <w:jc w:val="both"/>
      </w:pPr>
      <w:r>
        <w:rPr>
          <w:sz w:val="20"/>
        </w:rPr>
        <w:t xml:space="preserve">27. Отчеты о достижении значений результата предоставления субсидии, а также характеристик результата предоставления субсидии с приложением подтверждающих это писем от субъектов предпринимательства, содержащих информацию о заключении экспортного контракта и (или) о продажах товаров (работ, услуг) субъекта предпринимательства в рамках международной электронной торговли по итогам полученной услуги, включая дату экспортного контракта и (или) осуществления продажи товаров (работ, услуг) субъекта предпринимательства в рамках международной электронной торговли, страну экспорта, объем экспорта по годам в рублях и долларах США по курсу Центрального банка Российской Федерации на дату подписания экспортного контракта и (или) осуществления продажи товаров (работ, услуг) субъекта предпринимательства в рамках международной электронной торговли, наименование иностранного контрагента,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(оборотно-сальдовая ведомость по соответствующему субсчету), представляются получателем субсидии в Мининвест Московской области ежеквартально до 5-го рабочего дня месяца, следующего за отчетным кварталом, а по результатам года - не позднее 15 числа месяца, следующего за отчетным годом. Ежегодные уточненные отчеты представляются не позднее 1 февраля года, следующего за отчетным годом.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28. Проверка и принятие отчетности, представляемой в соответствии с настоящим разделом, осуществляется Мининвестом Московской области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p>
      <w:pPr>
        <w:pStyle w:val="0"/>
        <w:spacing w:before="200" w:line-rule="auto"/>
        <w:ind w:firstLine="540"/>
        <w:jc w:val="both"/>
      </w:pPr>
      <w:r>
        <w:rPr>
          <w:sz w:val="20"/>
        </w:rPr>
        <w:t xml:space="preserve">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7011" w:tooltip="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30</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7011" w:name="P7011"/>
    <w:bookmarkEnd w:id="7011"/>
    <w:p>
      <w:pPr>
        <w:pStyle w:val="0"/>
        <w:ind w:firstLine="540"/>
        <w:jc w:val="both"/>
      </w:pPr>
      <w:r>
        <w:rPr>
          <w:sz w:val="20"/>
        </w:rPr>
        <w:t xml:space="preserve">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4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4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использованных с нарушением таких условий, в бюджет Московской области в течение 15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32. В случае недостижения значений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15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производится в размере, рассчитанном пропорционально недостигнутому результату предоставления субсидии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подлежащий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jc w:val="both"/>
      </w:pPr>
      <w:r>
        <w:rPr>
          <w:sz w:val="20"/>
        </w:rPr>
      </w:r>
    </w:p>
    <w:p>
      <w:pPr>
        <w:pStyle w:val="0"/>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ind w:firstLine="540"/>
        <w:jc w:val="both"/>
      </w:pPr>
      <w:r>
        <w:rPr>
          <w:sz w:val="20"/>
        </w:rPr>
        <w:t xml:space="preserve">k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33. В случае неисполнения получателем субсидии требования о возврате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3"/>
        <w:jc w:val="center"/>
      </w:pPr>
      <w:r>
        <w:rPr>
          <w:sz w:val="20"/>
        </w:rPr>
        <w:t xml:space="preserve">5.4.3. Порядок предоставления из бюджета Московской области</w:t>
      </w:r>
    </w:p>
    <w:p>
      <w:pPr>
        <w:pStyle w:val="2"/>
        <w:jc w:val="center"/>
      </w:pPr>
      <w:r>
        <w:rPr>
          <w:sz w:val="20"/>
        </w:rPr>
        <w:t xml:space="preserve">субсидий АНО "АИР" в рамках реализации мероприятия 07.01</w:t>
      </w:r>
    </w:p>
    <w:p>
      <w:pPr>
        <w:pStyle w:val="2"/>
        <w:jc w:val="center"/>
      </w:pPr>
      <w:r>
        <w:rPr>
          <w:sz w:val="20"/>
        </w:rPr>
        <w:t xml:space="preserve">"Обеспечение деятельности автономной некоммерческой</w:t>
      </w:r>
    </w:p>
    <w:p>
      <w:pPr>
        <w:pStyle w:val="2"/>
        <w:jc w:val="center"/>
      </w:pPr>
      <w:r>
        <w:rPr>
          <w:sz w:val="20"/>
        </w:rPr>
        <w:t xml:space="preserve">организации "Агентство инвестиционного развития Московской</w:t>
      </w:r>
    </w:p>
    <w:p>
      <w:pPr>
        <w:pStyle w:val="2"/>
        <w:jc w:val="center"/>
      </w:pPr>
      <w:r>
        <w:rPr>
          <w:sz w:val="20"/>
        </w:rPr>
        <w:t xml:space="preserve">области" в целях предоставления услуг в сфере поддержки</w:t>
      </w:r>
    </w:p>
    <w:p>
      <w:pPr>
        <w:pStyle w:val="2"/>
        <w:jc w:val="center"/>
      </w:pPr>
      <w:r>
        <w:rPr>
          <w:sz w:val="20"/>
        </w:rPr>
        <w:t xml:space="preserve">и популяризации инвестиционного развития"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492"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АНО "АИР" в рамках реализации </w:t>
      </w:r>
      <w:hyperlink w:history="0" w:anchor="P2201" w:tooltip="Мероприятие 07.01. Обеспечение деятельности автономной некоммерческой организации &quot;Агентство инвестиционного развития Московской области&quot; в целях предоставления услуг в сфере поддержки и популяризации инвестиционного развития">
        <w:r>
          <w:rPr>
            <w:sz w:val="20"/>
            <w:color w:val="0000ff"/>
          </w:rPr>
          <w:t xml:space="preserve">мероприятия 07.01</w:t>
        </w:r>
      </w:hyperlink>
      <w:r>
        <w:rPr>
          <w:sz w:val="20"/>
        </w:rPr>
        <w:t xml:space="preserve"> "Обеспечение деятельности автономной некоммерческой организации "Агентство инвестиционного развития Московской области" в целях предоставления услуг в сфере поддержки и популяризации инвестиционного развития" Подпрограммы 1 государственной программы (далее соответственно - Порядок, субсидия) разработан в соответствии со </w:t>
      </w:r>
      <w:hyperlink w:history="0" r:id="rId4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49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результаты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7054" w:tooltip="5. Целью предоставления субсидии является финансовое обеспечение затрат АНО &quot;АИР&quot;, связанных с обеспечением уставной деятельности АНО &quot;АИР&quot; в целях предоставления услуг в сфере поддержки и популяризации инвестиционного развития, в том числе:">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7054" w:name="P7054"/>
    <w:bookmarkEnd w:id="7054"/>
    <w:p>
      <w:pPr>
        <w:pStyle w:val="0"/>
        <w:spacing w:before="200" w:line-rule="auto"/>
        <w:ind w:firstLine="540"/>
        <w:jc w:val="both"/>
      </w:pPr>
      <w:r>
        <w:rPr>
          <w:sz w:val="20"/>
        </w:rPr>
        <w:t xml:space="preserve">5. Целью предоставления субсидии является финансовое обеспечение затрат АНО "АИР", связанных с обеспечением уставной деятельности АНО "АИР" в целях предоставления услуг в сфере поддержки и популяризации инвестиционного развития, в том числе:</w:t>
      </w:r>
    </w:p>
    <w:p>
      <w:pPr>
        <w:pStyle w:val="0"/>
        <w:spacing w:before="200" w:line-rule="auto"/>
        <w:ind w:firstLine="540"/>
        <w:jc w:val="both"/>
      </w:pPr>
      <w:r>
        <w:rPr>
          <w:sz w:val="20"/>
        </w:rPr>
        <w:t xml:space="preserve">1) развития, поддержки и популяризации на территории Московской области предпринимательской, инвестиционной, инновационной и научной деятельности, государственно-частного партнерства;</w:t>
      </w:r>
    </w:p>
    <w:p>
      <w:pPr>
        <w:pStyle w:val="0"/>
        <w:spacing w:before="200" w:line-rule="auto"/>
        <w:ind w:firstLine="540"/>
        <w:jc w:val="both"/>
      </w:pPr>
      <w:r>
        <w:rPr>
          <w:sz w:val="20"/>
        </w:rPr>
        <w:t xml:space="preserve">2) оказания содействия в создании благоприятных условий ведения инвестиционной и предпринимательской деятельности на территории Московской области по вопросам защиты прав и законных интересов субъектов инвестиционной и предпринимательской деятельности;</w:t>
      </w:r>
    </w:p>
    <w:p>
      <w:pPr>
        <w:pStyle w:val="0"/>
        <w:spacing w:before="200" w:line-rule="auto"/>
        <w:ind w:firstLine="540"/>
        <w:jc w:val="both"/>
      </w:pPr>
      <w:r>
        <w:rPr>
          <w:sz w:val="20"/>
        </w:rPr>
        <w:t xml:space="preserve">3) развития промышленного потенциала Московской области.</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АНО "АИР"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7060" w:name="P7060"/>
    <w:bookmarkEnd w:id="7060"/>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495"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7063" w:name="P7063"/>
    <w:bookmarkEnd w:id="7063"/>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bookmarkStart w:id="7065" w:name="P7065"/>
    <w:bookmarkEnd w:id="7065"/>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49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7066" w:name="P7066"/>
    <w:bookmarkEnd w:id="7066"/>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7054" w:tooltip="5. Целью предоставления субсидии является финансовое обеспечение затрат АНО &quot;АИР&quot;, связанных с обеспечением уставной деятельности АНО &quot;АИР&quot; в целях предоставления услуг в сфере поддержки и популяризации инвестиционного развития, в том числе:">
        <w:r>
          <w:rPr>
            <w:sz w:val="20"/>
            <w:color w:val="0000ff"/>
          </w:rPr>
          <w:t xml:space="preserve">пунктом 5</w:t>
        </w:r>
      </w:hyperlink>
      <w:r>
        <w:rPr>
          <w:sz w:val="20"/>
        </w:rPr>
        <w:t xml:space="preserve"> Порядка;</w:t>
      </w:r>
    </w:p>
    <w:bookmarkStart w:id="7067" w:name="P7067"/>
    <w:bookmarkEnd w:id="7067"/>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497"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7068" w:name="P7068"/>
    <w:bookmarkEnd w:id="7068"/>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7069" w:name="P7069"/>
    <w:bookmarkEnd w:id="7069"/>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bookmarkStart w:id="7070" w:name="P7070"/>
    <w:bookmarkEnd w:id="7070"/>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7071" w:name="P7071"/>
    <w:bookmarkEnd w:id="7071"/>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706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в срок до 10 декабря текущего финансового года представляет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письмо, подписанное руководителем либо иным уполномоченным лицом, а также главным бухгалтером (при наличии) получателя субсидии, подтверждающее соответствие требованиям, предусмотренным </w:t>
      </w:r>
      <w:hyperlink w:history="0" w:anchor="P7066"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абзацами пятым</w:t>
        </w:r>
      </w:hyperlink>
      <w:r>
        <w:rPr>
          <w:sz w:val="20"/>
        </w:rPr>
        <w:t xml:space="preserve">, </w:t>
      </w:r>
      <w:hyperlink w:history="0" w:anchor="P7068"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седьмым подпункта 2 пункта 8</w:t>
        </w:r>
      </w:hyperlink>
      <w:r>
        <w:rPr>
          <w:sz w:val="20"/>
        </w:rPr>
        <w:t xml:space="preserve"> Порядка;</w:t>
      </w:r>
    </w:p>
    <w:p>
      <w:pPr>
        <w:pStyle w:val="0"/>
        <w:spacing w:before="200" w:line-rule="auto"/>
        <w:ind w:firstLine="540"/>
        <w:jc w:val="both"/>
      </w:pPr>
      <w:r>
        <w:rPr>
          <w:sz w:val="20"/>
        </w:rPr>
        <w:t xml:space="preserve">письмо, подписанное руководителем либо иным уполномоченным лицом получателя субсидии, подтверждающее соответствие требованиям, предусмотренным </w:t>
      </w:r>
      <w:hyperlink w:history="0" w:anchor="P7063"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абзацами вторым</w:t>
        </w:r>
      </w:hyperlink>
      <w:r>
        <w:rPr>
          <w:sz w:val="20"/>
        </w:rPr>
        <w:t xml:space="preserve"> - </w:t>
      </w:r>
      <w:hyperlink w:history="0" w:anchor="P7065" w:tooltip="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r>
          <w:rPr>
            <w:sz w:val="20"/>
            <w:color w:val="0000ff"/>
          </w:rPr>
          <w:t xml:space="preserve">четвертым</w:t>
        </w:r>
      </w:hyperlink>
      <w:r>
        <w:rPr>
          <w:sz w:val="20"/>
        </w:rPr>
        <w:t xml:space="preserve">, </w:t>
      </w:r>
      <w:hyperlink w:history="0" w:anchor="P7067"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шестым</w:t>
        </w:r>
      </w:hyperlink>
      <w:r>
        <w:rPr>
          <w:sz w:val="20"/>
        </w:rPr>
        <w:t xml:space="preserve">, </w:t>
      </w:r>
      <w:hyperlink w:history="0" w:anchor="P7069" w:tooltip="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восьмым подпункта 2 пункта 8</w:t>
        </w:r>
      </w:hyperlink>
      <w:r>
        <w:rPr>
          <w:sz w:val="20"/>
        </w:rPr>
        <w:t xml:space="preserve"> Порядка;</w:t>
      </w:r>
    </w:p>
    <w:p>
      <w:pPr>
        <w:pStyle w:val="0"/>
        <w:spacing w:before="200" w:line-rule="auto"/>
        <w:ind w:firstLine="540"/>
        <w:jc w:val="both"/>
      </w:pPr>
      <w:r>
        <w:rPr>
          <w:sz w:val="20"/>
        </w:rPr>
        <w:t xml:space="preserve">справка об отсутствии сведений в РДЛ о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получателя субсидии, подтверждающая соответствие требованию, предусмотренному </w:t>
      </w:r>
      <w:hyperlink w:history="0" w:anchor="P7070"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абзацем девятым подпункта 2 пункта 8</w:t>
        </w:r>
      </w:hyperlink>
      <w:r>
        <w:rPr>
          <w:sz w:val="20"/>
        </w:rPr>
        <w:t xml:space="preserve"> Порядка;</w:t>
      </w:r>
    </w:p>
    <w:p>
      <w:pPr>
        <w:pStyle w:val="0"/>
        <w:spacing w:before="200" w:line-rule="auto"/>
        <w:ind w:firstLine="540"/>
        <w:jc w:val="both"/>
      </w:pPr>
      <w:r>
        <w:rPr>
          <w:sz w:val="20"/>
        </w:rPr>
        <w:t xml:space="preserve">план (смета) расходов, источником финансового обеспечения которых является субсидия, соответствующих цели предоставления субсидии, на текущий финансовый год, содержащий обоснования указанных расходов и расчет размера субсидии;</w:t>
      </w:r>
    </w:p>
    <w:p>
      <w:pPr>
        <w:pStyle w:val="0"/>
        <w:spacing w:before="200" w:line-rule="auto"/>
        <w:ind w:firstLine="540"/>
        <w:jc w:val="both"/>
      </w:pPr>
      <w:r>
        <w:rPr>
          <w:sz w:val="20"/>
        </w:rPr>
        <w:t xml:space="preserve">утвержденное штатное расписание.</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7088" w:name="P7088"/>
    <w:bookmarkEnd w:id="7088"/>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1 месяца с даты поступления заявки рассматривает документы, указанные в </w:t>
      </w:r>
      <w:hyperlink w:history="0" w:anchor="P7071" w:tooltip="9. Получатель субсидии в подтверждение соответствия требованиям, указанным в пункте 8 Порядка, в срок до 10 декабря теку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706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p>
      <w:pPr>
        <w:pStyle w:val="0"/>
        <w:spacing w:before="200" w:line-rule="auto"/>
        <w:ind w:firstLine="540"/>
        <w:jc w:val="both"/>
      </w:pPr>
      <w:r>
        <w:rPr>
          <w:sz w:val="20"/>
        </w:rPr>
        <w:t xml:space="preserve">13. По результатам рассмотрения документов, указанных в </w:t>
      </w:r>
      <w:hyperlink w:history="0" w:anchor="P7071" w:tooltip="9. Получатель субсидии в подтверждение соответствия требованиям, указанным в пункте 8 Порядка, в срок до 10 декабря теку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7088"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приказом Мининвеста Московской области.</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несоответствие получателя субсидии требованиям, установленным в </w:t>
      </w:r>
      <w:hyperlink w:history="0" w:anchor="P7060"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7071" w:tooltip="9. Получатель субсидии в подтверждение соответствия требованиям, указанным в пункте 8 Порядка, в срок до 10 декабря текущего финансового года представляет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расходы на оплату труда и начисления на выплаты по оплате труда;</w:t>
      </w:r>
    </w:p>
    <w:p>
      <w:pPr>
        <w:pStyle w:val="0"/>
        <w:spacing w:before="200" w:line-rule="auto"/>
        <w:ind w:firstLine="540"/>
        <w:jc w:val="both"/>
      </w:pPr>
      <w:r>
        <w:rPr>
          <w:sz w:val="20"/>
        </w:rPr>
        <w:t xml:space="preserve">расходы, связанные со служебными командировками;</w:t>
      </w:r>
    </w:p>
    <w:p>
      <w:pPr>
        <w:pStyle w:val="0"/>
        <w:spacing w:before="200" w:line-rule="auto"/>
        <w:ind w:firstLine="540"/>
        <w:jc w:val="both"/>
      </w:pPr>
      <w:r>
        <w:rPr>
          <w:sz w:val="20"/>
        </w:rPr>
        <w:t xml:space="preserve">расходы, связанные с оплатой услуг связи и "Интернета";</w:t>
      </w:r>
    </w:p>
    <w:p>
      <w:pPr>
        <w:pStyle w:val="0"/>
        <w:spacing w:before="200" w:line-rule="auto"/>
        <w:ind w:firstLine="540"/>
        <w:jc w:val="both"/>
      </w:pPr>
      <w:r>
        <w:rPr>
          <w:sz w:val="20"/>
        </w:rPr>
        <w:t xml:space="preserve">расходы, связанные с оплатой коммунальных услуг;</w:t>
      </w:r>
    </w:p>
    <w:p>
      <w:pPr>
        <w:pStyle w:val="0"/>
        <w:spacing w:before="200" w:line-rule="auto"/>
        <w:ind w:firstLine="540"/>
        <w:jc w:val="both"/>
      </w:pPr>
      <w:r>
        <w:rPr>
          <w:sz w:val="20"/>
        </w:rPr>
        <w:t xml:space="preserve">расходы, связанные с содержанием имущества;</w:t>
      </w:r>
    </w:p>
    <w:p>
      <w:pPr>
        <w:pStyle w:val="0"/>
        <w:spacing w:before="200" w:line-rule="auto"/>
        <w:ind w:firstLine="540"/>
        <w:jc w:val="both"/>
      </w:pPr>
      <w:r>
        <w:rPr>
          <w:sz w:val="20"/>
        </w:rPr>
        <w:t xml:space="preserve">расходы, связанные с арендой помещений;</w:t>
      </w:r>
    </w:p>
    <w:p>
      <w:pPr>
        <w:pStyle w:val="0"/>
        <w:spacing w:before="200" w:line-rule="auto"/>
        <w:ind w:firstLine="540"/>
        <w:jc w:val="both"/>
      </w:pPr>
      <w:r>
        <w:rPr>
          <w:sz w:val="20"/>
        </w:rPr>
        <w:t xml:space="preserve">расходы, связанные с уплатой налогов и сборов;</w:t>
      </w:r>
    </w:p>
    <w:p>
      <w:pPr>
        <w:pStyle w:val="0"/>
        <w:spacing w:before="200" w:line-rule="auto"/>
        <w:ind w:firstLine="540"/>
        <w:jc w:val="both"/>
      </w:pPr>
      <w:r>
        <w:rPr>
          <w:sz w:val="20"/>
        </w:rPr>
        <w:t xml:space="preserve">расходы на увеличение стоимости материальных запасов;</w:t>
      </w:r>
    </w:p>
    <w:p>
      <w:pPr>
        <w:pStyle w:val="0"/>
        <w:spacing w:before="200" w:line-rule="auto"/>
        <w:ind w:firstLine="540"/>
        <w:jc w:val="both"/>
      </w:pPr>
      <w:r>
        <w:rPr>
          <w:sz w:val="20"/>
        </w:rPr>
        <w:t xml:space="preserve">расходы на увеличение стоимости основных средств;</w:t>
      </w:r>
    </w:p>
    <w:p>
      <w:pPr>
        <w:pStyle w:val="0"/>
        <w:spacing w:before="200" w:line-rule="auto"/>
        <w:ind w:firstLine="540"/>
        <w:jc w:val="both"/>
      </w:pPr>
      <w:r>
        <w:rPr>
          <w:sz w:val="20"/>
        </w:rPr>
        <w:t xml:space="preserve">расходы на оплату членских взносов в организации;</w:t>
      </w:r>
    </w:p>
    <w:p>
      <w:pPr>
        <w:pStyle w:val="0"/>
        <w:spacing w:before="200" w:line-rule="auto"/>
        <w:ind w:firstLine="540"/>
        <w:jc w:val="both"/>
      </w:pPr>
      <w:r>
        <w:rPr>
          <w:sz w:val="20"/>
        </w:rPr>
        <w:t xml:space="preserve">расходы, связанные с оплатой прочих работ и услуг, связанных с обеспечением уставной деятельности получателя субсидии.</w:t>
      </w:r>
    </w:p>
    <w:p>
      <w:pPr>
        <w:pStyle w:val="0"/>
        <w:spacing w:before="200" w:line-rule="auto"/>
        <w:ind w:firstLine="540"/>
        <w:jc w:val="both"/>
      </w:pPr>
      <w:r>
        <w:rPr>
          <w:sz w:val="20"/>
        </w:rPr>
        <w:t xml:space="preserve">17. Размер субсидии определяется по следующей формуле:</w:t>
      </w:r>
    </w:p>
    <w:p>
      <w:pPr>
        <w:pStyle w:val="0"/>
        <w:jc w:val="both"/>
      </w:pPr>
      <w:r>
        <w:rPr>
          <w:sz w:val="20"/>
        </w:rPr>
      </w:r>
    </w:p>
    <w:p>
      <w:pPr>
        <w:pStyle w:val="0"/>
        <w:ind w:firstLine="540"/>
        <w:jc w:val="both"/>
      </w:pPr>
      <w:r>
        <w:rPr>
          <w:sz w:val="20"/>
        </w:rPr>
        <w:t xml:space="preserve">S = S1 + S2 + S3 + S4 + S5 + S6 + S7 + S8 + S9 + S10 + S11,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предоставляемой получателю субсидии;</w:t>
      </w:r>
    </w:p>
    <w:p>
      <w:pPr>
        <w:pStyle w:val="0"/>
        <w:spacing w:before="200" w:line-rule="auto"/>
        <w:ind w:firstLine="540"/>
        <w:jc w:val="both"/>
      </w:pPr>
      <w:r>
        <w:rPr>
          <w:sz w:val="20"/>
        </w:rPr>
        <w:t xml:space="preserve">S1 - расходы на оплату труда и начисления на выплаты по оплате труда;</w:t>
      </w:r>
    </w:p>
    <w:p>
      <w:pPr>
        <w:pStyle w:val="0"/>
        <w:spacing w:before="200" w:line-rule="auto"/>
        <w:ind w:firstLine="540"/>
        <w:jc w:val="both"/>
      </w:pPr>
      <w:r>
        <w:rPr>
          <w:sz w:val="20"/>
        </w:rPr>
        <w:t xml:space="preserve">S2 - расходы, связанные со служебными командировками;</w:t>
      </w:r>
    </w:p>
    <w:p>
      <w:pPr>
        <w:pStyle w:val="0"/>
        <w:spacing w:before="200" w:line-rule="auto"/>
        <w:ind w:firstLine="540"/>
        <w:jc w:val="both"/>
      </w:pPr>
      <w:r>
        <w:rPr>
          <w:sz w:val="20"/>
        </w:rPr>
        <w:t xml:space="preserve">S3 - расходы, связанные с оплатой услуг связи и "Интернета";</w:t>
      </w:r>
    </w:p>
    <w:p>
      <w:pPr>
        <w:pStyle w:val="0"/>
        <w:spacing w:before="200" w:line-rule="auto"/>
        <w:ind w:firstLine="540"/>
        <w:jc w:val="both"/>
      </w:pPr>
      <w:r>
        <w:rPr>
          <w:sz w:val="20"/>
        </w:rPr>
        <w:t xml:space="preserve">S4 - расходы, связанные с оплатой коммунальных услуг;</w:t>
      </w:r>
    </w:p>
    <w:p>
      <w:pPr>
        <w:pStyle w:val="0"/>
        <w:spacing w:before="200" w:line-rule="auto"/>
        <w:ind w:firstLine="540"/>
        <w:jc w:val="both"/>
      </w:pPr>
      <w:r>
        <w:rPr>
          <w:sz w:val="20"/>
        </w:rPr>
        <w:t xml:space="preserve">S5 - расходы, связанные с содержанием имущества;</w:t>
      </w:r>
    </w:p>
    <w:p>
      <w:pPr>
        <w:pStyle w:val="0"/>
        <w:spacing w:before="200" w:line-rule="auto"/>
        <w:ind w:firstLine="540"/>
        <w:jc w:val="both"/>
      </w:pPr>
      <w:r>
        <w:rPr>
          <w:sz w:val="20"/>
        </w:rPr>
        <w:t xml:space="preserve">S6 - расходы, связанные с арендой помещений;</w:t>
      </w:r>
    </w:p>
    <w:p>
      <w:pPr>
        <w:pStyle w:val="0"/>
        <w:spacing w:before="200" w:line-rule="auto"/>
        <w:ind w:firstLine="540"/>
        <w:jc w:val="both"/>
      </w:pPr>
      <w:r>
        <w:rPr>
          <w:sz w:val="20"/>
        </w:rPr>
        <w:t xml:space="preserve">S7 - расходы, связанные с уплатой налогов и сборов;</w:t>
      </w:r>
    </w:p>
    <w:p>
      <w:pPr>
        <w:pStyle w:val="0"/>
        <w:spacing w:before="200" w:line-rule="auto"/>
        <w:ind w:firstLine="540"/>
        <w:jc w:val="both"/>
      </w:pPr>
      <w:r>
        <w:rPr>
          <w:sz w:val="20"/>
        </w:rPr>
        <w:t xml:space="preserve">S8 - расходы на увеличение стоимости материальных запасов;</w:t>
      </w:r>
    </w:p>
    <w:p>
      <w:pPr>
        <w:pStyle w:val="0"/>
        <w:spacing w:before="200" w:line-rule="auto"/>
        <w:ind w:firstLine="540"/>
        <w:jc w:val="both"/>
      </w:pPr>
      <w:r>
        <w:rPr>
          <w:sz w:val="20"/>
        </w:rPr>
        <w:t xml:space="preserve">S9 - расходы на увеличение стоимости основных средств;</w:t>
      </w:r>
    </w:p>
    <w:p>
      <w:pPr>
        <w:pStyle w:val="0"/>
        <w:spacing w:before="200" w:line-rule="auto"/>
        <w:ind w:firstLine="540"/>
        <w:jc w:val="both"/>
      </w:pPr>
      <w:r>
        <w:rPr>
          <w:sz w:val="20"/>
        </w:rPr>
        <w:t xml:space="preserve">S10 - расходы на оплату членских взносов в организации;</w:t>
      </w:r>
    </w:p>
    <w:p>
      <w:pPr>
        <w:pStyle w:val="0"/>
        <w:spacing w:before="200" w:line-rule="auto"/>
        <w:ind w:firstLine="540"/>
        <w:jc w:val="both"/>
      </w:pPr>
      <w:r>
        <w:rPr>
          <w:sz w:val="20"/>
        </w:rPr>
        <w:t xml:space="preserve">S11 - расходы, связанные с оплатой прочих работ и услуг, связанных с обеспечением уставной деятельности получателя субсидии.</w:t>
      </w:r>
    </w:p>
    <w:p>
      <w:pPr>
        <w:pStyle w:val="0"/>
        <w:jc w:val="both"/>
      </w:pPr>
      <w:r>
        <w:rPr>
          <w:sz w:val="20"/>
        </w:rPr>
      </w:r>
    </w:p>
    <w:p>
      <w:pPr>
        <w:pStyle w:val="0"/>
        <w:ind w:firstLine="540"/>
        <w:jc w:val="both"/>
      </w:pPr>
      <w:r>
        <w:rPr>
          <w:sz w:val="20"/>
        </w:rPr>
        <w:t xml:space="preserve">Абзац утратил силу с 1 января 2025 года. - </w:t>
      </w:r>
      <w:hyperlink w:history="0" r:id="rId49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w:t>
        </w:r>
      </w:hyperlink>
      <w:r>
        <w:rPr>
          <w:sz w:val="20"/>
        </w:rPr>
        <w:t xml:space="preserve"> Правительства МО от 25.12.2024 N 1684-ПП.</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Мининвестом Московской области и получателем субсидии на основании принятого Мининвестом Московской области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течение 15 рабочих дней со дня принятия Мининвестом Московской области решения о предоставлении субсидии получателю субсидии в соответствии с типовой формой, установленной МЭФ Московской области,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Московской области "Региональный электронный бюджет Московской области" (далее - ГИС РЭБ), функционального блока "Реестр соглашений".</w:t>
      </w:r>
    </w:p>
    <w:p>
      <w:pPr>
        <w:pStyle w:val="0"/>
        <w:spacing w:before="200" w:line-rule="auto"/>
        <w:ind w:firstLine="540"/>
        <w:jc w:val="both"/>
      </w:pPr>
      <w:r>
        <w:rPr>
          <w:sz w:val="20"/>
        </w:rPr>
        <w:t xml:space="preserve">19.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(характеристик), а также проверки органами государственного финансового контроля в соответствии со </w:t>
      </w:r>
      <w:hyperlink w:history="0" r:id="rId4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20. Получателю субсидии, а также иным юридическим лицам, получающим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50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о возможности осуществления получателем субсидии расходов, источником финансового обеспечения которых являются не использованные в отчетном финансовом году остатки субсидии,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запрет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spacing w:before="200" w:line-rule="auto"/>
        <w:ind w:firstLine="540"/>
        <w:jc w:val="both"/>
      </w:pPr>
      <w:r>
        <w:rPr>
          <w:sz w:val="20"/>
        </w:rPr>
        <w:t xml:space="preserve">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23. Результатом предоставления субсидии является оказание комплекса услуг в сфере развития, поддержки и популяризации субъектов инвестиционной, инновационной и научной деятельности, государственно-частного партнерства.</w:t>
      </w:r>
    </w:p>
    <w:p>
      <w:pPr>
        <w:pStyle w:val="0"/>
        <w:spacing w:before="200" w:line-rule="auto"/>
        <w:ind w:firstLine="540"/>
        <w:jc w:val="both"/>
      </w:pPr>
      <w:r>
        <w:rPr>
          <w:sz w:val="20"/>
        </w:rPr>
        <w:t xml:space="preserve">Характеристиками результата предоставления субсидии являются:</w:t>
      </w:r>
    </w:p>
    <w:p>
      <w:pPr>
        <w:pStyle w:val="0"/>
        <w:spacing w:before="200" w:line-rule="auto"/>
        <w:ind w:firstLine="540"/>
        <w:jc w:val="both"/>
      </w:pPr>
      <w:r>
        <w:rPr>
          <w:sz w:val="20"/>
        </w:rPr>
        <w:t xml:space="preserve">1) объем инвестиций, привлеченных в экономику Московской области, в рамках реализации инвестиционных проектов, сопровождение которых осуществляется АНО "АИР";</w:t>
      </w:r>
    </w:p>
    <w:p>
      <w:pPr>
        <w:pStyle w:val="0"/>
        <w:spacing w:before="200" w:line-rule="auto"/>
        <w:ind w:firstLine="540"/>
        <w:jc w:val="both"/>
      </w:pPr>
      <w:r>
        <w:rPr>
          <w:sz w:val="20"/>
        </w:rPr>
        <w:t xml:space="preserve">2) количество проведенных встреч получателем субсидии с иностранными инвесторами, в том числе с участием представителей Мининвеста Московской области, с целью обсуждения возможности размещения иностранных предприятий на территории Московской области;</w:t>
      </w:r>
    </w:p>
    <w:p>
      <w:pPr>
        <w:pStyle w:val="0"/>
        <w:spacing w:before="200" w:line-rule="auto"/>
        <w:ind w:firstLine="540"/>
        <w:jc w:val="both"/>
      </w:pPr>
      <w:r>
        <w:rPr>
          <w:sz w:val="20"/>
        </w:rPr>
        <w:t xml:space="preserve">3) количество проведенных встреч получателем субсидии с промышленными предприятиями Московской области, в том числе с участием представителей Мининвеста Московской области, в целях информирования о возможности получения промышленными предприятиями Московской области мер поддержки;</w:t>
      </w:r>
    </w:p>
    <w:p>
      <w:pPr>
        <w:pStyle w:val="0"/>
        <w:spacing w:before="200" w:line-rule="auto"/>
        <w:ind w:firstLine="540"/>
        <w:jc w:val="both"/>
      </w:pPr>
      <w:r>
        <w:rPr>
          <w:sz w:val="20"/>
        </w:rPr>
        <w:t xml:space="preserve">4) количество проведенных встреч получателем субсидии с организациями, осуществляющими научную, научно-технологическую и инновационную деятельность в Московской области, в том числе с участием представителей Мининвеста Московской области, в целях информирования о возможности участия в получении мер поддержки в области науки, технологий, техники и инноваций;</w:t>
      </w:r>
    </w:p>
    <w:p>
      <w:pPr>
        <w:pStyle w:val="0"/>
        <w:spacing w:before="200" w:line-rule="auto"/>
        <w:ind w:firstLine="540"/>
        <w:jc w:val="both"/>
      </w:pPr>
      <w:r>
        <w:rPr>
          <w:sz w:val="20"/>
        </w:rPr>
        <w:t xml:space="preserve">5) количество размещенных сообщений о деятельности Мининвеста Московской области, коммерческих и некоммерческих организаций, учредителем которых является Мининвест Московской области, а также сообщений об инвестиционном развитии Московской области и поддержке субъектов, осуществляющих предпринимательскую деятельность в Московской области, в международных, общероссийских, областных и местных средствах массовой информации, социальных сетях и на других информационных ресурсах в информационно-телекоммуникационной сети "Интернет", в том числе сформированных с помощью информационной системы "Медиалогия";</w:t>
      </w:r>
    </w:p>
    <w:p>
      <w:pPr>
        <w:pStyle w:val="0"/>
        <w:spacing w:before="200" w:line-rule="auto"/>
        <w:ind w:firstLine="540"/>
        <w:jc w:val="both"/>
      </w:pPr>
      <w:r>
        <w:rPr>
          <w:sz w:val="20"/>
        </w:rPr>
        <w:t xml:space="preserve">6) количество разработанных проектов нормативных правовых актов Московской области, распорядительных актов Правительства Московской области и Мининвеста Московской области, проектов соглашений Московской области или Правительства Московской области, направленных на реализацию инвестиционных обязательств с применением механизмов государственно-частного партнерства (концессионных соглашений, соглашений о государственно-частном партнерстве, инвестиционных соглашений, энергосервисных контрактов, контрактов на поставку товара (оказание услуг) со встречными инвестиционными обязательствами, соглашений о защите и поощрении капиталовложений);</w:t>
      </w:r>
    </w:p>
    <w:p>
      <w:pPr>
        <w:pStyle w:val="0"/>
        <w:spacing w:before="200" w:line-rule="auto"/>
        <w:ind w:firstLine="540"/>
        <w:jc w:val="both"/>
      </w:pPr>
      <w:r>
        <w:rPr>
          <w:sz w:val="20"/>
        </w:rPr>
        <w:t xml:space="preserve">7) количество подготовленных проектов соглашений, в том числе проектов дополнительных соглашений об осуществлении промышленно-производственной и технико-внедренческой деятельности в особых экономических зонах Московской области;</w:t>
      </w:r>
    </w:p>
    <w:p>
      <w:pPr>
        <w:pStyle w:val="0"/>
        <w:spacing w:before="200" w:line-rule="auto"/>
        <w:ind w:firstLine="540"/>
        <w:jc w:val="both"/>
      </w:pPr>
      <w:r>
        <w:rPr>
          <w:sz w:val="20"/>
        </w:rPr>
        <w:t xml:space="preserve">8) количество привлеченных получателем субсидии новых налоговых резидентов Московской области;</w:t>
      </w:r>
    </w:p>
    <w:p>
      <w:pPr>
        <w:pStyle w:val="0"/>
        <w:spacing w:before="200" w:line-rule="auto"/>
        <w:ind w:firstLine="540"/>
        <w:jc w:val="both"/>
      </w:pPr>
      <w:r>
        <w:rPr>
          <w:sz w:val="20"/>
        </w:rPr>
        <w:t xml:space="preserve">9) количество привлеченных получателем субсидии новых налоговых резидентов Московской области с участием муниципальных образований Московской области;</w:t>
      </w:r>
    </w:p>
    <w:p>
      <w:pPr>
        <w:pStyle w:val="0"/>
        <w:spacing w:before="200" w:line-rule="auto"/>
        <w:ind w:firstLine="540"/>
        <w:jc w:val="both"/>
      </w:pPr>
      <w:r>
        <w:rPr>
          <w:sz w:val="20"/>
        </w:rPr>
        <w:t xml:space="preserve">10) количество подготовленных информационно-аналитических материалов для Мининвеста Московской области;</w:t>
      </w:r>
    </w:p>
    <w:p>
      <w:pPr>
        <w:pStyle w:val="0"/>
        <w:spacing w:before="200" w:line-rule="auto"/>
        <w:ind w:firstLine="540"/>
        <w:jc w:val="both"/>
      </w:pPr>
      <w:r>
        <w:rPr>
          <w:sz w:val="20"/>
        </w:rPr>
        <w:t xml:space="preserve">11) количество рассмотренных обращений юридических и физических лиц, осуществляющих или планирующих осуществлять инвестиционную и (или) предпринимательскую деятельность на территории Московской области;</w:t>
      </w:r>
    </w:p>
    <w:p>
      <w:pPr>
        <w:pStyle w:val="0"/>
        <w:spacing w:before="200" w:line-rule="auto"/>
        <w:ind w:firstLine="540"/>
        <w:jc w:val="both"/>
      </w:pPr>
      <w:r>
        <w:rPr>
          <w:sz w:val="20"/>
        </w:rPr>
        <w:t xml:space="preserve">12) количество протоколов заседаний Межведомственной комиссии по обеспечению защиты прав и законных интересов субъектов инвестиционной и предпринимательской деятельности в Московской области - "Штаб по защите прав и законных интересов субъектов инвестиционной и предпринимательской деятельности в Московской области", созданной </w:t>
      </w:r>
      <w:hyperlink w:history="0" r:id="rId503" w:tooltip="Постановление Губернатора МО от 09.10.2023 N 352-ПГ &quot;О Межведомственной комиссии по обеспечению защиты прав и законных интересов субъектов инвестиционной и предпринимательской деятельности в Московской области - &quot;Штаб по защите прав и законных интересов субъектов инвестиционной и предпринимательской деятельности в Московской области&quot; (вместе с &quot;Положением о Межведомственной комиссии по обеспечению защиты прав и законных интересов субъектов инвестиционной и предпринимательской деятельности в Московской облас {КонсультантПлюс}">
        <w:r>
          <w:rPr>
            <w:sz w:val="20"/>
            <w:color w:val="0000ff"/>
          </w:rPr>
          <w:t xml:space="preserve">постановлением</w:t>
        </w:r>
      </w:hyperlink>
      <w:r>
        <w:rPr>
          <w:sz w:val="20"/>
        </w:rPr>
        <w:t xml:space="preserve"> Губернатора Московской области от 09.10.2023 N 352-ПГ "О Межведомственной комиссии по обеспечению защиты прав и законных интересов субъектов инвестиционной и предпринимательской деятельности в Московской области - "Штаб по защите прав и законных интересов субъектов инвестиционной и предпринимательской деятельности в Московской области" (далее - Штаб), и (или) протоколов совещаний, проведенных курирующим заместителем министра инвестиций, промышленности и науки Московской области с юридическими и физическими лицами, осуществляющими или планирующими осуществлять инвестиционную и (или) предпринимательскую деятельность на территории Московской области по вопросам основных задач Штаба.</w:t>
      </w:r>
    </w:p>
    <w:p>
      <w:pPr>
        <w:pStyle w:val="0"/>
        <w:spacing w:before="200" w:line-rule="auto"/>
        <w:ind w:firstLine="540"/>
        <w:jc w:val="both"/>
      </w:pPr>
      <w:r>
        <w:rPr>
          <w:sz w:val="20"/>
        </w:rPr>
        <w:t xml:space="preserve">Результат считается достигнутым при одновременном достижении значений характеристик результата предоставления субсидии в сроки, установленные Соглашением.</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24. Перечисление субсидии осуществляется в течение 10 рабочих дней с даты подписания Соглашения.</w:t>
      </w:r>
    </w:p>
    <w:p>
      <w:pPr>
        <w:pStyle w:val="0"/>
        <w:spacing w:before="200" w:line-rule="auto"/>
        <w:ind w:firstLine="540"/>
        <w:jc w:val="both"/>
      </w:pPr>
      <w:r>
        <w:rPr>
          <w:sz w:val="20"/>
        </w:rPr>
        <w:t xml:space="preserve">25. Субсидия подлежит перечислению на расчетный счет, открытый получателю субсидии в кредитной организации, указанный в Соглашении.</w:t>
      </w:r>
    </w:p>
    <w:bookmarkStart w:id="7163" w:name="P7163"/>
    <w:bookmarkEnd w:id="7163"/>
    <w:p>
      <w:pPr>
        <w:pStyle w:val="0"/>
        <w:spacing w:before="200" w:line-rule="auto"/>
        <w:ind w:firstLine="540"/>
        <w:jc w:val="both"/>
      </w:pPr>
      <w:r>
        <w:rPr>
          <w:sz w:val="20"/>
        </w:rPr>
        <w:t xml:space="preserve">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w:t>
      </w:r>
      <w:hyperlink w:history="0" w:anchor="P7164"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пункте 5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5.6 Подпрограммы 1 государственной программы.">
        <w:r>
          <w:rPr>
            <w:sz w:val="20"/>
            <w:color w:val="0000ff"/>
          </w:rPr>
          <w:t xml:space="preserve">абзацем вторым</w:t>
        </w:r>
      </w:hyperlink>
      <w:r>
        <w:rPr>
          <w:sz w:val="20"/>
        </w:rPr>
        <w:t xml:space="preserve"> настоящего пункта.</w:t>
      </w:r>
    </w:p>
    <w:bookmarkStart w:id="7164" w:name="P7164"/>
    <w:bookmarkEnd w:id="7164"/>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history="0" w:anchor="P7054" w:tooltip="5. Целью предоставления субсидии является финансовое обеспечение затрат АНО &quot;АИР&quot;, связанных с обеспечением уставной деятельности АНО &quot;АИР&quot; в целях предоставления услуг в сфере поддержки и популяризации инвестиционного развития, в том числе:">
        <w:r>
          <w:rPr>
            <w:sz w:val="20"/>
            <w:color w:val="0000ff"/>
          </w:rPr>
          <w:t xml:space="preserve">пункте 5</w:t>
        </w:r>
      </w:hyperlink>
      <w:r>
        <w:rPr>
          <w:sz w:val="20"/>
        </w:rPr>
        <w:t xml:space="preserve">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bookmarkStart w:id="7168" w:name="P7168"/>
    <w:bookmarkEnd w:id="7168"/>
    <w:p>
      <w:pPr>
        <w:pStyle w:val="0"/>
        <w:ind w:firstLine="540"/>
        <w:jc w:val="both"/>
      </w:pPr>
      <w:r>
        <w:rPr>
          <w:sz w:val="20"/>
        </w:rPr>
        <w:t xml:space="preserve">27. Отчеты о достижении значений результата предоставления субсидии, а также характеристик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(расчетно-платежные ведомости, реестр на зачисление заработной платы, договоры аренды помещений, а также иные документы, связанные с оплатой прочих работ и услуг, в том числе расчетные (платежные) документы), представляются получателем субсидии в Мининвест Московской области ежеквартально до 5 рабочего дня месяца, следующего за отчетным годом, а по результатам года - не позднее 15 числа месяца, следующего за отчетным годом.</w:t>
      </w:r>
    </w:p>
    <w:p>
      <w:pPr>
        <w:pStyle w:val="0"/>
        <w:spacing w:before="200" w:line-rule="auto"/>
        <w:ind w:firstLine="540"/>
        <w:jc w:val="both"/>
      </w:pPr>
      <w:r>
        <w:rPr>
          <w:sz w:val="20"/>
        </w:rPr>
        <w:t xml:space="preserve">Формы отчетов определяются распоряжением МЭФ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Отчеты представляются получателем субсидий в ГИС РЭБ при наличии соответствующей технической и функциональной возможности системы, а в случае ее отсутствия - посредством МСЭД.</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28. Проверка и принятие отчетности, представляемой в соответствии с </w:t>
      </w:r>
      <w:hyperlink w:history="0" w:anchor="P7168" w:tooltip="27. Отчеты о достижении значений результата предоставления субсидии, а также характеристик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расчетно-платежные ведомости, реестр на зачисление заработной платы, договоры аренды помещений, а также иные документы, связанные с оплатой прочих работ и услуг, в том числе расчетные (платежные) документы), представ...">
        <w:r>
          <w:rPr>
            <w:sz w:val="20"/>
            <w:color w:val="0000ff"/>
          </w:rPr>
          <w:t xml:space="preserve">пунктом 27</w:t>
        </w:r>
      </w:hyperlink>
      <w:r>
        <w:rPr>
          <w:sz w:val="20"/>
        </w:rPr>
        <w:t xml:space="preserve"> Порядка, осуществляется Мининвестом Московской области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p>
      <w:pPr>
        <w:pStyle w:val="0"/>
        <w:spacing w:before="200" w:line-rule="auto"/>
        <w:ind w:firstLine="540"/>
        <w:jc w:val="both"/>
      </w:pPr>
      <w:r>
        <w:rPr>
          <w:sz w:val="20"/>
        </w:rPr>
        <w:t xml:space="preserve">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7180" w:tooltip="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30</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7180" w:name="P7180"/>
    <w:bookmarkEnd w:id="7180"/>
    <w:p>
      <w:pPr>
        <w:pStyle w:val="0"/>
        <w:ind w:firstLine="540"/>
        <w:jc w:val="both"/>
      </w:pPr>
      <w:r>
        <w:rPr>
          <w:sz w:val="20"/>
        </w:rPr>
        <w:t xml:space="preserve">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50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32. В случае недостижения значения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в размере, рассчитанном пропорционально недостигнутым значениям характеристик предоставления субсидии, установленных Соглашением,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подлежащий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jc w:val="both"/>
      </w:pPr>
      <w:r>
        <w:rPr>
          <w:sz w:val="20"/>
        </w:rPr>
      </w:r>
    </w:p>
    <w:p>
      <w:pPr>
        <w:pStyle w:val="0"/>
        <w:ind w:firstLine="540"/>
        <w:jc w:val="both"/>
      </w:pPr>
      <w:r>
        <w:rPr>
          <w:sz w:val="20"/>
        </w:rPr>
        <w:t xml:space="preserve">При расчете размера субсидии, подлежащего возврату (V</w:t>
      </w:r>
      <w:r>
        <w:rPr>
          <w:sz w:val="20"/>
          <w:vertAlign w:val="subscript"/>
        </w:rPr>
        <w:t xml:space="preserve">возв</w:t>
      </w:r>
      <w:r>
        <w:rPr>
          <w:sz w:val="20"/>
        </w:rPr>
        <w:t xml:space="preserve">), в размере субсидии, предоставленной получателю субсидии в отчетном финансовом году (V</w:t>
      </w:r>
      <w:r>
        <w:rPr>
          <w:sz w:val="20"/>
          <w:vertAlign w:val="subscript"/>
        </w:rPr>
        <w:t xml:space="preserve">суб</w:t>
      </w:r>
      <w:r>
        <w:rPr>
          <w:sz w:val="20"/>
        </w:rPr>
        <w:t xml:space="preserve">), не учитывается размер не использованного в отчетном финансовом году остатка субсидии, подлежащий возврату в бюджет Московской области в соответствии с </w:t>
      </w:r>
      <w:hyperlink w:history="0" w:anchor="P7163" w:tooltip="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абзацем вторым настоящего пункта.">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ind w:firstLine="540"/>
        <w:jc w:val="both"/>
      </w:pPr>
      <w:r>
        <w:rPr>
          <w:sz w:val="20"/>
        </w:rPr>
        <w:t xml:space="preserve">k = SUM Di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Di - индекс, отражающий уровень недостижения i-ой характеристики результата предоставления субсидии;</w:t>
      </w:r>
    </w:p>
    <w:p>
      <w:pPr>
        <w:pStyle w:val="0"/>
        <w:spacing w:before="200" w:line-rule="auto"/>
        <w:ind w:firstLine="540"/>
        <w:jc w:val="both"/>
      </w:pPr>
      <w:r>
        <w:rPr>
          <w:sz w:val="20"/>
        </w:rPr>
        <w:t xml:space="preserve">n - общее количество характеристик результата предоставления субсидии.</w:t>
      </w:r>
    </w:p>
    <w:p>
      <w:pPr>
        <w:pStyle w:val="0"/>
        <w:jc w:val="both"/>
      </w:pPr>
      <w:r>
        <w:rPr>
          <w:sz w:val="20"/>
        </w:rPr>
      </w:r>
    </w:p>
    <w:p>
      <w:pPr>
        <w:pStyle w:val="0"/>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i-ой характеристики результата предоставления субсидии.</w:t>
      </w:r>
    </w:p>
    <w:p>
      <w:pPr>
        <w:pStyle w:val="0"/>
        <w:spacing w:before="200" w:line-rule="auto"/>
        <w:ind w:firstLine="540"/>
        <w:jc w:val="both"/>
      </w:pPr>
      <w:r>
        <w:rPr>
          <w:sz w:val="20"/>
        </w:rPr>
        <w:t xml:space="preserve">Индекс, отражающий уровень недостижения i-ой характеристики результата предоставления субсидии, определяется по формуле:</w:t>
      </w:r>
    </w:p>
    <w:p>
      <w:pPr>
        <w:pStyle w:val="0"/>
        <w:jc w:val="both"/>
      </w:pPr>
      <w:r>
        <w:rPr>
          <w:sz w:val="20"/>
        </w:rPr>
      </w:r>
    </w:p>
    <w:p>
      <w:pPr>
        <w:pStyle w:val="0"/>
        <w:ind w:firstLine="540"/>
        <w:jc w:val="both"/>
      </w:pPr>
      <w:r>
        <w:rPr>
          <w:sz w:val="20"/>
        </w:rPr>
        <w:t xml:space="preserve">Di = 1 - Ti / Si,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i-ой характеристики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i-ой характеристики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33. В случае неисполнения получателем субсидии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pPr>
        <w:pStyle w:val="0"/>
        <w:jc w:val="both"/>
      </w:pPr>
      <w:r>
        <w:rPr>
          <w:sz w:val="20"/>
        </w:rPr>
      </w:r>
    </w:p>
    <w:p>
      <w:pPr>
        <w:pStyle w:val="2"/>
        <w:outlineLvl w:val="3"/>
        <w:jc w:val="center"/>
      </w:pPr>
      <w:r>
        <w:rPr>
          <w:sz w:val="20"/>
        </w:rPr>
        <w:t xml:space="preserve">5.4.4. Порядок предоставления субсидий из бюджета Московской</w:t>
      </w:r>
    </w:p>
    <w:p>
      <w:pPr>
        <w:pStyle w:val="2"/>
        <w:jc w:val="center"/>
      </w:pPr>
      <w:r>
        <w:rPr>
          <w:sz w:val="20"/>
        </w:rPr>
        <w:t xml:space="preserve">области автономной некоммерческой организации "Агентство</w:t>
      </w:r>
    </w:p>
    <w:p>
      <w:pPr>
        <w:pStyle w:val="2"/>
        <w:jc w:val="center"/>
      </w:pPr>
      <w:r>
        <w:rPr>
          <w:sz w:val="20"/>
        </w:rPr>
        <w:t xml:space="preserve">инвестиционного развития Московской области" в рамках</w:t>
      </w:r>
    </w:p>
    <w:p>
      <w:pPr>
        <w:pStyle w:val="2"/>
        <w:jc w:val="center"/>
      </w:pPr>
      <w:r>
        <w:rPr>
          <w:sz w:val="20"/>
        </w:rPr>
        <w:t xml:space="preserve">реализации мероприятия L2.01 "Обеспечение деятельности</w:t>
      </w:r>
    </w:p>
    <w:p>
      <w:pPr>
        <w:pStyle w:val="2"/>
        <w:jc w:val="center"/>
      </w:pPr>
      <w:r>
        <w:rPr>
          <w:sz w:val="20"/>
        </w:rPr>
        <w:t xml:space="preserve">автономной некоммерческой организации "Агентство</w:t>
      </w:r>
    </w:p>
    <w:p>
      <w:pPr>
        <w:pStyle w:val="2"/>
        <w:jc w:val="center"/>
      </w:pPr>
      <w:r>
        <w:rPr>
          <w:sz w:val="20"/>
        </w:rPr>
        <w:t xml:space="preserve">инвестиционного развития Московской области" в целях</w:t>
      </w:r>
    </w:p>
    <w:p>
      <w:pPr>
        <w:pStyle w:val="2"/>
        <w:jc w:val="center"/>
      </w:pPr>
      <w:r>
        <w:rPr>
          <w:sz w:val="20"/>
        </w:rPr>
        <w:t xml:space="preserve">реализации мероприятий по повышению производительности труда</w:t>
      </w:r>
    </w:p>
    <w:p>
      <w:pPr>
        <w:pStyle w:val="2"/>
        <w:jc w:val="center"/>
      </w:pPr>
      <w:r>
        <w:rPr>
          <w:sz w:val="20"/>
        </w:rPr>
        <w:t xml:space="preserve">на предприятиях" Подпрограммы 1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50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5.4.5. Порядок предоставления субсидий из бюджета Московской</w:t>
      </w:r>
    </w:p>
    <w:p>
      <w:pPr>
        <w:pStyle w:val="2"/>
        <w:jc w:val="center"/>
      </w:pPr>
      <w:r>
        <w:rPr>
          <w:sz w:val="20"/>
        </w:rPr>
        <w:t xml:space="preserve">области АНО "АИР" в рамках реализации мероприятия L2.02</w:t>
      </w:r>
    </w:p>
    <w:p>
      <w:pPr>
        <w:pStyle w:val="2"/>
        <w:jc w:val="center"/>
      </w:pPr>
      <w:r>
        <w:rPr>
          <w:sz w:val="20"/>
        </w:rPr>
        <w:t xml:space="preserve">"Государственная поддержка субъектов Российской Федерации</w:t>
      </w:r>
    </w:p>
    <w:p>
      <w:pPr>
        <w:pStyle w:val="2"/>
        <w:jc w:val="center"/>
      </w:pPr>
      <w:r>
        <w:rPr>
          <w:sz w:val="20"/>
        </w:rPr>
        <w:t xml:space="preserve">в целях достижения результатов национального проекта</w:t>
      </w:r>
    </w:p>
    <w:p>
      <w:pPr>
        <w:pStyle w:val="2"/>
        <w:jc w:val="center"/>
      </w:pPr>
      <w:r>
        <w:rPr>
          <w:sz w:val="20"/>
        </w:rPr>
        <w:t xml:space="preserve">"Производительность труда" (Обеспечение деятельности</w:t>
      </w:r>
    </w:p>
    <w:p>
      <w:pPr>
        <w:pStyle w:val="2"/>
        <w:jc w:val="center"/>
      </w:pPr>
      <w:r>
        <w:rPr>
          <w:sz w:val="20"/>
        </w:rPr>
        <w:t xml:space="preserve">автономной некоммерческой организации "Агентство</w:t>
      </w:r>
    </w:p>
    <w:p>
      <w:pPr>
        <w:pStyle w:val="2"/>
        <w:jc w:val="center"/>
      </w:pPr>
      <w:r>
        <w:rPr>
          <w:sz w:val="20"/>
        </w:rPr>
        <w:t xml:space="preserve">инвестиционного развития Московской области" в целях</w:t>
      </w:r>
    </w:p>
    <w:p>
      <w:pPr>
        <w:pStyle w:val="2"/>
        <w:jc w:val="center"/>
      </w:pPr>
      <w:r>
        <w:rPr>
          <w:sz w:val="20"/>
        </w:rPr>
        <w:t xml:space="preserve">достижения результатов национального проекта</w:t>
      </w:r>
    </w:p>
    <w:p>
      <w:pPr>
        <w:pStyle w:val="2"/>
        <w:jc w:val="center"/>
      </w:pPr>
      <w:r>
        <w:rPr>
          <w:sz w:val="20"/>
        </w:rPr>
        <w:t xml:space="preserve">"Производительность труда")" Подпрограммы 1</w:t>
      </w:r>
    </w:p>
    <w:p>
      <w:pPr>
        <w:pStyle w:val="2"/>
        <w:jc w:val="center"/>
      </w:pPr>
      <w:r>
        <w:rPr>
          <w:sz w:val="20"/>
        </w:rPr>
        <w:t xml:space="preserve">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507"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5.4.6. Порядок предоставления субсидий из бюджета</w:t>
      </w:r>
    </w:p>
    <w:p>
      <w:pPr>
        <w:pStyle w:val="2"/>
        <w:jc w:val="center"/>
      </w:pPr>
      <w:r>
        <w:rPr>
          <w:sz w:val="20"/>
        </w:rPr>
        <w:t xml:space="preserve">Московской области АНО "АИР" в рамках реализации мероприятия</w:t>
      </w:r>
    </w:p>
    <w:p>
      <w:pPr>
        <w:pStyle w:val="2"/>
        <w:jc w:val="center"/>
      </w:pPr>
      <w:r>
        <w:rPr>
          <w:sz w:val="20"/>
        </w:rPr>
        <w:t xml:space="preserve">07.02 "Субсидия автономной некоммерческой организации</w:t>
      </w:r>
    </w:p>
    <w:p>
      <w:pPr>
        <w:pStyle w:val="2"/>
        <w:jc w:val="center"/>
      </w:pPr>
      <w:r>
        <w:rPr>
          <w:sz w:val="20"/>
        </w:rPr>
        <w:t xml:space="preserve">"Агентство инвестиционного развития Московской области"</w:t>
      </w:r>
    </w:p>
    <w:p>
      <w:pPr>
        <w:pStyle w:val="2"/>
        <w:jc w:val="center"/>
      </w:pPr>
      <w:r>
        <w:rPr>
          <w:sz w:val="20"/>
        </w:rPr>
        <w:t xml:space="preserve">в целях реализации мероприятий по повышению эффективности</w:t>
      </w:r>
    </w:p>
    <w:p>
      <w:pPr>
        <w:pStyle w:val="2"/>
        <w:jc w:val="center"/>
      </w:pPr>
      <w:r>
        <w:rPr>
          <w:sz w:val="20"/>
        </w:rPr>
        <w:t xml:space="preserve">процессов в центральных исполнительных органах Московской</w:t>
      </w:r>
    </w:p>
    <w:p>
      <w:pPr>
        <w:pStyle w:val="2"/>
        <w:jc w:val="center"/>
      </w:pPr>
      <w:r>
        <w:rPr>
          <w:sz w:val="20"/>
        </w:rPr>
        <w:t xml:space="preserve">области и их подведомственных учреждениях, организациях,</w:t>
      </w:r>
    </w:p>
    <w:p>
      <w:pPr>
        <w:pStyle w:val="2"/>
        <w:jc w:val="center"/>
      </w:pPr>
      <w:r>
        <w:rPr>
          <w:sz w:val="20"/>
        </w:rPr>
        <w:t xml:space="preserve">находящихся в ведении центральных исполнительных органов</w:t>
      </w:r>
    </w:p>
    <w:p>
      <w:pPr>
        <w:pStyle w:val="2"/>
        <w:jc w:val="center"/>
      </w:pPr>
      <w:r>
        <w:rPr>
          <w:sz w:val="20"/>
        </w:rPr>
        <w:t xml:space="preserve">Московской области или государственных органов Московской</w:t>
      </w:r>
    </w:p>
    <w:p>
      <w:pPr>
        <w:pStyle w:val="2"/>
        <w:jc w:val="center"/>
      </w:pPr>
      <w:r>
        <w:rPr>
          <w:sz w:val="20"/>
        </w:rPr>
        <w:t xml:space="preserve">области, а также коммерческих и некоммерческих организациях,</w:t>
      </w:r>
    </w:p>
    <w:p>
      <w:pPr>
        <w:pStyle w:val="2"/>
        <w:jc w:val="center"/>
      </w:pPr>
      <w:r>
        <w:rPr>
          <w:sz w:val="20"/>
        </w:rPr>
        <w:t xml:space="preserve">учредителем которых является Московская область в лице</w:t>
      </w:r>
    </w:p>
    <w:p>
      <w:pPr>
        <w:pStyle w:val="2"/>
        <w:jc w:val="center"/>
      </w:pPr>
      <w:r>
        <w:rPr>
          <w:sz w:val="20"/>
        </w:rPr>
        <w:t xml:space="preserve">центральных исполнительных органов Московской</w:t>
      </w:r>
    </w:p>
    <w:p>
      <w:pPr>
        <w:pStyle w:val="2"/>
        <w:jc w:val="center"/>
      </w:pPr>
      <w:r>
        <w:rPr>
          <w:sz w:val="20"/>
        </w:rPr>
        <w:t xml:space="preserve">области, направленных на повышение производительности труда</w:t>
      </w:r>
    </w:p>
    <w:p>
      <w:pPr>
        <w:pStyle w:val="2"/>
        <w:jc w:val="center"/>
      </w:pPr>
      <w:r>
        <w:rPr>
          <w:sz w:val="20"/>
        </w:rPr>
        <w:t xml:space="preserve">в Московской области" Подпрограммы 1</w:t>
      </w:r>
    </w:p>
    <w:p>
      <w:pPr>
        <w:pStyle w:val="2"/>
        <w:jc w:val="center"/>
      </w:pPr>
      <w:r>
        <w:rPr>
          <w:sz w:val="20"/>
        </w:rPr>
        <w:t xml:space="preserve">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508"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5.4.7. Порядок предоставления субсидий из бюджета</w:t>
      </w:r>
    </w:p>
    <w:p>
      <w:pPr>
        <w:pStyle w:val="2"/>
        <w:jc w:val="center"/>
      </w:pPr>
      <w:r>
        <w:rPr>
          <w:sz w:val="20"/>
        </w:rPr>
        <w:t xml:space="preserve">Московской области АНО "АИР" в рамках реализации мероприятия</w:t>
      </w:r>
    </w:p>
    <w:p>
      <w:pPr>
        <w:pStyle w:val="2"/>
        <w:jc w:val="center"/>
      </w:pPr>
      <w:r>
        <w:rPr>
          <w:sz w:val="20"/>
        </w:rPr>
        <w:t xml:space="preserve">05.05 "Реализация мероприятий по развитию промышленного</w:t>
      </w:r>
    </w:p>
    <w:p>
      <w:pPr>
        <w:pStyle w:val="2"/>
        <w:jc w:val="center"/>
      </w:pPr>
      <w:r>
        <w:rPr>
          <w:sz w:val="20"/>
        </w:rPr>
        <w:t xml:space="preserve">туризма" Подпрограммы 1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509"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5.4.8. Порядок предоставления из бюджета Московской области</w:t>
      </w:r>
    </w:p>
    <w:p>
      <w:pPr>
        <w:pStyle w:val="2"/>
        <w:jc w:val="center"/>
      </w:pPr>
      <w:r>
        <w:rPr>
          <w:sz w:val="20"/>
        </w:rPr>
        <w:t xml:space="preserve">субсидии АНО "АИР" в рамках реализации мероприятия 01.01</w:t>
      </w:r>
    </w:p>
    <w:p>
      <w:pPr>
        <w:pStyle w:val="2"/>
        <w:jc w:val="center"/>
      </w:pPr>
      <w:r>
        <w:rPr>
          <w:sz w:val="20"/>
        </w:rPr>
        <w:t xml:space="preserve">"Проведение мероприятий в Российской Федерации и за рубежом</w:t>
      </w:r>
    </w:p>
    <w:p>
      <w:pPr>
        <w:pStyle w:val="2"/>
        <w:jc w:val="center"/>
      </w:pPr>
      <w:r>
        <w:rPr>
          <w:sz w:val="20"/>
        </w:rPr>
        <w:t xml:space="preserve">в сфере инвестиционного, научно-технического</w:t>
      </w:r>
    </w:p>
    <w:p>
      <w:pPr>
        <w:pStyle w:val="2"/>
        <w:jc w:val="center"/>
      </w:pPr>
      <w:r>
        <w:rPr>
          <w:sz w:val="20"/>
        </w:rPr>
        <w:t xml:space="preserve">и инновационного развития Московской области, развития</w:t>
      </w:r>
    </w:p>
    <w:p>
      <w:pPr>
        <w:pStyle w:val="2"/>
        <w:jc w:val="center"/>
      </w:pPr>
      <w:r>
        <w:rPr>
          <w:sz w:val="20"/>
        </w:rPr>
        <w:t xml:space="preserve">малого и среднего предпринимательства и (или) организации</w:t>
      </w:r>
    </w:p>
    <w:p>
      <w:pPr>
        <w:pStyle w:val="2"/>
        <w:jc w:val="center"/>
      </w:pPr>
      <w:r>
        <w:rPr>
          <w:sz w:val="20"/>
        </w:rPr>
        <w:t xml:space="preserve">участия в них делегаций Московской области"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(введен </w:t>
      </w:r>
      <w:hyperlink w:history="0" r:id="rId510"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АНО "АИР" в рамках реализации </w:t>
      </w:r>
      <w:hyperlink w:history="0" w:anchor="P1064" w:tooltip="Мероприятие 01.01. Проведение мероприятий в Российской Федерации и за рубежом в сфере инвестиционного, научно-технического и инновационного развития Московской области, развития малого и среднего предпринимательства и (или) организации участия в них делегаций Московской области">
        <w:r>
          <w:rPr>
            <w:sz w:val="20"/>
            <w:color w:val="0000ff"/>
          </w:rPr>
          <w:t xml:space="preserve">мероприятия 01.01</w:t>
        </w:r>
      </w:hyperlink>
      <w:r>
        <w:rPr>
          <w:sz w:val="20"/>
        </w:rPr>
        <w:t xml:space="preserve"> "Проведение мероприятий в Российской Федерации и за рубежом в сфере инвестиционного, научно-технического и инновационного развития Московской области, развития малого и среднего предпринимательства и (или) организации участия в них делегаций Московской области" Подпрограммы 1 государственной программы (далее соответственно - Порядок, субсидия) разработан в соответствии со </w:t>
      </w:r>
      <w:hyperlink w:history="0" r:id="rId5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51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в Порядке:</w:t>
      </w:r>
    </w:p>
    <w:p>
      <w:pPr>
        <w:pStyle w:val="0"/>
        <w:spacing w:before="200" w:line-rule="auto"/>
        <w:ind w:firstLine="540"/>
        <w:jc w:val="both"/>
      </w:pPr>
      <w:r>
        <w:rPr>
          <w:sz w:val="20"/>
        </w:rPr>
        <w:t xml:space="preserve">мероприятия - мероприятия (конференции, форумы, выставки, ярмарки, презентации, роуд-шоу и другие) в сферах инвестиционного, научно-технического и инновационного развития Московской области, развития малого и среднего предпринимательства в Российской Федерации и за рубежом, проводимые и (или) в которых организовано участие делегаций Московской области, а также иные консультационные и обучающие мероприятия в сферах инвестиций и государственно-частного партнерства.</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7289" w:tooltip="5. Целью предоставления субсидии является финансовое обеспечение затрат АНО &quot;АИР&quot;, связанных с организацией и (или) проведением мероприятий и (или) организацией участия в них делегаций Московской области, в том числе в целях популяризации деятельности Московской области и развития инвестиционного, промышленного, научно-технического и инновационного потенциала Московской области, малого и среднего предпринимательства, организации внешних связей и выставочной деятельности.">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7289" w:name="P7289"/>
    <w:bookmarkEnd w:id="7289"/>
    <w:p>
      <w:pPr>
        <w:pStyle w:val="0"/>
        <w:spacing w:before="200" w:line-rule="auto"/>
        <w:ind w:firstLine="540"/>
        <w:jc w:val="both"/>
      </w:pPr>
      <w:r>
        <w:rPr>
          <w:sz w:val="20"/>
        </w:rPr>
        <w:t xml:space="preserve">5. Целью предоставления субсидии является финансовое обеспечение затрат АНО "АИР", связанных с организацией и (или) проведением мероприятий и (или) организацией участия в них делегаций Московской области, в том числе в целях популяризации деятельности Московской области и развития инвестиционного, промышленного, научно-технического и инновационного потенциала Московской области, малого и среднего предпринимательства, организации внешних связей и выставочной деятельности.</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АНО "АИР"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7292" w:name="P7292"/>
    <w:bookmarkEnd w:id="7292"/>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513"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7295" w:name="P7295"/>
    <w:bookmarkEnd w:id="7295"/>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bookmarkStart w:id="7297" w:name="P7297"/>
    <w:bookmarkEnd w:id="7297"/>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51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7298" w:name="P7298"/>
    <w:bookmarkEnd w:id="7298"/>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7289" w:tooltip="5. Целью предоставления субсидии является финансовое обеспечение затрат АНО &quot;АИР&quot;, связанных с организацией и (или) проведением мероприятий и (или) организацией участия в них делегаций Московской области, в том числе в целях популяризации деятельности Московской области и развития инвестиционного, промышленного, научно-технического и инновационного потенциала Московской области, малого и среднего предпринимательства, организации внешних связей и выставочной деятельности.">
        <w:r>
          <w:rPr>
            <w:sz w:val="20"/>
            <w:color w:val="0000ff"/>
          </w:rPr>
          <w:t xml:space="preserve">пунктом 5</w:t>
        </w:r>
      </w:hyperlink>
      <w:r>
        <w:rPr>
          <w:sz w:val="20"/>
        </w:rPr>
        <w:t xml:space="preserve"> Порядка;</w:t>
      </w:r>
    </w:p>
    <w:bookmarkStart w:id="7299" w:name="P7299"/>
    <w:bookmarkEnd w:id="7299"/>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515"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7300" w:name="P7300"/>
    <w:bookmarkEnd w:id="7300"/>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7301" w:name="P7301"/>
    <w:bookmarkEnd w:id="7301"/>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bookmarkStart w:id="7302" w:name="P7302"/>
    <w:bookmarkEnd w:id="7302"/>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7303" w:name="P7303"/>
    <w:bookmarkEnd w:id="7303"/>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7292"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представляет в срок до 10 декабря года, предшествующего году предоставления субсидии,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письмо, подписанное руководителем либо иным уполномоченным лицом, а также главным бухгалтером (при наличии) получателя субсидии, подтверждающее соответствие требованиям, предусмотренным </w:t>
      </w:r>
      <w:hyperlink w:history="0" w:anchor="P7298"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абзацами пятым</w:t>
        </w:r>
      </w:hyperlink>
      <w:r>
        <w:rPr>
          <w:sz w:val="20"/>
        </w:rPr>
        <w:t xml:space="preserve">, </w:t>
      </w:r>
      <w:hyperlink w:history="0" w:anchor="P7300"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седьмым</w:t>
        </w:r>
      </w:hyperlink>
      <w:r>
        <w:rPr>
          <w:sz w:val="20"/>
        </w:rPr>
        <w:t xml:space="preserve">, </w:t>
      </w:r>
      <w:hyperlink w:history="0" w:anchor="P7302"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девятым подпункта 2 пункта 8</w:t>
        </w:r>
      </w:hyperlink>
      <w:r>
        <w:rPr>
          <w:sz w:val="20"/>
        </w:rPr>
        <w:t xml:space="preserve"> Порядка;</w:t>
      </w:r>
    </w:p>
    <w:p>
      <w:pPr>
        <w:pStyle w:val="0"/>
        <w:spacing w:before="200" w:line-rule="auto"/>
        <w:ind w:firstLine="540"/>
        <w:jc w:val="both"/>
      </w:pPr>
      <w:r>
        <w:rPr>
          <w:sz w:val="20"/>
        </w:rPr>
        <w:t xml:space="preserve">письмо, подписанное руководителем либо иным уполномоченным лицом получателя субсидии, подтверждающее соответствие требованиям, предусмотренным </w:t>
      </w:r>
      <w:hyperlink w:history="0" w:anchor="P7295"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абзацами вторым</w:t>
        </w:r>
      </w:hyperlink>
      <w:r>
        <w:rPr>
          <w:sz w:val="20"/>
        </w:rPr>
        <w:t xml:space="preserve"> - </w:t>
      </w:r>
      <w:hyperlink w:history="0" w:anchor="P7297" w:tooltip="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r>
          <w:rPr>
            <w:sz w:val="20"/>
            <w:color w:val="0000ff"/>
          </w:rPr>
          <w:t xml:space="preserve">четвертым</w:t>
        </w:r>
      </w:hyperlink>
      <w:r>
        <w:rPr>
          <w:sz w:val="20"/>
        </w:rPr>
        <w:t xml:space="preserve">, </w:t>
      </w:r>
      <w:hyperlink w:history="0" w:anchor="P7299"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шестым</w:t>
        </w:r>
      </w:hyperlink>
      <w:r>
        <w:rPr>
          <w:sz w:val="20"/>
        </w:rPr>
        <w:t xml:space="preserve">, </w:t>
      </w:r>
      <w:hyperlink w:history="0" w:anchor="P7301" w:tooltip="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восьмым подпункта 2 пункта 8</w:t>
        </w:r>
      </w:hyperlink>
      <w:r>
        <w:rPr>
          <w:sz w:val="20"/>
        </w:rPr>
        <w:t xml:space="preserve"> Порядка;</w:t>
      </w:r>
    </w:p>
    <w:p>
      <w:pPr>
        <w:pStyle w:val="0"/>
        <w:spacing w:before="200" w:line-rule="auto"/>
        <w:ind w:firstLine="540"/>
        <w:jc w:val="both"/>
      </w:pPr>
      <w:r>
        <w:rPr>
          <w:sz w:val="20"/>
        </w:rPr>
        <w:t xml:space="preserve">план направления расходов, источником финансового обеспечения которых является субсидия, соответствующих цели предоставления субсидии, на текущий финансовый год, содержащий обоснование расходов и расчета размера субсидии.</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7318" w:name="P7318"/>
    <w:bookmarkEnd w:id="7318"/>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1 месяца с даты поступления заявки рассматривает документы, указанные в </w:t>
      </w:r>
      <w:hyperlink w:history="0" w:anchor="P7303" w:tooltip="9. Получатель субсидии в подтверждение соответствия требованиям, указанным в пункте 8 Порядка, представляет в срок до 10 декабря года, предшествующего году предоставления субсидии,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7292"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p>
      <w:pPr>
        <w:pStyle w:val="0"/>
        <w:spacing w:before="200" w:line-rule="auto"/>
        <w:ind w:firstLine="540"/>
        <w:jc w:val="both"/>
      </w:pPr>
      <w:r>
        <w:rPr>
          <w:sz w:val="20"/>
        </w:rPr>
        <w:t xml:space="preserve">13. По результатам рассмотрения документов, указанных в </w:t>
      </w:r>
      <w:hyperlink w:history="0" w:anchor="P7303" w:tooltip="9. Получатель субсидии в подтверждение соответствия требованиям, указанным в пункте 8 Порядка, представляет в срок до 10 декабря года, предшествующего году предоставления субсидии,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7318"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распорядительным актом Мининвеста Московской области.</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несоответствие получателя субсидии требованиям, установленным в </w:t>
      </w:r>
      <w:hyperlink w:history="0" w:anchor="P7292"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7303" w:tooltip="9. Получатель субсидии в подтверждение соответствия требованиям, указанным в пункте 8 Порядка, представляет в срок до 10 декабря года, предшествующего году предоставления субсидии,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Направлением расходов, источником финансового обеспечения которых является субсидия, является оплата выполнения работ, оказания услуг в целях:</w:t>
      </w:r>
    </w:p>
    <w:p>
      <w:pPr>
        <w:pStyle w:val="0"/>
        <w:spacing w:before="200" w:line-rule="auto"/>
        <w:ind w:firstLine="540"/>
        <w:jc w:val="both"/>
      </w:pPr>
      <w:r>
        <w:rPr>
          <w:sz w:val="20"/>
        </w:rPr>
        <w:t xml:space="preserve">организации и проведения мероприятий в Российской Федерации и за рубежом;</w:t>
      </w:r>
    </w:p>
    <w:p>
      <w:pPr>
        <w:pStyle w:val="0"/>
        <w:spacing w:before="200" w:line-rule="auto"/>
        <w:ind w:firstLine="540"/>
        <w:jc w:val="both"/>
      </w:pPr>
      <w:r>
        <w:rPr>
          <w:sz w:val="20"/>
        </w:rPr>
        <w:t xml:space="preserve">организации участия делегаций Московской области в мероприятиях в Российской Федерации и за рубежом;</w:t>
      </w:r>
    </w:p>
    <w:p>
      <w:pPr>
        <w:pStyle w:val="0"/>
        <w:spacing w:before="200" w:line-rule="auto"/>
        <w:ind w:firstLine="540"/>
        <w:jc w:val="both"/>
      </w:pPr>
      <w:r>
        <w:rPr>
          <w:sz w:val="20"/>
        </w:rPr>
        <w:t xml:space="preserve">организации консультационных и обучающих мероприятий в сферах инвестиций и государственно-частного партнерства для сотрудников центральных исполнительных органов Московской области, администраций муниципальных образований Московской области, юридических лиц, функции и полномочия учредителя которых от имени Московской области осуществляют центральные исполнительные органы Московской области.</w:t>
      </w:r>
    </w:p>
    <w:p>
      <w:pPr>
        <w:pStyle w:val="0"/>
        <w:spacing w:before="200" w:line-rule="auto"/>
        <w:ind w:firstLine="540"/>
        <w:jc w:val="both"/>
      </w:pPr>
      <w:r>
        <w:rPr>
          <w:sz w:val="20"/>
        </w:rPr>
        <w:t xml:space="preserve">17. Размер субсидии определяется по следующей формуле:</w:t>
      </w:r>
    </w:p>
    <w:p>
      <w:pPr>
        <w:pStyle w:val="0"/>
        <w:jc w:val="both"/>
      </w:pPr>
      <w:r>
        <w:rPr>
          <w:sz w:val="20"/>
        </w:rPr>
      </w:r>
    </w:p>
    <w:p>
      <w:pPr>
        <w:pStyle w:val="0"/>
        <w:jc w:val="center"/>
      </w:pPr>
      <w:r>
        <w:rPr>
          <w:position w:val="-23"/>
        </w:rPr>
        <w:drawing>
          <wp:inline distT="0" distB="0" distL="0" distR="0">
            <wp:extent cx="6477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предоставляемой АНО "АИР" субсидии;</w:t>
      </w:r>
    </w:p>
    <w:p>
      <w:pPr>
        <w:pStyle w:val="0"/>
        <w:spacing w:before="200" w:line-rule="auto"/>
        <w:ind w:firstLine="540"/>
        <w:jc w:val="both"/>
      </w:pPr>
      <w:r>
        <w:rPr>
          <w:sz w:val="20"/>
        </w:rPr>
        <w:t xml:space="preserve">Xi - планируемый объем расходов на организацию и (или) проведение i-го мероприятия и (или) организацию участия делегаций Московской области в i-м мероприятии, запланированного на текущий финансовый год, в соответствии с полученными коммерческими предложениями по запросу АНО "АИР" о предоставлении ценовой информации;</w:t>
      </w:r>
    </w:p>
    <w:p>
      <w:pPr>
        <w:pStyle w:val="0"/>
        <w:spacing w:before="200" w:line-rule="auto"/>
        <w:ind w:firstLine="540"/>
        <w:jc w:val="both"/>
      </w:pPr>
      <w:r>
        <w:rPr>
          <w:sz w:val="20"/>
        </w:rPr>
        <w:t xml:space="preserve">n - количество мероприятий, запланированных на текущий финансовый год;</w:t>
      </w:r>
    </w:p>
    <w:p>
      <w:pPr>
        <w:pStyle w:val="0"/>
        <w:spacing w:before="200" w:line-rule="auto"/>
        <w:ind w:firstLine="540"/>
        <w:jc w:val="both"/>
      </w:pPr>
      <w:r>
        <w:rPr>
          <w:sz w:val="20"/>
        </w:rPr>
        <w:t xml:space="preserve">i - порядковый номер мероприятия, запланированного на текущий финансовый год.</w:t>
      </w:r>
    </w:p>
    <w:p>
      <w:pPr>
        <w:pStyle w:val="0"/>
        <w:jc w:val="both"/>
      </w:pPr>
      <w:r>
        <w:rPr>
          <w:sz w:val="20"/>
        </w:rPr>
      </w:r>
    </w:p>
    <w:p>
      <w:pPr>
        <w:pStyle w:val="0"/>
        <w:ind w:firstLine="540"/>
        <w:jc w:val="both"/>
      </w:pPr>
      <w:r>
        <w:rPr>
          <w:sz w:val="20"/>
        </w:rPr>
        <w:t xml:space="preserve">Абзац утратил силу с 1 января 2025 года. - </w:t>
      </w:r>
      <w:hyperlink w:history="0" r:id="rId51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w:t>
        </w:r>
      </w:hyperlink>
      <w:r>
        <w:rPr>
          <w:sz w:val="20"/>
        </w:rPr>
        <w:t xml:space="preserve"> Правительства МО от 25.12.2024 N 1684-ПП.</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Мининвестом Московской области и получателем субсидии на основании принятого Мининвестом Московской области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течение 15 рабочих дней со дня принятия Мининвестом Московской области решения о предоставлении субсидии получателю субсидии в соответствии с типовой формой, установленной Министерством экономики и финансов Московской области,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Московской области "Региональный электронный бюджет Московской области" (далее - ГИС РЭБ), функционального блока "Реестр соглашений".</w:t>
      </w:r>
    </w:p>
    <w:p>
      <w:pPr>
        <w:pStyle w:val="0"/>
        <w:spacing w:before="200" w:line-rule="auto"/>
        <w:ind w:firstLine="540"/>
        <w:jc w:val="both"/>
      </w:pPr>
      <w:r>
        <w:rPr>
          <w:sz w:val="20"/>
        </w:rPr>
        <w:t xml:space="preserve">19.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5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20. Получателю субсидии, а также иным юридическим лицам, получающим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5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2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о возможности осуществления получателем субсидии расходов, источником финансового обеспечения которых являются не использованные в отчетном финансовом году остатки субсидии,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запрет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spacing w:before="200" w:line-rule="auto"/>
        <w:ind w:firstLine="540"/>
        <w:jc w:val="both"/>
      </w:pPr>
      <w:r>
        <w:rPr>
          <w:sz w:val="20"/>
        </w:rPr>
        <w:t xml:space="preserve">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23. Результатом предоставления субсидии является количество мероприятий в Российской Федерации и за рубежом, организованных и (или) проведенных и (или) в которых организовано участие делегаций Московской области в году предоставления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24. Перечисление субсидии осуществляется в течение 10 календарных дней с даты заключения Соглашения.</w:t>
      </w:r>
    </w:p>
    <w:p>
      <w:pPr>
        <w:pStyle w:val="0"/>
        <w:spacing w:before="200" w:line-rule="auto"/>
        <w:ind w:firstLine="540"/>
        <w:jc w:val="both"/>
      </w:pPr>
      <w:r>
        <w:rPr>
          <w:sz w:val="20"/>
        </w:rPr>
        <w:t xml:space="preserve">25. Субсидия подлежит перечислению на расчетный счет, открытый получателю субсидии в кредитной организации, указанный в Соглашении.</w:t>
      </w:r>
    </w:p>
    <w:bookmarkStart w:id="7363" w:name="P7363"/>
    <w:bookmarkEnd w:id="7363"/>
    <w:p>
      <w:pPr>
        <w:pStyle w:val="0"/>
        <w:spacing w:before="200" w:line-rule="auto"/>
        <w:ind w:firstLine="540"/>
        <w:jc w:val="both"/>
      </w:pPr>
      <w:r>
        <w:rPr>
          <w:sz w:val="20"/>
        </w:rPr>
        <w:t xml:space="preserve">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w:t>
      </w:r>
      <w:hyperlink w:history="0" w:anchor="P7364"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пункте 5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5.6 Подпрограммы 1 государственной программы.">
        <w:r>
          <w:rPr>
            <w:sz w:val="20"/>
            <w:color w:val="0000ff"/>
          </w:rPr>
          <w:t xml:space="preserve">абзацем вторым</w:t>
        </w:r>
      </w:hyperlink>
      <w:r>
        <w:rPr>
          <w:sz w:val="20"/>
        </w:rPr>
        <w:t xml:space="preserve"> настоящего пункта.</w:t>
      </w:r>
    </w:p>
    <w:bookmarkStart w:id="7364" w:name="P7364"/>
    <w:bookmarkEnd w:id="7364"/>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history="0" w:anchor="P7289" w:tooltip="5. Целью предоставления субсидии является финансовое обеспечение затрат АНО &quot;АИР&quot;, связанных с организацией и (или) проведением мероприятий и (или) организацией участия в них делегаций Московской области, в том числе в целях популяризации деятельности Московской области и развития инвестиционного, промышленного, научно-технического и инновационного потенциала Московской области, малого и среднего предпринимательства, организации внешних связей и выставочной деятельности.">
        <w:r>
          <w:rPr>
            <w:sz w:val="20"/>
            <w:color w:val="0000ff"/>
          </w:rPr>
          <w:t xml:space="preserve">пункте 5</w:t>
        </w:r>
      </w:hyperlink>
      <w:r>
        <w:rPr>
          <w:sz w:val="20"/>
        </w:rPr>
        <w:t xml:space="preserve">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bookmarkStart w:id="7368" w:name="P7368"/>
    <w:bookmarkEnd w:id="7368"/>
    <w:p>
      <w:pPr>
        <w:pStyle w:val="0"/>
        <w:ind w:firstLine="540"/>
        <w:jc w:val="both"/>
      </w:pPr>
      <w:r>
        <w:rPr>
          <w:sz w:val="20"/>
        </w:rPr>
        <w:t xml:space="preserve">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(решение комиссии АНО "АИР" по закупке, договор на выполнение работ (оказание услуг), техническое задание на мероприятие, акт выполненных работ (оказанных услуг), смета расходов, отчет о проведении мероприятия, счет на оплату, платежные документы), представляются получателем субсидии в Мининвест Московской области ежеквартально до 5-го рабочего дня месяца, следующего за отчетным кварталом, а по результатам года - не позднее 15 числа месяца, следующего за отчетным годом.</w:t>
      </w:r>
    </w:p>
    <w:p>
      <w:pPr>
        <w:pStyle w:val="0"/>
        <w:spacing w:before="200" w:line-rule="auto"/>
        <w:ind w:firstLine="540"/>
        <w:jc w:val="both"/>
      </w:pPr>
      <w:r>
        <w:rPr>
          <w:sz w:val="20"/>
        </w:rPr>
        <w:t xml:space="preserve">Отчеты представляются получателем субсидий в ГИС РЭБ при наличии соответствующей технической и функциональной возможности системы, а в случае ее отсутствия - посредством МСЭД.</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28. Проверка и принятие отчетности, представляемой в соответствии с </w:t>
      </w:r>
      <w:hyperlink w:history="0" w:anchor="P7368" w:tooltip="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решение комиссии АНО &quot;АИР&quot; по закупке, договор на выполнение работ (оказание услуг), техническое задание на мероприятие, акт выполненных работ (оказанных услуг), смета расходов, отчет о проведении мероприятия, счет на оплату, платежные документы), представляются получателем...">
        <w:r>
          <w:rPr>
            <w:sz w:val="20"/>
            <w:color w:val="0000ff"/>
          </w:rPr>
          <w:t xml:space="preserve">пунктом 27</w:t>
        </w:r>
      </w:hyperlink>
      <w:r>
        <w:rPr>
          <w:sz w:val="20"/>
        </w:rPr>
        <w:t xml:space="preserve"> Порядка, осуществляется Мининвестом Московской области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p>
      <w:pPr>
        <w:pStyle w:val="0"/>
        <w:spacing w:before="200" w:line-rule="auto"/>
        <w:ind w:firstLine="540"/>
        <w:jc w:val="both"/>
      </w:pPr>
      <w:r>
        <w:rPr>
          <w:sz w:val="20"/>
        </w:rPr>
        <w:t xml:space="preserve">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7380" w:tooltip="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30</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7380" w:name="P7380"/>
    <w:bookmarkEnd w:id="7380"/>
    <w:p>
      <w:pPr>
        <w:pStyle w:val="0"/>
        <w:ind w:firstLine="540"/>
        <w:jc w:val="both"/>
      </w:pPr>
      <w:r>
        <w:rPr>
          <w:sz w:val="20"/>
        </w:rPr>
        <w:t xml:space="preserve">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5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использованных с нарушением таких условий,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32. В случае недостижения значений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20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в размере, рассчитанном по формуле:</w:t>
      </w:r>
    </w:p>
    <w:p>
      <w:pPr>
        <w:pStyle w:val="0"/>
        <w:jc w:val="both"/>
      </w:pPr>
      <w:r>
        <w:rPr>
          <w:sz w:val="20"/>
        </w:rPr>
      </w:r>
    </w:p>
    <w:p>
      <w:pPr>
        <w:pStyle w:val="0"/>
        <w:jc w:val="center"/>
      </w:pPr>
      <w:r>
        <w:rPr>
          <w:position w:val="-26"/>
        </w:rPr>
        <w:drawing>
          <wp:inline distT="0" distB="0" distL="0" distR="0">
            <wp:extent cx="14573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возв</w:t>
      </w:r>
      <w:r>
        <w:rPr>
          <w:sz w:val="20"/>
        </w:rPr>
        <w:t xml:space="preserve"> - размер субсидии, подлежащей возврату;</w:t>
      </w:r>
    </w:p>
    <w:p>
      <w:pPr>
        <w:pStyle w:val="0"/>
        <w:spacing w:before="200" w:line-rule="auto"/>
        <w:ind w:firstLine="540"/>
        <w:jc w:val="both"/>
      </w:pPr>
      <w:r>
        <w:rPr>
          <w:sz w:val="20"/>
        </w:rPr>
        <w:t xml:space="preserve">S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I - объем фактических расходов по мероприятиям, организованным и (или) проведенным и (или) в которых принято участие делегаций Московской области в отчетном финансовом году;</w:t>
      </w:r>
    </w:p>
    <w:p>
      <w:pPr>
        <w:pStyle w:val="0"/>
        <w:spacing w:before="200" w:line-rule="auto"/>
        <w:ind w:firstLine="540"/>
        <w:jc w:val="both"/>
      </w:pPr>
      <w:r>
        <w:rPr>
          <w:sz w:val="20"/>
        </w:rPr>
        <w:t xml:space="preserve">n - количество мероприятий, организованных и (или) проведенных и (или) в которых принято участие делегаций Московской области в году предоставления субсидии;</w:t>
      </w:r>
    </w:p>
    <w:p>
      <w:pPr>
        <w:pStyle w:val="0"/>
        <w:spacing w:before="200" w:line-rule="auto"/>
        <w:ind w:firstLine="540"/>
        <w:jc w:val="both"/>
      </w:pPr>
      <w:r>
        <w:rPr>
          <w:sz w:val="20"/>
        </w:rPr>
        <w:t xml:space="preserve">k - порядковый номер мероприятия, организованного и (или) проведенного и (или) в котором принято участие делегаций Московской области в году предоставления субсидии.</w:t>
      </w:r>
    </w:p>
    <w:p>
      <w:pPr>
        <w:pStyle w:val="0"/>
        <w:jc w:val="both"/>
      </w:pPr>
      <w:r>
        <w:rPr>
          <w:sz w:val="20"/>
        </w:rPr>
      </w:r>
    </w:p>
    <w:p>
      <w:pPr>
        <w:pStyle w:val="0"/>
        <w:ind w:firstLine="540"/>
        <w:jc w:val="both"/>
      </w:pPr>
      <w:r>
        <w:rPr>
          <w:sz w:val="20"/>
        </w:rPr>
        <w:t xml:space="preserve">При расчете размера субсидии, подлежащей возврату (S</w:t>
      </w:r>
      <w:r>
        <w:rPr>
          <w:sz w:val="20"/>
          <w:vertAlign w:val="subscript"/>
        </w:rPr>
        <w:t xml:space="preserve">возв</w:t>
      </w:r>
      <w:r>
        <w:rPr>
          <w:sz w:val="20"/>
        </w:rPr>
        <w:t xml:space="preserve">), в размере субсидии, предоставленной получателю субсидии в отчетном финансовом году (S), не учитывается размер не использованного в отчетном финансовом году остатка субсидии, подлежащий возврату в бюджет Московской области в соответствии с </w:t>
      </w:r>
      <w:hyperlink w:history="0" w:anchor="P7363" w:tooltip="26.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абзацем вторым настоящего пункта.">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33. В случае неисполнения получателем субсидии требования о возврате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3"/>
        <w:jc w:val="center"/>
      </w:pPr>
      <w:r>
        <w:rPr>
          <w:sz w:val="20"/>
        </w:rPr>
        <w:t xml:space="preserve">5.4.9. Порядок предоставления из бюджета Московской области</w:t>
      </w:r>
    </w:p>
    <w:p>
      <w:pPr>
        <w:pStyle w:val="2"/>
        <w:jc w:val="center"/>
      </w:pPr>
      <w:r>
        <w:rPr>
          <w:sz w:val="20"/>
        </w:rPr>
        <w:t xml:space="preserve">субсидии АНО "АИР" в рамках реализации мероприятия Э2.01</w:t>
      </w:r>
    </w:p>
    <w:p>
      <w:pPr>
        <w:pStyle w:val="2"/>
        <w:jc w:val="center"/>
      </w:pPr>
      <w:r>
        <w:rPr>
          <w:sz w:val="20"/>
        </w:rPr>
        <w:t xml:space="preserve">"Государственная поддержка субъектов Российской Федерации</w:t>
      </w:r>
    </w:p>
    <w:p>
      <w:pPr>
        <w:pStyle w:val="2"/>
        <w:jc w:val="center"/>
      </w:pPr>
      <w:r>
        <w:rPr>
          <w:sz w:val="20"/>
        </w:rPr>
        <w:t xml:space="preserve">в целях достижения результатов федерального проекта</w:t>
      </w:r>
    </w:p>
    <w:p>
      <w:pPr>
        <w:pStyle w:val="2"/>
        <w:jc w:val="center"/>
      </w:pPr>
      <w:r>
        <w:rPr>
          <w:sz w:val="20"/>
        </w:rPr>
        <w:t xml:space="preserve">"Производительность труда" (Обеспечение деятельности</w:t>
      </w:r>
    </w:p>
    <w:p>
      <w:pPr>
        <w:pStyle w:val="2"/>
        <w:jc w:val="center"/>
      </w:pPr>
      <w:r>
        <w:rPr>
          <w:sz w:val="20"/>
        </w:rPr>
        <w:t xml:space="preserve">автономной некоммерческой организации "Агентство</w:t>
      </w:r>
    </w:p>
    <w:p>
      <w:pPr>
        <w:pStyle w:val="2"/>
        <w:jc w:val="center"/>
      </w:pPr>
      <w:r>
        <w:rPr>
          <w:sz w:val="20"/>
        </w:rPr>
        <w:t xml:space="preserve">инвестиционного развития Московской области" в целях</w:t>
      </w:r>
    </w:p>
    <w:p>
      <w:pPr>
        <w:pStyle w:val="2"/>
        <w:jc w:val="center"/>
      </w:pPr>
      <w:r>
        <w:rPr>
          <w:sz w:val="20"/>
        </w:rPr>
        <w:t xml:space="preserve">достижения результатов федерального проекта</w:t>
      </w:r>
    </w:p>
    <w:p>
      <w:pPr>
        <w:pStyle w:val="2"/>
        <w:jc w:val="center"/>
      </w:pPr>
      <w:r>
        <w:rPr>
          <w:sz w:val="20"/>
        </w:rPr>
        <w:t xml:space="preserve">"Производительность труда")"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(введен </w:t>
      </w:r>
      <w:hyperlink w:history="0" r:id="rId525"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АНО "АИР" в рамках реализации </w:t>
      </w:r>
      <w:hyperlink w:history="0" w:anchor="P2655" w:tooltip="Мероприятие Э2.01. Государственная поддержка субъектов Российской Федерации в целях достижения результатов федерального проекта &quot;Производительность труда&quot; (Обеспечение деятельности автономной некоммерческой организации &quot;Агентство инвестиционного развития Московской области&quot; в целях достижения результатов федерального проекта &quot;Производительность труда&quot;)">
        <w:r>
          <w:rPr>
            <w:sz w:val="20"/>
            <w:color w:val="0000ff"/>
          </w:rPr>
          <w:t xml:space="preserve">мероприятия Э2.01</w:t>
        </w:r>
      </w:hyperlink>
      <w:r>
        <w:rPr>
          <w:sz w:val="20"/>
        </w:rPr>
        <w:t xml:space="preserve"> "Государственная поддержка субъектов Российской Федерации в целях достижения результатов федерального проекта "Производительность труда" (Обеспечение деятельности автономной некоммерческой организации "Агентство инвестиционного развития Московской области" в целях достижения результатов федерального проекта "Производительность труда")" Подпрограммы 1 государственной программы разработан в соответствии со </w:t>
      </w:r>
      <w:hyperlink w:history="0" r:id="rId5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52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Государственной </w:t>
      </w:r>
      <w:hyperlink w:history="0" r:id="rId528" w:tooltip="Постановление Правительства РФ от 15.04.2014 N 316 (ред. от 17.12.2024) &quot;Об утверждении государственной программы Российской Федерации &quot;Экономическое развитие и инновационная экономика&quot; (с изм. и доп., вступ. в силу с 01.01.2025) {КонсультантПлюс}">
        <w:r>
          <w:rPr>
            <w:sz w:val="20"/>
            <w:color w:val="0000ff"/>
          </w:rPr>
          <w:t xml:space="preserve">программой</w:t>
        </w:r>
      </w:hyperlink>
      <w:r>
        <w:rPr>
          <w:sz w:val="20"/>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(далее - постановление N 316),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фабрика процессов - площадка,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7424" w:tooltip="5. Целью предоставления субсидии является финансовое обеспечение затрат АНО &quot;АИР&quot;, возникающих при реализации в рамках регионального проекта &quot;Производительность труда&quot; (далее - региональный проект), обеспечивающего достижение целей, показателей и результатов федерального проекта &quot;Производительность труда&quot;, входящего в состав национального проекта &quot;Эффективная и конкурентная экономика&quot;, в соответствии с постановлением N 316 следующих мероприятий:">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Источником финансового обеспечения субсидии являются средства субсидии на государственную поддержку субъектов Российской Федерации в целях достижения результатов федерального проекта "Производительность труда", предоставляемые из федерального бюджета, и средства бюджета Московской области, предусматриваемые в соответствии с соглашением о предоставлении бюджету Московской области субсидии из федерального бюджета.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7424" w:name="P7424"/>
    <w:bookmarkEnd w:id="7424"/>
    <w:p>
      <w:pPr>
        <w:pStyle w:val="0"/>
        <w:spacing w:before="200" w:line-rule="auto"/>
        <w:ind w:firstLine="540"/>
        <w:jc w:val="both"/>
      </w:pPr>
      <w:r>
        <w:rPr>
          <w:sz w:val="20"/>
        </w:rPr>
        <w:t xml:space="preserve">5. Целью предоставления субсидии является финансовое обеспечение затрат АНО "АИР", возникающих при реализации в рамках регионального проекта "Производительность труда" (далее - региональный проект), обеспечивающего достижение целей, показателей и результатов федерального проекта "Производительность труда", входящего в состав национального проекта "Эффективная и конкурентная экономика", в соответствии с </w:t>
      </w:r>
      <w:hyperlink w:history="0" r:id="rId529" w:tooltip="Постановление Правительства РФ от 15.04.2014 N 316 (ред. от 17.12.2024) &quot;Об утверждении государственной программы Российской Федерации &quot;Экономическое развитие и инновационная экономика&quot; (с изм. и доп., вступ. в силу с 01.01.2025) {КонсультантПлюс}">
        <w:r>
          <w:rPr>
            <w:sz w:val="20"/>
            <w:color w:val="0000ff"/>
          </w:rPr>
          <w:t xml:space="preserve">постановлением</w:t>
        </w:r>
      </w:hyperlink>
      <w:r>
        <w:rPr>
          <w:sz w:val="20"/>
        </w:rPr>
        <w:t xml:space="preserve"> N 316 следующих мероприятий:</w:t>
      </w:r>
    </w:p>
    <w:p>
      <w:pPr>
        <w:pStyle w:val="0"/>
        <w:spacing w:before="200" w:line-rule="auto"/>
        <w:ind w:firstLine="540"/>
        <w:jc w:val="both"/>
      </w:pPr>
      <w:r>
        <w:rPr>
          <w:sz w:val="20"/>
        </w:rPr>
        <w:t xml:space="preserve">1) обеспечение деятельности регионального центра компетенций в сфере производительности труда;</w:t>
      </w:r>
    </w:p>
    <w:p>
      <w:pPr>
        <w:pStyle w:val="0"/>
        <w:spacing w:before="200" w:line-rule="auto"/>
        <w:ind w:firstLine="540"/>
        <w:jc w:val="both"/>
      </w:pPr>
      <w:r>
        <w:rPr>
          <w:sz w:val="20"/>
        </w:rPr>
        <w:t xml:space="preserve">2) обеспечение деятельности фабрики процессов.</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АНО "АИР"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7429" w:name="P7429"/>
    <w:bookmarkEnd w:id="7429"/>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530"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7432" w:name="P7432"/>
    <w:bookmarkEnd w:id="7432"/>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bookmarkStart w:id="7434" w:name="P7434"/>
    <w:bookmarkEnd w:id="7434"/>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53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7435" w:name="P7435"/>
    <w:bookmarkEnd w:id="7435"/>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7424" w:tooltip="5. Целью предоставления субсидии является финансовое обеспечение затрат АНО &quot;АИР&quot;, возникающих при реализации в рамках регионального проекта &quot;Производительность труда&quot; (далее - региональный проект), обеспечивающего достижение целей, показателей и результатов федерального проекта &quot;Производительность труда&quot;, входящего в состав национального проекта &quot;Эффективная и конкурентная экономика&quot;, в соответствии с постановлением N 316 следующих мероприятий:">
        <w:r>
          <w:rPr>
            <w:sz w:val="20"/>
            <w:color w:val="0000ff"/>
          </w:rPr>
          <w:t xml:space="preserve">пунктом 5</w:t>
        </w:r>
      </w:hyperlink>
      <w:r>
        <w:rPr>
          <w:sz w:val="20"/>
        </w:rPr>
        <w:t xml:space="preserve"> Порядка;</w:t>
      </w:r>
    </w:p>
    <w:bookmarkStart w:id="7436" w:name="P7436"/>
    <w:bookmarkEnd w:id="7436"/>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532"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7437" w:name="P7437"/>
    <w:bookmarkEnd w:id="7437"/>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7438" w:name="P7438"/>
    <w:bookmarkEnd w:id="7438"/>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bookmarkStart w:id="7439" w:name="P7439"/>
    <w:bookmarkEnd w:id="7439"/>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7440" w:name="P7440"/>
    <w:bookmarkEnd w:id="7440"/>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7429"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в срок не позднее 1 марта соответствующего финансового года представляет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копия положений из устава получателя субсидии, подтверждающих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справка, подписанная руководителем либо иным уполномоченным лицом, а также главным бухгалтером (при наличии) получателя субсидии, подтверждающая соответствие требованиям, предусмотренным </w:t>
      </w:r>
      <w:hyperlink w:history="0" w:anchor="P7435"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абзацами пятым</w:t>
        </w:r>
      </w:hyperlink>
      <w:r>
        <w:rPr>
          <w:sz w:val="20"/>
        </w:rPr>
        <w:t xml:space="preserve">, </w:t>
      </w:r>
      <w:hyperlink w:history="0" w:anchor="P7437"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седьмым подпункта 2 пункта 8</w:t>
        </w:r>
      </w:hyperlink>
      <w:r>
        <w:rPr>
          <w:sz w:val="20"/>
        </w:rPr>
        <w:t xml:space="preserve"> Порядка;</w:t>
      </w:r>
    </w:p>
    <w:p>
      <w:pPr>
        <w:pStyle w:val="0"/>
        <w:spacing w:before="200" w:line-rule="auto"/>
        <w:ind w:firstLine="540"/>
        <w:jc w:val="both"/>
      </w:pPr>
      <w:r>
        <w:rPr>
          <w:sz w:val="20"/>
        </w:rPr>
        <w:t xml:space="preserve">справка, подписанная руководителем либо иным уполномоченным лицом получателя субсидии, подтверждающая соответствие требованиям, предусмотренным </w:t>
      </w:r>
      <w:hyperlink w:history="0" w:anchor="P7432"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абзацами вторым</w:t>
        </w:r>
      </w:hyperlink>
      <w:r>
        <w:rPr>
          <w:sz w:val="20"/>
        </w:rPr>
        <w:t xml:space="preserve"> - </w:t>
      </w:r>
      <w:hyperlink w:history="0" w:anchor="P7434" w:tooltip="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r>
          <w:rPr>
            <w:sz w:val="20"/>
            <w:color w:val="0000ff"/>
          </w:rPr>
          <w:t xml:space="preserve">четвертым</w:t>
        </w:r>
      </w:hyperlink>
      <w:r>
        <w:rPr>
          <w:sz w:val="20"/>
        </w:rPr>
        <w:t xml:space="preserve">, </w:t>
      </w:r>
      <w:hyperlink w:history="0" w:anchor="P7436"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шестым</w:t>
        </w:r>
      </w:hyperlink>
      <w:r>
        <w:rPr>
          <w:sz w:val="20"/>
        </w:rPr>
        <w:t xml:space="preserve">, </w:t>
      </w:r>
      <w:hyperlink w:history="0" w:anchor="P7438" w:tooltip="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восьмым подпункта 2 пункта 8</w:t>
        </w:r>
      </w:hyperlink>
      <w:r>
        <w:rPr>
          <w:sz w:val="20"/>
        </w:rPr>
        <w:t xml:space="preserve"> Порядка;</w:t>
      </w:r>
    </w:p>
    <w:p>
      <w:pPr>
        <w:pStyle w:val="0"/>
        <w:spacing w:before="200" w:line-rule="auto"/>
        <w:ind w:firstLine="540"/>
        <w:jc w:val="both"/>
      </w:pPr>
      <w:r>
        <w:rPr>
          <w:sz w:val="20"/>
        </w:rPr>
        <w:t xml:space="preserve">справка об отсутствии сведений в РДЛ о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получателя субсидии, подтверждающая соответствие требованию, предусмотренному </w:t>
      </w:r>
      <w:hyperlink w:history="0" w:anchor="P7439" w:tooltip="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абзацем девятым подпункта 2 пункта 8</w:t>
        </w:r>
      </w:hyperlink>
      <w:r>
        <w:rPr>
          <w:sz w:val="20"/>
        </w:rPr>
        <w:t xml:space="preserve"> Порядка;</w:t>
      </w:r>
    </w:p>
    <w:p>
      <w:pPr>
        <w:pStyle w:val="0"/>
        <w:spacing w:before="200" w:line-rule="auto"/>
        <w:ind w:firstLine="540"/>
        <w:jc w:val="both"/>
      </w:pPr>
      <w:r>
        <w:rPr>
          <w:sz w:val="20"/>
        </w:rPr>
        <w:t xml:space="preserve">отчет о достижении результата предоставления субсидии за год, предшествующий году предоставления субсидии (в первый год получения субсидии не требуется);</w:t>
      </w:r>
    </w:p>
    <w:p>
      <w:pPr>
        <w:pStyle w:val="0"/>
        <w:spacing w:before="200" w:line-rule="auto"/>
        <w:ind w:firstLine="540"/>
        <w:jc w:val="both"/>
      </w:pPr>
      <w:r>
        <w:rPr>
          <w:sz w:val="20"/>
        </w:rPr>
        <w:t xml:space="preserve">план направления расходов, источником финансового обеспечения которых является субсидия, соответствующих цели предоставления субсидии, на текущий финансовый год, содержащий обоснование указанных расходов.</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7458" w:name="P7458"/>
    <w:bookmarkEnd w:id="7458"/>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10 рабочих дней с даты поступления заявки рассматривает документы, указанные в </w:t>
      </w:r>
      <w:hyperlink w:history="0" w:anchor="P7440" w:tooltip="9. Получатель субсидии в подтверждение соответствия требованиям, указанным в пункте 8 Порядка, в срок не позднее 1 марта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7429"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bookmarkStart w:id="7462" w:name="P7462"/>
    <w:bookmarkEnd w:id="7462"/>
    <w:p>
      <w:pPr>
        <w:pStyle w:val="0"/>
        <w:spacing w:before="200" w:line-rule="auto"/>
        <w:ind w:firstLine="540"/>
        <w:jc w:val="both"/>
      </w:pPr>
      <w:r>
        <w:rPr>
          <w:sz w:val="20"/>
        </w:rPr>
        <w:t xml:space="preserve">13. По результатам рассмотрения документов, указанных в </w:t>
      </w:r>
      <w:hyperlink w:history="0" w:anchor="P7440" w:tooltip="9. Получатель субсидии в подтверждение соответствия требованиям, указанным в пункте 8 Порядка, в срок не позднее 1 марта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7458"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распорядительным актом Мининвеста Московской области.</w:t>
      </w:r>
    </w:p>
    <w:p>
      <w:pPr>
        <w:pStyle w:val="0"/>
        <w:spacing w:before="200" w:line-rule="auto"/>
        <w:ind w:firstLine="540"/>
        <w:jc w:val="both"/>
      </w:pPr>
      <w:r>
        <w:rPr>
          <w:sz w:val="20"/>
        </w:rPr>
        <w:t xml:space="preserve">Принятое решение Мининвеста Московской области о предоставлении или об отказе в предоставлении субсидии размещается на официальном сайте Мининвеста Московской области в информационно-телекоммуникационной сети "Интернет".</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7440" w:tooltip="9. Получатель субсидии в подтверждение соответствия требованиям, указанным в пункте 8 Порядка, в срок не позднее 1 марта соответствующего финансового года представляет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1) оплата труда и начисления на выплаты по оплате труда;</w:t>
      </w:r>
    </w:p>
    <w:p>
      <w:pPr>
        <w:pStyle w:val="0"/>
        <w:spacing w:before="200" w:line-rule="auto"/>
        <w:ind w:firstLine="540"/>
        <w:jc w:val="both"/>
      </w:pPr>
      <w:r>
        <w:rPr>
          <w:sz w:val="20"/>
        </w:rPr>
        <w:t xml:space="preserve">2) оплата служебных командировок;</w:t>
      </w:r>
    </w:p>
    <w:p>
      <w:pPr>
        <w:pStyle w:val="0"/>
        <w:spacing w:before="200" w:line-rule="auto"/>
        <w:ind w:firstLine="540"/>
        <w:jc w:val="both"/>
      </w:pPr>
      <w:r>
        <w:rPr>
          <w:sz w:val="20"/>
        </w:rPr>
        <w:t xml:space="preserve">3) оплата услуг связи и Интернета;</w:t>
      </w:r>
    </w:p>
    <w:p>
      <w:pPr>
        <w:pStyle w:val="0"/>
        <w:spacing w:before="200" w:line-rule="auto"/>
        <w:ind w:firstLine="540"/>
        <w:jc w:val="both"/>
      </w:pPr>
      <w:r>
        <w:rPr>
          <w:sz w:val="20"/>
        </w:rPr>
        <w:t xml:space="preserve">4) оплата коммунальных услуг;</w:t>
      </w:r>
    </w:p>
    <w:p>
      <w:pPr>
        <w:pStyle w:val="0"/>
        <w:spacing w:before="200" w:line-rule="auto"/>
        <w:ind w:firstLine="540"/>
        <w:jc w:val="both"/>
      </w:pPr>
      <w:r>
        <w:rPr>
          <w:sz w:val="20"/>
        </w:rPr>
        <w:t xml:space="preserve">5) содержание имущества;</w:t>
      </w:r>
    </w:p>
    <w:p>
      <w:pPr>
        <w:pStyle w:val="0"/>
        <w:spacing w:before="200" w:line-rule="auto"/>
        <w:ind w:firstLine="540"/>
        <w:jc w:val="both"/>
      </w:pPr>
      <w:r>
        <w:rPr>
          <w:sz w:val="20"/>
        </w:rPr>
        <w:t xml:space="preserve">6) аренда помещений;</w:t>
      </w:r>
    </w:p>
    <w:p>
      <w:pPr>
        <w:pStyle w:val="0"/>
        <w:spacing w:before="200" w:line-rule="auto"/>
        <w:ind w:firstLine="540"/>
        <w:jc w:val="both"/>
      </w:pPr>
      <w:r>
        <w:rPr>
          <w:sz w:val="20"/>
        </w:rPr>
        <w:t xml:space="preserve">7) расходы на увеличение стоимости нематериальных активов, материальных запасов в целях достижения результата предоставления субсидии;</w:t>
      </w:r>
    </w:p>
    <w:p>
      <w:pPr>
        <w:pStyle w:val="0"/>
        <w:spacing w:before="200" w:line-rule="auto"/>
        <w:ind w:firstLine="540"/>
        <w:jc w:val="both"/>
      </w:pPr>
      <w:r>
        <w:rPr>
          <w:sz w:val="20"/>
        </w:rPr>
        <w:t xml:space="preserve">8) уплата налогов, сборов и иных платежей в бюджеты бюджетной системы Российской Федерации;</w:t>
      </w:r>
    </w:p>
    <w:p>
      <w:pPr>
        <w:pStyle w:val="0"/>
        <w:spacing w:before="200" w:line-rule="auto"/>
        <w:ind w:firstLine="540"/>
        <w:jc w:val="both"/>
      </w:pPr>
      <w:r>
        <w:rPr>
          <w:sz w:val="20"/>
        </w:rPr>
        <w:t xml:space="preserve">9) закупка работ, услуг в целях достижения результата предоставления субсидии.</w:t>
      </w:r>
    </w:p>
    <w:p>
      <w:pPr>
        <w:pStyle w:val="0"/>
        <w:spacing w:before="200" w:line-rule="auto"/>
        <w:ind w:firstLine="540"/>
        <w:jc w:val="both"/>
      </w:pPr>
      <w:r>
        <w:rPr>
          <w:sz w:val="20"/>
        </w:rPr>
        <w:t xml:space="preserve">17. Размер субсидии, предоставляемый получателю субсидии, составляет в 2025 году 120892837 (сто двадцать миллионов восемьсот девяносто две тысячи восемьсот тридцать семь) рублей 84 копейки.</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Мининвестом Московской области и получателем субсидии на основании принятого Мининвестом Московской области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pPr>
        <w:pStyle w:val="0"/>
        <w:spacing w:before="200" w:line-rule="auto"/>
        <w:ind w:firstLine="540"/>
        <w:jc w:val="both"/>
      </w:pPr>
      <w:r>
        <w:rPr>
          <w:sz w:val="20"/>
        </w:rPr>
        <w:t xml:space="preserve">Дополнительные соглашения к Соглашению, предусматривающие внесение в него изменений или его расторжение, заключаются Мининвестом Московской области с получателем субсидии по форме, установленной Министерством финансов Российской Федерации.</w:t>
      </w:r>
    </w:p>
    <w:p>
      <w:pPr>
        <w:pStyle w:val="0"/>
        <w:spacing w:before="200" w:line-rule="auto"/>
        <w:ind w:firstLine="540"/>
        <w:jc w:val="both"/>
      </w:pPr>
      <w:r>
        <w:rPr>
          <w:sz w:val="20"/>
        </w:rPr>
        <w:t xml:space="preserve">Условием заключения Соглашения является наличие решения о предоставлении субсидии, указанного в </w:t>
      </w:r>
      <w:hyperlink w:history="0" w:anchor="P7462" w:tooltip="13. По результатам рассмотрения документов, указанных в пункте 9 Порядка, и проведения проверок в соответствии с пунктом 11 Порядка Мининвест Московской области принимает решение о предоставлении субсидии или об отказе в предоставлении субсидии, которое оформляется распорядительным актом Мининвеста Московской области.">
        <w:r>
          <w:rPr>
            <w:sz w:val="20"/>
            <w:color w:val="0000ff"/>
          </w:rPr>
          <w:t xml:space="preserve">пункте 13</w:t>
        </w:r>
      </w:hyperlink>
      <w:r>
        <w:rPr>
          <w:sz w:val="20"/>
        </w:rPr>
        <w:t xml:space="preserve"> Порядка, и соответствие получателя субсидии требованиям, установленным </w:t>
      </w:r>
      <w:hyperlink w:history="0" w:anchor="P7429" w:tooltip="8. Требования, которым должен соответствовать получатель субсиди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19. Мининвест Московской области в течение 10 рабочих дней со дня, следующего за днем принятия решения о предоставлении субсидии, формирует Соглашения в форме электронного документа в системе "Электронный бюджет".</w:t>
      </w:r>
    </w:p>
    <w:bookmarkStart w:id="7488" w:name="P7488"/>
    <w:bookmarkEnd w:id="7488"/>
    <w:p>
      <w:pPr>
        <w:pStyle w:val="0"/>
        <w:spacing w:before="200" w:line-rule="auto"/>
        <w:ind w:firstLine="540"/>
        <w:jc w:val="both"/>
      </w:pPr>
      <w:r>
        <w:rPr>
          <w:sz w:val="20"/>
        </w:rPr>
        <w:t xml:space="preserve">Получатели субсидий в течение 2 рабочих дней со дня размещения Соглашения в системе "Электронный бюджет" рассматривают, подписывают проект Соглашения в системе "Электронный бюджет"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получателями субсидий Соглашения в системе "Электронный бюджет" в срок, установленный </w:t>
      </w:r>
      <w:hyperlink w:history="0" w:anchor="P7488" w:tooltip="Получатели субсидий в течение 2 рабочих дней со дня размещения Соглашения в системе &quot;Электронный бюджет&quot; рассматривают, подписывают проект Соглашения в системе &quot;Электронный бюджет&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субсидия не предоставляется, о чем получатель субсидии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"Электронный бюджет" в срок, установленный </w:t>
      </w:r>
      <w:hyperlink w:history="0" w:anchor="P7488" w:tooltip="Получатели субсидий в течение 2 рабочих дней со дня размещения Соглашения в системе &quot;Электронный бюджет&quot; рассматривают, подписывают проект Соглашения в системе &quot;Электронный бюджет&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Мининвестом Московской области в течение 6 рабочих дней со дня направления получателю субсидии уведомления о размещении Соглашения в системе "Электронный бюджет".</w:t>
      </w:r>
    </w:p>
    <w:p>
      <w:pPr>
        <w:pStyle w:val="0"/>
        <w:spacing w:before="200" w:line-rule="auto"/>
        <w:ind w:firstLine="540"/>
        <w:jc w:val="both"/>
      </w:pPr>
      <w:r>
        <w:rPr>
          <w:sz w:val="20"/>
        </w:rPr>
        <w:t xml:space="preserve">20.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5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21. Получателю субсидии, а также иным юридическим лицам, получающим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путем оказания услуг, определенных уставными документами получателя субсидии, иных операций, совершаемых в рамках деятельности получателя субсидии за пределами Российской Федерации, либо требующих оплаты услуг иностранных субъектов предпринимательства (органов и/или организаций), соответствующих целям его деятельности.</w:t>
      </w:r>
    </w:p>
    <w:p>
      <w:pPr>
        <w:pStyle w:val="0"/>
        <w:spacing w:before="200" w:line-rule="auto"/>
        <w:ind w:firstLine="540"/>
        <w:jc w:val="both"/>
      </w:pPr>
      <w:r>
        <w:rPr>
          <w:sz w:val="20"/>
        </w:rPr>
        <w:t xml:space="preserve">22.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5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получателями субсидий,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 путем оказания услуг, определенных уставными документами получателя субсидии, иных операций, совершаемых в рамках деятельности получателя субсидии за пределами Российской Федерации, либо требующих оплаты услуг иностранных субъектов предпринимательства (органов и/или организаций), соответствующих целям его деятельности;</w:t>
      </w:r>
    </w:p>
    <w:p>
      <w:pPr>
        <w:pStyle w:val="0"/>
        <w:spacing w:before="200" w:line-rule="auto"/>
        <w:ind w:firstLine="540"/>
        <w:jc w:val="both"/>
      </w:pPr>
      <w:r>
        <w:rPr>
          <w:sz w:val="20"/>
        </w:rPr>
        <w:t xml:space="preserve">о возможности осуществления АНО "АИР" расходов, источником финансового обеспечения которых являются не использованные в отчетном финансовом году остатки субсидии, при принятии Мининвестом Московской области по согласованию с Министерством экономики и финансов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spacing w:before="200" w:line-rule="auto"/>
        <w:ind w:firstLine="540"/>
        <w:jc w:val="both"/>
      </w:pPr>
      <w:r>
        <w:rPr>
          <w:sz w:val="20"/>
        </w:rPr>
        <w:t xml:space="preserve">о запрете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w:t>
      </w:r>
    </w:p>
    <w:p>
      <w:pPr>
        <w:pStyle w:val="0"/>
        <w:spacing w:before="200" w:line-rule="auto"/>
        <w:ind w:firstLine="540"/>
        <w:jc w:val="both"/>
      </w:pPr>
      <w:r>
        <w:rPr>
          <w:sz w:val="20"/>
        </w:rPr>
        <w:t xml:space="preserve">23.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24. Результатом предоставления субсидии является результат, установленный в региональном проекте, - реализованные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 - участниках федерального проекта.</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bookmarkStart w:id="7503" w:name="P7503"/>
    <w:bookmarkEnd w:id="7503"/>
    <w:p>
      <w:pPr>
        <w:pStyle w:val="0"/>
        <w:spacing w:before="200" w:line-rule="auto"/>
        <w:ind w:firstLine="540"/>
        <w:jc w:val="both"/>
      </w:pPr>
      <w:r>
        <w:rPr>
          <w:sz w:val="20"/>
        </w:rPr>
        <w:t xml:space="preserve">25. Перечисление субсидии осуществляется не более одного раза в квартал на основании представленной получателем субсидии заявки на перечисление субсидии в свободной форме и финансово-экономического обоснования и (или) подтверждающих документов (штатное расписание, расчет расходов на выплаты персоналу, а также при наличии: расчета командировочных расходов, копии договоров на поставку товаров, оказание услуг, выполнение работ, копии счетов-оферт, копии счетов на оплату, копии передаточных документов (товарных накладных и (или) универсальных передаточных документов, и (или) актов приема-передачи, и (или) счетов-фактур, и (или) актов выполненных работ (оказанных услуг) при условии соответствия планируемых затрат цели предоставления субсидии.</w:t>
      </w:r>
    </w:p>
    <w:bookmarkStart w:id="7504" w:name="P7504"/>
    <w:bookmarkEnd w:id="7504"/>
    <w:p>
      <w:pPr>
        <w:pStyle w:val="0"/>
        <w:spacing w:before="200" w:line-rule="auto"/>
        <w:ind w:firstLine="540"/>
        <w:jc w:val="both"/>
      </w:pPr>
      <w:r>
        <w:rPr>
          <w:sz w:val="20"/>
        </w:rPr>
        <w:t xml:space="preserve">Мининвест Московской области рассматривает документы, указанные в </w:t>
      </w:r>
      <w:hyperlink w:history="0" w:anchor="P7503" w:tooltip="25. Перечисление субсидии осуществляется не более одного раза в квартал на основании представленной получателем субсидии заявки на перечисление субсидии в свободной форме и финансово-экономического обоснования и (или) подтверждающих документов (штатное расписание, расчет расходов на выплаты персоналу, а также при наличии: расчета командировочных расходов, копии договоров на поставку товаров, оказание услуг, выполнение работ, копии счетов-оферт, копии счетов на оплату, копии передаточных документов (товар...">
        <w:r>
          <w:rPr>
            <w:sz w:val="20"/>
            <w:color w:val="0000ff"/>
          </w:rPr>
          <w:t xml:space="preserve">абзаце первом</w:t>
        </w:r>
      </w:hyperlink>
      <w:r>
        <w:rPr>
          <w:sz w:val="20"/>
        </w:rPr>
        <w:t xml:space="preserve"> настоящего пункта, в течение 7 рабочих дней и принимает решение о перечислении субсидии.</w:t>
      </w:r>
    </w:p>
    <w:p>
      <w:pPr>
        <w:pStyle w:val="0"/>
        <w:spacing w:before="200" w:line-rule="auto"/>
        <w:ind w:firstLine="540"/>
        <w:jc w:val="both"/>
      </w:pPr>
      <w:r>
        <w:rPr>
          <w:sz w:val="20"/>
        </w:rPr>
        <w:t xml:space="preserve">Основанием для отказа в перечислении субсидии является несоответствие денежных обязательств и (или) финансово-экономического обоснования планируемых затрат, указанных в документах, цели предоставления субсидии и (или) несоответствие суммы, указанной в заявке на перечисление субсидии, сумме денежных обязательств и (или) сумме планируемых расходов, указанных в финансово-экономическом обосновании, подтвержденных документами и соответствующих цели предоставления субсидии.</w:t>
      </w:r>
    </w:p>
    <w:p>
      <w:pPr>
        <w:pStyle w:val="0"/>
        <w:spacing w:before="200" w:line-rule="auto"/>
        <w:ind w:firstLine="540"/>
        <w:jc w:val="both"/>
      </w:pPr>
      <w:r>
        <w:rPr>
          <w:sz w:val="20"/>
        </w:rPr>
        <w:t xml:space="preserve">Мининвест Московской области перечисляет субсидию в срок не более 20 календарных дней с даты принятия решения в соответствии с </w:t>
      </w:r>
      <w:hyperlink w:history="0" w:anchor="P7504" w:tooltip="Мининвест Московской области рассматривает документы, указанные в абзаце первом настоящего пункта, в течение 7 рабочих дней и принимает решение о перечислении субсидии.">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26. Субсидия подлежит перечислению на расчетный счет, открытый получателем субсидии в кредитной организации, указанный в Соглашении.</w:t>
      </w:r>
    </w:p>
    <w:p>
      <w:pPr>
        <w:pStyle w:val="0"/>
        <w:spacing w:before="200" w:line-rule="auto"/>
        <w:ind w:firstLine="540"/>
        <w:jc w:val="both"/>
      </w:pPr>
      <w:r>
        <w:rPr>
          <w:sz w:val="20"/>
        </w:rPr>
        <w:t xml:space="preserve">27. Получатель субсидии осуществляет возврат не использованного в отчетном финансовом году остатка субсидии в бюджет Московской области в течение первых 10 рабочих дней года, следующего за годом предоставления субсидии, за исключением случая, установленного </w:t>
      </w:r>
      <w:hyperlink w:history="0" w:anchor="P7509"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пункте 5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5.6 Подпрограммы 1 государственной программы.">
        <w:r>
          <w:rPr>
            <w:sz w:val="20"/>
            <w:color w:val="0000ff"/>
          </w:rPr>
          <w:t xml:space="preserve">абзацем вторым</w:t>
        </w:r>
      </w:hyperlink>
      <w:r>
        <w:rPr>
          <w:sz w:val="20"/>
        </w:rPr>
        <w:t xml:space="preserve"> настоящего пункта.</w:t>
      </w:r>
    </w:p>
    <w:bookmarkStart w:id="7509" w:name="P7509"/>
    <w:bookmarkEnd w:id="7509"/>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history="0" w:anchor="P7424" w:tooltip="5. Целью предоставления субсидии является финансовое обеспечение затрат АНО &quot;АИР&quot;, возникающих при реализации в рамках регионального проекта &quot;Производительность труда&quot; (далее - региональный проект), обеспечивающего достижение целей, показателей и результатов федерального проекта &quot;Производительность труда&quot;, входящего в состав национального проекта &quot;Эффективная и конкурентная экономика&quot;, в соответствии с постановлением N 316 следующих мероприятий:">
        <w:r>
          <w:rPr>
            <w:sz w:val="20"/>
            <w:color w:val="0000ff"/>
          </w:rPr>
          <w:t xml:space="preserve">пункте 5</w:t>
        </w:r>
      </w:hyperlink>
      <w:r>
        <w:rPr>
          <w:sz w:val="20"/>
        </w:rP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7949" w:tooltip="5.6. Порядок принятия решения о наличии потребности">
        <w:r>
          <w:rPr>
            <w:sz w:val="20"/>
            <w:color w:val="0000ff"/>
          </w:rPr>
          <w:t xml:space="preserve">подразделом 5.6</w:t>
        </w:r>
      </w:hyperlink>
      <w:r>
        <w:rPr>
          <w:sz w:val="20"/>
        </w:rPr>
        <w:t xml:space="preserve"> Подпрограммы 1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bookmarkStart w:id="7513" w:name="P7513"/>
    <w:bookmarkEnd w:id="7513"/>
    <w:p>
      <w:pPr>
        <w:pStyle w:val="0"/>
        <w:ind w:firstLine="540"/>
        <w:jc w:val="both"/>
      </w:pPr>
      <w:r>
        <w:rPr>
          <w:sz w:val="20"/>
        </w:rPr>
        <w:t xml:space="preserve">28.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представляются получателем субсидии в Мининвест Московской области ежеквартально не позднее 5-го рабочего дня месяца, следующего за отчетным кварталом, а по результатам года - не позднее 15 числа месяца, следующего за отчетным годом.</w:t>
      </w:r>
    </w:p>
    <w:p>
      <w:pPr>
        <w:pStyle w:val="0"/>
        <w:spacing w:before="200" w:line-rule="auto"/>
        <w:ind w:firstLine="540"/>
        <w:jc w:val="both"/>
      </w:pPr>
      <w:r>
        <w:rPr>
          <w:sz w:val="20"/>
        </w:rPr>
        <w:t xml:space="preserve">Отчеты, указанные в настоящем пункте, представляются в соответствии с формами, предусмотренными типовыми формами, установленными Министерством финансов Российской Федерации для соглашений, в системе "Электронный бюджет".</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29. Проверка и принятие отчетности, представляемой в соответствии с </w:t>
      </w:r>
      <w:hyperlink w:history="0" w:anchor="P7513" w:tooltip="28.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представляются получателем субсидии в Мининвест Московской области ежеквартально не позднее 5-го рабочего дня месяца, следующего за отчетным кварталом, а по результатам года - не позднее 15 числа месяца, следующего за отчетным годом.">
        <w:r>
          <w:rPr>
            <w:sz w:val="20"/>
            <w:color w:val="0000ff"/>
          </w:rPr>
          <w:t xml:space="preserve">пунктом 28</w:t>
        </w:r>
      </w:hyperlink>
      <w:r>
        <w:rPr>
          <w:sz w:val="20"/>
        </w:rPr>
        <w:t xml:space="preserve"> Порядка, осуществляется Мининвестом Московской области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p>
      <w:pPr>
        <w:pStyle w:val="0"/>
        <w:spacing w:before="200" w:line-rule="auto"/>
        <w:ind w:firstLine="540"/>
        <w:jc w:val="both"/>
      </w:pPr>
      <w:r>
        <w:rPr>
          <w:sz w:val="20"/>
        </w:rPr>
        <w:t xml:space="preserve">30. В случае несоответствия представленной получателем субсидии отчетности требованиям, установленным Порядком, Мининвест Московской области в течение 10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7524" w:tooltip="31.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31</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7524" w:name="P7524"/>
    <w:bookmarkEnd w:id="7524"/>
    <w:p>
      <w:pPr>
        <w:pStyle w:val="0"/>
        <w:ind w:firstLine="540"/>
        <w:jc w:val="both"/>
      </w:pPr>
      <w:r>
        <w:rPr>
          <w:sz w:val="20"/>
        </w:rPr>
        <w:t xml:space="preserve">31.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5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использованных с нарушением таких условий, в бюджет Московской области в течение 30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33. В случае недостижения значений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30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производится в размере, рассчитанном пропорционально недостигнутому значению результата предоставления субсидии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подлежащей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jc w:val="both"/>
      </w:pPr>
      <w:r>
        <w:rPr>
          <w:sz w:val="20"/>
        </w:rPr>
      </w:r>
    </w:p>
    <w:p>
      <w:pPr>
        <w:pStyle w:val="0"/>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ind w:firstLine="540"/>
        <w:jc w:val="both"/>
      </w:pPr>
      <w:r>
        <w:rPr>
          <w:sz w:val="20"/>
        </w:rPr>
        <w:t xml:space="preserve">k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34. В случае неисполнения получателем субсидии требования о возврате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2"/>
        <w:jc w:val="center"/>
      </w:pPr>
      <w:r>
        <w:rPr>
          <w:sz w:val="20"/>
        </w:rPr>
        <w:t xml:space="preserve">5.5. Распределение субсидий и адресный перечень объектов</w:t>
      </w:r>
    </w:p>
    <w:p>
      <w:pPr>
        <w:pStyle w:val="2"/>
        <w:jc w:val="center"/>
      </w:pPr>
      <w:r>
        <w:rPr>
          <w:sz w:val="20"/>
        </w:rPr>
        <w:t xml:space="preserve">муниципальной собственности, имущества, предназначенного</w:t>
      </w:r>
    </w:p>
    <w:p>
      <w:pPr>
        <w:pStyle w:val="2"/>
        <w:jc w:val="center"/>
      </w:pPr>
      <w:r>
        <w:rPr>
          <w:sz w:val="20"/>
        </w:rPr>
        <w:t xml:space="preserve">для решения вопросов местного значения, на которые</w:t>
      </w:r>
    </w:p>
    <w:p>
      <w:pPr>
        <w:pStyle w:val="2"/>
        <w:jc w:val="center"/>
      </w:pPr>
      <w:r>
        <w:rPr>
          <w:sz w:val="20"/>
        </w:rPr>
        <w:t xml:space="preserve">предоставляется субсидия из бюджета Московской области</w:t>
      </w:r>
    </w:p>
    <w:p>
      <w:pPr>
        <w:pStyle w:val="2"/>
        <w:jc w:val="center"/>
      </w:pPr>
      <w:r>
        <w:rPr>
          <w:sz w:val="20"/>
        </w:rPr>
        <w:t xml:space="preserve">бюджетам муниципальных образований Московской области,</w:t>
      </w:r>
    </w:p>
    <w:p>
      <w:pPr>
        <w:pStyle w:val="2"/>
        <w:jc w:val="center"/>
      </w:pPr>
      <w:r>
        <w:rPr>
          <w:sz w:val="20"/>
        </w:rPr>
        <w:t xml:space="preserve">предусмотренная мероприятием 02.01 Подпрограммы 1</w:t>
      </w:r>
    </w:p>
    <w:p>
      <w:pPr>
        <w:pStyle w:val="2"/>
        <w:jc w:val="center"/>
      </w:pPr>
      <w:r>
        <w:rPr>
          <w:sz w:val="20"/>
        </w:rPr>
        <w:t xml:space="preserve">"Инвестиции в Подмосковье"</w:t>
      </w:r>
    </w:p>
    <w:p>
      <w:pPr>
        <w:pStyle w:val="0"/>
        <w:jc w:val="center"/>
      </w:pPr>
      <w:r>
        <w:rPr>
          <w:sz w:val="20"/>
        </w:rPr>
      </w:r>
    </w:p>
    <w:p>
      <w:pPr>
        <w:pStyle w:val="0"/>
        <w:jc w:val="center"/>
      </w:pPr>
      <w:r>
        <w:rPr>
          <w:sz w:val="20"/>
        </w:rPr>
        <w:t xml:space="preserve">(в ред. </w:t>
      </w:r>
      <w:hyperlink w:history="0" r:id="rId53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835"/>
        <w:gridCol w:w="2211"/>
        <w:gridCol w:w="1871"/>
        <w:gridCol w:w="2551"/>
        <w:gridCol w:w="1361"/>
        <w:gridCol w:w="1757"/>
        <w:gridCol w:w="1417"/>
        <w:gridCol w:w="2381"/>
        <w:gridCol w:w="1417"/>
        <w:gridCol w:w="1304"/>
        <w:gridCol w:w="1304"/>
        <w:gridCol w:w="1247"/>
        <w:gridCol w:w="1587"/>
      </w:tblGrid>
      <w:tr>
        <w:tc>
          <w:tcPr>
            <w:tcW w:w="794"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Наименование муниципального образования Московской области/наименование объекта (имущества), адрес объекта (места нахождения объекта)</w:t>
            </w:r>
          </w:p>
        </w:tc>
        <w:tc>
          <w:tcPr>
            <w:tcW w:w="2211" w:type="dxa"/>
            <w:vMerge w:val="restart"/>
          </w:tcPr>
          <w:p>
            <w:pPr>
              <w:pStyle w:val="0"/>
              <w:jc w:val="center"/>
            </w:pPr>
            <w:r>
              <w:rPr>
                <w:sz w:val="20"/>
              </w:rPr>
              <w:t xml:space="preserve">Мощность/прирост мощности объекта</w:t>
            </w:r>
          </w:p>
        </w:tc>
        <w:tc>
          <w:tcPr>
            <w:tcW w:w="1871" w:type="dxa"/>
            <w:vMerge w:val="restart"/>
          </w:tcPr>
          <w:p>
            <w:pPr>
              <w:pStyle w:val="0"/>
              <w:jc w:val="center"/>
            </w:pPr>
            <w:r>
              <w:rPr>
                <w:sz w:val="20"/>
              </w:rPr>
              <w:t xml:space="preserve">Виды работ в соответствии с классификатором</w:t>
            </w:r>
          </w:p>
        </w:tc>
        <w:tc>
          <w:tcPr>
            <w:tcW w:w="2551" w:type="dxa"/>
            <w:vMerge w:val="restart"/>
          </w:tcPr>
          <w:p>
            <w:pPr>
              <w:pStyle w:val="0"/>
              <w:jc w:val="center"/>
            </w:pPr>
            <w:r>
              <w:rPr>
                <w:sz w:val="20"/>
              </w:rPr>
              <w:t xml:space="preserve">Сроки проведения работ</w:t>
            </w:r>
          </w:p>
        </w:tc>
        <w:tc>
          <w:tcPr>
            <w:tcW w:w="1361" w:type="dxa"/>
            <w:vMerge w:val="restart"/>
          </w:tcPr>
          <w:p>
            <w:pPr>
              <w:pStyle w:val="0"/>
              <w:jc w:val="center"/>
            </w:pPr>
            <w:r>
              <w:rPr>
                <w:sz w:val="20"/>
              </w:rPr>
              <w:t xml:space="preserve">Открытие объекта</w:t>
            </w:r>
          </w:p>
        </w:tc>
        <w:tc>
          <w:tcPr>
            <w:tcW w:w="1757" w:type="dxa"/>
            <w:vMerge w:val="restart"/>
          </w:tcPr>
          <w:p>
            <w:pPr>
              <w:pStyle w:val="0"/>
              <w:jc w:val="center"/>
            </w:pPr>
            <w:r>
              <w:rPr>
                <w:sz w:val="20"/>
              </w:rPr>
              <w:t xml:space="preserve">Предельная стоимость объекта капитального строительства/работ (тыс. руб.)</w:t>
            </w:r>
          </w:p>
        </w:tc>
        <w:tc>
          <w:tcPr>
            <w:tcW w:w="1417" w:type="dxa"/>
            <w:vMerge w:val="restart"/>
          </w:tcPr>
          <w:p>
            <w:pPr>
              <w:pStyle w:val="0"/>
              <w:jc w:val="center"/>
            </w:pPr>
            <w:r>
              <w:rPr>
                <w:sz w:val="20"/>
              </w:rPr>
              <w:t xml:space="preserve">Профинансировано на 01.01.2023 (тыс. руб.)</w:t>
            </w:r>
          </w:p>
        </w:tc>
        <w:tc>
          <w:tcPr>
            <w:tcW w:w="2381" w:type="dxa"/>
            <w:vMerge w:val="restart"/>
          </w:tcPr>
          <w:p>
            <w:pPr>
              <w:pStyle w:val="0"/>
              <w:jc w:val="center"/>
            </w:pPr>
            <w:r>
              <w:rPr>
                <w:sz w:val="20"/>
              </w:rPr>
              <w:t xml:space="preserve">Источники финансирования</w:t>
            </w:r>
          </w:p>
        </w:tc>
        <w:tc>
          <w:tcPr>
            <w:gridSpan w:val="4"/>
            <w:tcW w:w="5272" w:type="dxa"/>
          </w:tcPr>
          <w:p>
            <w:pPr>
              <w:pStyle w:val="0"/>
              <w:jc w:val="center"/>
            </w:pPr>
            <w:r>
              <w:rPr>
                <w:sz w:val="20"/>
              </w:rPr>
              <w:t xml:space="preserve">Финансирование, в том числе распределение субсидий из бюджета Московской области (тыс. руб.)</w:t>
            </w:r>
          </w:p>
        </w:tc>
        <w:tc>
          <w:tcPr>
            <w:tcW w:w="1587" w:type="dxa"/>
            <w:vMerge w:val="restart"/>
          </w:tcPr>
          <w:p>
            <w:pPr>
              <w:pStyle w:val="0"/>
              <w:jc w:val="center"/>
            </w:pPr>
            <w:r>
              <w:rPr>
                <w:sz w:val="20"/>
              </w:rPr>
              <w:t xml:space="preserve">Остаток сметной стоимости до ввода в эксплуатацию объекта капитального строительства (тыс. руб.)</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Всего</w:t>
            </w:r>
          </w:p>
        </w:tc>
        <w:tc>
          <w:tcPr>
            <w:tcW w:w="1304" w:type="dxa"/>
          </w:tcPr>
          <w:p>
            <w:pPr>
              <w:pStyle w:val="0"/>
              <w:jc w:val="center"/>
            </w:pPr>
            <w:r>
              <w:rPr>
                <w:sz w:val="20"/>
              </w:rPr>
              <w:t xml:space="preserve">2023 год</w:t>
            </w:r>
          </w:p>
        </w:tc>
        <w:tc>
          <w:tcPr>
            <w:tcW w:w="1304" w:type="dxa"/>
          </w:tcPr>
          <w:p>
            <w:pPr>
              <w:pStyle w:val="0"/>
              <w:jc w:val="center"/>
            </w:pPr>
            <w:r>
              <w:rPr>
                <w:sz w:val="20"/>
              </w:rPr>
              <w:t xml:space="preserve">2024 год</w:t>
            </w:r>
          </w:p>
        </w:tc>
        <w:tc>
          <w:tcPr>
            <w:tcW w:w="1247" w:type="dxa"/>
          </w:tcPr>
          <w:p>
            <w:pPr>
              <w:pStyle w:val="0"/>
              <w:jc w:val="center"/>
            </w:pPr>
            <w:r>
              <w:rPr>
                <w:sz w:val="20"/>
              </w:rPr>
              <w:t xml:space="preserve">2025 год</w:t>
            </w:r>
          </w:p>
        </w:tc>
        <w:tc>
          <w:tcPr>
            <w:vMerge w:val="continue"/>
          </w:tcPr>
          <w:p/>
        </w:tc>
      </w:tr>
      <w:tr>
        <w:tc>
          <w:tcPr>
            <w:tcW w:w="794" w:type="dxa"/>
          </w:tcPr>
          <w:p>
            <w:pPr>
              <w:pStyle w:val="0"/>
              <w:jc w:val="center"/>
            </w:pPr>
            <w:r>
              <w:rPr>
                <w:sz w:val="20"/>
              </w:rPr>
              <w:t xml:space="preserve">1</w:t>
            </w:r>
          </w:p>
        </w:tc>
        <w:tc>
          <w:tcPr>
            <w:tcW w:w="2835" w:type="dxa"/>
          </w:tcPr>
          <w:p>
            <w:pPr>
              <w:pStyle w:val="0"/>
              <w:jc w:val="center"/>
            </w:pPr>
            <w:r>
              <w:rPr>
                <w:sz w:val="20"/>
              </w:rPr>
              <w:t xml:space="preserve">2</w:t>
            </w:r>
          </w:p>
        </w:tc>
        <w:tc>
          <w:tcPr>
            <w:tcW w:w="2211" w:type="dxa"/>
          </w:tcPr>
          <w:p>
            <w:pPr>
              <w:pStyle w:val="0"/>
              <w:jc w:val="center"/>
            </w:pPr>
            <w:r>
              <w:rPr>
                <w:sz w:val="20"/>
              </w:rPr>
              <w:t xml:space="preserve">3</w:t>
            </w:r>
          </w:p>
        </w:tc>
        <w:tc>
          <w:tcPr>
            <w:tcW w:w="1871" w:type="dxa"/>
          </w:tcPr>
          <w:p>
            <w:pPr>
              <w:pStyle w:val="0"/>
              <w:jc w:val="center"/>
            </w:pPr>
            <w:r>
              <w:rPr>
                <w:sz w:val="20"/>
              </w:rPr>
              <w:t xml:space="preserve">4</w:t>
            </w:r>
          </w:p>
        </w:tc>
        <w:tc>
          <w:tcPr>
            <w:tcW w:w="2551" w:type="dxa"/>
          </w:tcPr>
          <w:p>
            <w:pPr>
              <w:pStyle w:val="0"/>
              <w:jc w:val="center"/>
            </w:pPr>
            <w:r>
              <w:rPr>
                <w:sz w:val="20"/>
              </w:rPr>
              <w:t xml:space="preserve">5</w:t>
            </w:r>
          </w:p>
        </w:tc>
        <w:tc>
          <w:tcPr>
            <w:tcW w:w="1361" w:type="dxa"/>
          </w:tcPr>
          <w:p>
            <w:pPr>
              <w:pStyle w:val="0"/>
              <w:jc w:val="center"/>
            </w:pPr>
            <w:r>
              <w:rPr>
                <w:sz w:val="20"/>
              </w:rPr>
              <w:t xml:space="preserve">6</w:t>
            </w:r>
          </w:p>
        </w:tc>
        <w:tc>
          <w:tcPr>
            <w:tcW w:w="1757" w:type="dxa"/>
          </w:tcPr>
          <w:p>
            <w:pPr>
              <w:pStyle w:val="0"/>
              <w:jc w:val="center"/>
            </w:pPr>
            <w:r>
              <w:rPr>
                <w:sz w:val="20"/>
              </w:rPr>
              <w:t xml:space="preserve">7</w:t>
            </w:r>
          </w:p>
        </w:tc>
        <w:tc>
          <w:tcPr>
            <w:tcW w:w="1417" w:type="dxa"/>
          </w:tcPr>
          <w:p>
            <w:pPr>
              <w:pStyle w:val="0"/>
              <w:jc w:val="center"/>
            </w:pPr>
            <w:r>
              <w:rPr>
                <w:sz w:val="20"/>
              </w:rPr>
              <w:t xml:space="preserve">8</w:t>
            </w:r>
          </w:p>
        </w:tc>
        <w:tc>
          <w:tcPr>
            <w:tcW w:w="2381" w:type="dxa"/>
          </w:tcPr>
          <w:p>
            <w:pPr>
              <w:pStyle w:val="0"/>
              <w:jc w:val="center"/>
            </w:pPr>
            <w:r>
              <w:rPr>
                <w:sz w:val="20"/>
              </w:rPr>
              <w:t xml:space="preserve">9</w:t>
            </w:r>
          </w:p>
        </w:tc>
        <w:tc>
          <w:tcPr>
            <w:tcW w:w="1417" w:type="dxa"/>
          </w:tcPr>
          <w:p>
            <w:pPr>
              <w:pStyle w:val="0"/>
              <w:jc w:val="center"/>
            </w:pPr>
            <w:r>
              <w:rPr>
                <w:sz w:val="20"/>
              </w:rPr>
              <w:t xml:space="preserve">10</w:t>
            </w:r>
          </w:p>
        </w:tc>
        <w:tc>
          <w:tcPr>
            <w:tcW w:w="1304" w:type="dxa"/>
          </w:tcPr>
          <w:p>
            <w:pPr>
              <w:pStyle w:val="0"/>
              <w:jc w:val="center"/>
            </w:pPr>
            <w:r>
              <w:rPr>
                <w:sz w:val="20"/>
              </w:rPr>
              <w:t xml:space="preserve">11</w:t>
            </w:r>
          </w:p>
        </w:tc>
        <w:tc>
          <w:tcPr>
            <w:tcW w:w="1304" w:type="dxa"/>
          </w:tcPr>
          <w:p>
            <w:pPr>
              <w:pStyle w:val="0"/>
              <w:jc w:val="center"/>
            </w:pPr>
            <w:r>
              <w:rPr>
                <w:sz w:val="20"/>
              </w:rPr>
              <w:t xml:space="preserve">12</w:t>
            </w:r>
          </w:p>
        </w:tc>
        <w:tc>
          <w:tcPr>
            <w:tcW w:w="1247" w:type="dxa"/>
          </w:tcPr>
          <w:p>
            <w:pPr>
              <w:pStyle w:val="0"/>
              <w:jc w:val="center"/>
            </w:pPr>
            <w:r>
              <w:rPr>
                <w:sz w:val="20"/>
              </w:rPr>
              <w:t xml:space="preserve">13</w:t>
            </w:r>
          </w:p>
        </w:tc>
        <w:tc>
          <w:tcPr>
            <w:tcW w:w="1587" w:type="dxa"/>
          </w:tcPr>
          <w:p>
            <w:pPr>
              <w:pStyle w:val="0"/>
              <w:jc w:val="center"/>
            </w:pPr>
            <w:r>
              <w:rPr>
                <w:sz w:val="20"/>
              </w:rPr>
              <w:t xml:space="preserve">14</w:t>
            </w:r>
          </w:p>
        </w:tc>
      </w:tr>
      <w:tr>
        <w:tc>
          <w:tcPr>
            <w:tcW w:w="794" w:type="dxa"/>
            <w:vMerge w:val="restart"/>
          </w:tcPr>
          <w:p>
            <w:pPr>
              <w:pStyle w:val="0"/>
              <w:outlineLvl w:val="3"/>
            </w:pPr>
            <w:r>
              <w:rPr>
                <w:sz w:val="20"/>
              </w:rPr>
              <w:t xml:space="preserve">1</w:t>
            </w:r>
          </w:p>
        </w:tc>
        <w:tc>
          <w:tcPr>
            <w:tcW w:w="2835" w:type="dxa"/>
            <w:vMerge w:val="restart"/>
          </w:tcPr>
          <w:p>
            <w:pPr>
              <w:pStyle w:val="0"/>
            </w:pPr>
            <w:r>
              <w:rPr>
                <w:sz w:val="20"/>
              </w:rPr>
              <w:t xml:space="preserve">Городской округ Серпухов</w:t>
            </w:r>
          </w:p>
        </w:tc>
        <w:tc>
          <w:tcPr>
            <w:tcW w:w="2211" w:type="dxa"/>
            <w:vMerge w:val="restart"/>
          </w:tcPr>
          <w:p>
            <w:pPr>
              <w:pStyle w:val="0"/>
            </w:pPr>
            <w:r>
              <w:rPr>
                <w:sz w:val="20"/>
              </w:rPr>
              <w:t xml:space="preserve">X</w:t>
            </w:r>
          </w:p>
        </w:tc>
        <w:tc>
          <w:tcPr>
            <w:tcW w:w="1871" w:type="dxa"/>
            <w:vMerge w:val="restart"/>
          </w:tcPr>
          <w:p>
            <w:pPr>
              <w:pStyle w:val="0"/>
            </w:pPr>
            <w:r>
              <w:rPr>
                <w:sz w:val="20"/>
              </w:rPr>
              <w:t xml:space="preserve">X</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tcPr>
          <w:p>
            <w:pPr>
              <w:pStyle w:val="0"/>
            </w:pPr>
            <w:r>
              <w:rPr>
                <w:sz w:val="20"/>
              </w:rPr>
              <w:t xml:space="preserve">5418,40</w:t>
            </w:r>
          </w:p>
        </w:tc>
        <w:tc>
          <w:tcPr>
            <w:tcW w:w="2381" w:type="dxa"/>
          </w:tcPr>
          <w:p>
            <w:pPr>
              <w:pStyle w:val="0"/>
            </w:pPr>
            <w:r>
              <w:rPr>
                <w:sz w:val="20"/>
              </w:rPr>
              <w:t xml:space="preserve">Итого:</w:t>
            </w:r>
          </w:p>
        </w:tc>
        <w:tc>
          <w:tcPr>
            <w:tcW w:w="1417" w:type="dxa"/>
          </w:tcPr>
          <w:p>
            <w:pPr>
              <w:pStyle w:val="0"/>
            </w:pPr>
            <w:r>
              <w:rPr>
                <w:sz w:val="20"/>
              </w:rPr>
              <w:t xml:space="preserve">12695,97</w:t>
            </w:r>
          </w:p>
        </w:tc>
        <w:tc>
          <w:tcPr>
            <w:tcW w:w="1304" w:type="dxa"/>
          </w:tcPr>
          <w:p>
            <w:pPr>
              <w:pStyle w:val="0"/>
            </w:pPr>
            <w:r>
              <w:rPr>
                <w:sz w:val="20"/>
              </w:rPr>
              <w:t xml:space="preserve">12695,97</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1387,69</w:t>
            </w: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12407,03</w:t>
            </w:r>
          </w:p>
        </w:tc>
        <w:tc>
          <w:tcPr>
            <w:tcW w:w="1304" w:type="dxa"/>
          </w:tcPr>
          <w:p>
            <w:pPr>
              <w:pStyle w:val="0"/>
            </w:pPr>
            <w:r>
              <w:rPr>
                <w:sz w:val="20"/>
              </w:rPr>
              <w:t xml:space="preserve">12407,03</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4030,71</w:t>
            </w: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288,94</w:t>
            </w:r>
          </w:p>
        </w:tc>
        <w:tc>
          <w:tcPr>
            <w:tcW w:w="1304" w:type="dxa"/>
          </w:tcPr>
          <w:p>
            <w:pPr>
              <w:pStyle w:val="0"/>
            </w:pPr>
            <w:r>
              <w:rPr>
                <w:sz w:val="20"/>
              </w:rPr>
              <w:t xml:space="preserve">288,94</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794" w:type="dxa"/>
            <w:vMerge w:val="restart"/>
          </w:tcPr>
          <w:p>
            <w:pPr>
              <w:pStyle w:val="0"/>
            </w:pPr>
            <w:r>
              <w:rPr>
                <w:sz w:val="20"/>
              </w:rPr>
              <w:t xml:space="preserve">1.1</w:t>
            </w:r>
          </w:p>
        </w:tc>
        <w:tc>
          <w:tcPr>
            <w:tcW w:w="2835" w:type="dxa"/>
            <w:vMerge w:val="restart"/>
          </w:tcPr>
          <w:p>
            <w:pPr>
              <w:pStyle w:val="0"/>
            </w:pPr>
            <w:r>
              <w:rPr>
                <w:sz w:val="20"/>
              </w:rPr>
              <w:t xml:space="preserve">Строительство сети газораспределения с установкой газорегуляторного пункта для нужд теплоснабжения биотехнологического индустриального парка "Пущино" по адресу: Московская обл., г. Пущино, з/у кад. N 50:60:0000000:12743</w:t>
            </w:r>
          </w:p>
        </w:tc>
        <w:tc>
          <w:tcPr>
            <w:tcW w:w="2211" w:type="dxa"/>
            <w:vMerge w:val="restart"/>
          </w:tcPr>
          <w:p>
            <w:pPr>
              <w:pStyle w:val="0"/>
            </w:pPr>
            <w:r>
              <w:rPr>
                <w:sz w:val="20"/>
              </w:rPr>
              <w:t xml:space="preserve">Газорегуляторный пункт Qmax = 5 тыс. куб. м/час</w:t>
            </w:r>
          </w:p>
        </w:tc>
        <w:tc>
          <w:tcPr>
            <w:tcW w:w="1871" w:type="dxa"/>
            <w:vMerge w:val="restart"/>
          </w:tcPr>
          <w:p>
            <w:pPr>
              <w:pStyle w:val="0"/>
            </w:pPr>
            <w:r>
              <w:rPr>
                <w:sz w:val="20"/>
              </w:rPr>
              <w:t xml:space="preserve">Строительство</w:t>
            </w:r>
          </w:p>
        </w:tc>
        <w:tc>
          <w:tcPr>
            <w:tcW w:w="2551" w:type="dxa"/>
            <w:vMerge w:val="restart"/>
          </w:tcPr>
          <w:p>
            <w:pPr>
              <w:pStyle w:val="0"/>
            </w:pPr>
            <w:r>
              <w:rPr>
                <w:sz w:val="20"/>
              </w:rPr>
              <w:t xml:space="preserve">18.10.2018-31.12.2023</w:t>
            </w:r>
          </w:p>
        </w:tc>
        <w:tc>
          <w:tcPr>
            <w:tcW w:w="1361" w:type="dxa"/>
            <w:vMerge w:val="restart"/>
          </w:tcPr>
          <w:p>
            <w:pPr>
              <w:pStyle w:val="0"/>
            </w:pPr>
            <w:r>
              <w:rPr>
                <w:sz w:val="20"/>
              </w:rPr>
              <w:t xml:space="preserve">31.12.2023</w:t>
            </w:r>
          </w:p>
        </w:tc>
        <w:tc>
          <w:tcPr>
            <w:tcW w:w="1757" w:type="dxa"/>
            <w:vMerge w:val="restart"/>
          </w:tcPr>
          <w:p>
            <w:pPr>
              <w:pStyle w:val="0"/>
            </w:pPr>
            <w:r>
              <w:rPr>
                <w:sz w:val="20"/>
              </w:rPr>
              <w:t xml:space="preserve">18114,37</w:t>
            </w:r>
          </w:p>
        </w:tc>
        <w:tc>
          <w:tcPr>
            <w:tcW w:w="1417" w:type="dxa"/>
          </w:tcPr>
          <w:p>
            <w:pPr>
              <w:pStyle w:val="0"/>
            </w:pPr>
            <w:r>
              <w:rPr>
                <w:sz w:val="20"/>
              </w:rPr>
              <w:t xml:space="preserve">5418,40</w:t>
            </w:r>
          </w:p>
        </w:tc>
        <w:tc>
          <w:tcPr>
            <w:tcW w:w="2381" w:type="dxa"/>
          </w:tcPr>
          <w:p>
            <w:pPr>
              <w:pStyle w:val="0"/>
            </w:pPr>
            <w:r>
              <w:rPr>
                <w:sz w:val="20"/>
              </w:rPr>
              <w:t xml:space="preserve">Итого:</w:t>
            </w:r>
          </w:p>
        </w:tc>
        <w:tc>
          <w:tcPr>
            <w:tcW w:w="1417" w:type="dxa"/>
          </w:tcPr>
          <w:p>
            <w:pPr>
              <w:pStyle w:val="0"/>
            </w:pPr>
            <w:r>
              <w:rPr>
                <w:sz w:val="20"/>
              </w:rPr>
              <w:t xml:space="preserve">12695,97</w:t>
            </w:r>
          </w:p>
        </w:tc>
        <w:tc>
          <w:tcPr>
            <w:tcW w:w="1304" w:type="dxa"/>
          </w:tcPr>
          <w:p>
            <w:pPr>
              <w:pStyle w:val="0"/>
            </w:pPr>
            <w:r>
              <w:rPr>
                <w:sz w:val="20"/>
              </w:rPr>
              <w:t xml:space="preserve">12695,97</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1387,69</w:t>
            </w: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12407,03</w:t>
            </w:r>
          </w:p>
        </w:tc>
        <w:tc>
          <w:tcPr>
            <w:tcW w:w="1304" w:type="dxa"/>
          </w:tcPr>
          <w:p>
            <w:pPr>
              <w:pStyle w:val="0"/>
            </w:pPr>
            <w:r>
              <w:rPr>
                <w:sz w:val="20"/>
              </w:rPr>
              <w:t xml:space="preserve">12407,03</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4030,71</w:t>
            </w: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288,94</w:t>
            </w:r>
          </w:p>
        </w:tc>
        <w:tc>
          <w:tcPr>
            <w:tcW w:w="1304" w:type="dxa"/>
          </w:tcPr>
          <w:p>
            <w:pPr>
              <w:pStyle w:val="0"/>
            </w:pPr>
            <w:r>
              <w:rPr>
                <w:sz w:val="20"/>
              </w:rPr>
              <w:t xml:space="preserve">288,94</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строительные работы</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Итого:</w:t>
            </w:r>
          </w:p>
        </w:tc>
        <w:tc>
          <w:tcPr>
            <w:tcW w:w="1417" w:type="dxa"/>
          </w:tcPr>
          <w:p>
            <w:pPr>
              <w:pStyle w:val="0"/>
            </w:pPr>
            <w:r>
              <w:rPr>
                <w:sz w:val="20"/>
              </w:rPr>
              <w:t xml:space="preserve">11739,77</w:t>
            </w:r>
          </w:p>
        </w:tc>
        <w:tc>
          <w:tcPr>
            <w:tcW w:w="1304" w:type="dxa"/>
          </w:tcPr>
          <w:p>
            <w:pPr>
              <w:pStyle w:val="0"/>
            </w:pPr>
            <w:r>
              <w:rPr>
                <w:sz w:val="20"/>
              </w:rPr>
              <w:t xml:space="preserve">11739,77</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11563,67</w:t>
            </w:r>
          </w:p>
        </w:tc>
        <w:tc>
          <w:tcPr>
            <w:tcW w:w="1304" w:type="dxa"/>
          </w:tcPr>
          <w:p>
            <w:pPr>
              <w:pStyle w:val="0"/>
            </w:pPr>
            <w:r>
              <w:rPr>
                <w:sz w:val="20"/>
              </w:rPr>
              <w:t xml:space="preserve">11563,67</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176,10</w:t>
            </w:r>
          </w:p>
        </w:tc>
        <w:tc>
          <w:tcPr>
            <w:tcW w:w="1304" w:type="dxa"/>
          </w:tcPr>
          <w:p>
            <w:pPr>
              <w:pStyle w:val="0"/>
            </w:pPr>
            <w:r>
              <w:rPr>
                <w:sz w:val="20"/>
              </w:rPr>
              <w:t xml:space="preserve">176,10</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технологическое присоединение к сетям</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Итого:</w:t>
            </w:r>
          </w:p>
        </w:tc>
        <w:tc>
          <w:tcPr>
            <w:tcW w:w="1417" w:type="dxa"/>
          </w:tcPr>
          <w:p>
            <w:pPr>
              <w:pStyle w:val="0"/>
            </w:pPr>
            <w:r>
              <w:rPr>
                <w:sz w:val="20"/>
              </w:rPr>
              <w:t xml:space="preserve">956,20</w:t>
            </w:r>
          </w:p>
        </w:tc>
        <w:tc>
          <w:tcPr>
            <w:tcW w:w="1304" w:type="dxa"/>
          </w:tcPr>
          <w:p>
            <w:pPr>
              <w:pStyle w:val="0"/>
            </w:pPr>
            <w:r>
              <w:rPr>
                <w:sz w:val="20"/>
              </w:rPr>
              <w:t xml:space="preserve">956,20</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843,36</w:t>
            </w:r>
          </w:p>
        </w:tc>
        <w:tc>
          <w:tcPr>
            <w:tcW w:w="1304" w:type="dxa"/>
          </w:tcPr>
          <w:p>
            <w:pPr>
              <w:pStyle w:val="0"/>
            </w:pPr>
            <w:r>
              <w:rPr>
                <w:sz w:val="20"/>
              </w:rPr>
              <w:t xml:space="preserve">843,36</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112,84</w:t>
            </w:r>
          </w:p>
        </w:tc>
        <w:tc>
          <w:tcPr>
            <w:tcW w:w="1304" w:type="dxa"/>
          </w:tcPr>
          <w:p>
            <w:pPr>
              <w:pStyle w:val="0"/>
            </w:pPr>
            <w:r>
              <w:rPr>
                <w:sz w:val="20"/>
              </w:rPr>
              <w:t xml:space="preserve">112,84</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794" w:type="dxa"/>
            <w:vMerge w:val="restart"/>
          </w:tcPr>
          <w:p>
            <w:pPr>
              <w:pStyle w:val="0"/>
              <w:outlineLvl w:val="3"/>
            </w:pPr>
            <w:r>
              <w:rPr>
                <w:sz w:val="20"/>
              </w:rPr>
              <w:t xml:space="preserve">2</w:t>
            </w:r>
          </w:p>
        </w:tc>
        <w:tc>
          <w:tcPr>
            <w:tcW w:w="2835" w:type="dxa"/>
            <w:vMerge w:val="restart"/>
          </w:tcPr>
          <w:p>
            <w:pPr>
              <w:pStyle w:val="0"/>
            </w:pPr>
            <w:r>
              <w:rPr>
                <w:sz w:val="20"/>
              </w:rPr>
              <w:t xml:space="preserve">Муниципальный округ Шаховская</w:t>
            </w:r>
          </w:p>
        </w:tc>
        <w:tc>
          <w:tcPr>
            <w:tcW w:w="2211" w:type="dxa"/>
            <w:vMerge w:val="restart"/>
          </w:tcPr>
          <w:p>
            <w:pPr>
              <w:pStyle w:val="0"/>
            </w:pPr>
            <w:r>
              <w:rPr>
                <w:sz w:val="20"/>
              </w:rPr>
              <w:t xml:space="preserve">X</w:t>
            </w:r>
          </w:p>
        </w:tc>
        <w:tc>
          <w:tcPr>
            <w:tcW w:w="1871" w:type="dxa"/>
            <w:vMerge w:val="restart"/>
          </w:tcPr>
          <w:p>
            <w:pPr>
              <w:pStyle w:val="0"/>
            </w:pPr>
            <w:r>
              <w:rPr>
                <w:sz w:val="20"/>
              </w:rPr>
              <w:t xml:space="preserve">X</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tcPr>
          <w:p>
            <w:pPr>
              <w:pStyle w:val="0"/>
            </w:pPr>
            <w:r>
              <w:rPr>
                <w:sz w:val="20"/>
              </w:rPr>
              <w:t xml:space="preserve">186,21</w:t>
            </w:r>
          </w:p>
        </w:tc>
        <w:tc>
          <w:tcPr>
            <w:tcW w:w="2381" w:type="dxa"/>
          </w:tcPr>
          <w:p>
            <w:pPr>
              <w:pStyle w:val="0"/>
            </w:pPr>
            <w:r>
              <w:rPr>
                <w:sz w:val="20"/>
              </w:rPr>
              <w:t xml:space="preserve">Итого:</w:t>
            </w:r>
          </w:p>
        </w:tc>
        <w:tc>
          <w:tcPr>
            <w:tcW w:w="1417" w:type="dxa"/>
          </w:tcPr>
          <w:p>
            <w:pPr>
              <w:pStyle w:val="0"/>
            </w:pPr>
            <w:r>
              <w:rPr>
                <w:sz w:val="20"/>
              </w:rPr>
              <w:t xml:space="preserve">13443,85</w:t>
            </w:r>
          </w:p>
        </w:tc>
        <w:tc>
          <w:tcPr>
            <w:tcW w:w="1304" w:type="dxa"/>
          </w:tcPr>
          <w:p>
            <w:pPr>
              <w:pStyle w:val="0"/>
            </w:pPr>
            <w:r>
              <w:rPr>
                <w:sz w:val="20"/>
              </w:rPr>
              <w:t xml:space="preserve">4068,85</w:t>
            </w:r>
          </w:p>
        </w:tc>
        <w:tc>
          <w:tcPr>
            <w:tcW w:w="1304" w:type="dxa"/>
          </w:tcPr>
          <w:p>
            <w:pPr>
              <w:pStyle w:val="0"/>
            </w:pPr>
            <w:r>
              <w:rPr>
                <w:sz w:val="20"/>
              </w:rPr>
            </w:r>
          </w:p>
        </w:tc>
        <w:tc>
          <w:tcPr>
            <w:tcW w:w="1247" w:type="dxa"/>
          </w:tcPr>
          <w:p>
            <w:pPr>
              <w:pStyle w:val="0"/>
            </w:pPr>
            <w:r>
              <w:rPr>
                <w:sz w:val="20"/>
              </w:rPr>
              <w:t xml:space="preserve">9375,00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183,6</w:t>
            </w: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13181,89</w:t>
            </w:r>
          </w:p>
        </w:tc>
        <w:tc>
          <w:tcPr>
            <w:tcW w:w="1304" w:type="dxa"/>
          </w:tcPr>
          <w:p>
            <w:pPr>
              <w:pStyle w:val="0"/>
            </w:pPr>
            <w:r>
              <w:rPr>
                <w:sz w:val="20"/>
              </w:rPr>
              <w:t xml:space="preserve">4011,89</w:t>
            </w:r>
          </w:p>
        </w:tc>
        <w:tc>
          <w:tcPr>
            <w:tcW w:w="1304" w:type="dxa"/>
          </w:tcPr>
          <w:p>
            <w:pPr>
              <w:pStyle w:val="0"/>
            </w:pPr>
            <w:r>
              <w:rPr>
                <w:sz w:val="20"/>
              </w:rPr>
            </w:r>
          </w:p>
        </w:tc>
        <w:tc>
          <w:tcPr>
            <w:tcW w:w="1247" w:type="dxa"/>
          </w:tcPr>
          <w:p>
            <w:pPr>
              <w:pStyle w:val="0"/>
            </w:pPr>
            <w:r>
              <w:rPr>
                <w:sz w:val="20"/>
              </w:rPr>
              <w:t xml:space="preserve">9170,00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2,61</w:t>
            </w: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261,96</w:t>
            </w:r>
          </w:p>
        </w:tc>
        <w:tc>
          <w:tcPr>
            <w:tcW w:w="1304" w:type="dxa"/>
          </w:tcPr>
          <w:p>
            <w:pPr>
              <w:pStyle w:val="0"/>
            </w:pPr>
            <w:r>
              <w:rPr>
                <w:sz w:val="20"/>
              </w:rPr>
              <w:t xml:space="preserve">56,96</w:t>
            </w:r>
          </w:p>
        </w:tc>
        <w:tc>
          <w:tcPr>
            <w:tcW w:w="1304" w:type="dxa"/>
          </w:tcPr>
          <w:p>
            <w:pPr>
              <w:pStyle w:val="0"/>
            </w:pPr>
            <w:r>
              <w:rPr>
                <w:sz w:val="20"/>
              </w:rPr>
            </w:r>
          </w:p>
        </w:tc>
        <w:tc>
          <w:tcPr>
            <w:tcW w:w="1247" w:type="dxa"/>
          </w:tcPr>
          <w:p>
            <w:pPr>
              <w:pStyle w:val="0"/>
            </w:pPr>
            <w:r>
              <w:rPr>
                <w:sz w:val="20"/>
              </w:rPr>
              <w:t xml:space="preserve">205,00</w:t>
            </w:r>
          </w:p>
        </w:tc>
        <w:tc>
          <w:tcPr>
            <w:tcW w:w="1587" w:type="dxa"/>
          </w:tcPr>
          <w:p>
            <w:pPr>
              <w:pStyle w:val="0"/>
            </w:pPr>
            <w:r>
              <w:rPr>
                <w:sz w:val="20"/>
              </w:rPr>
            </w:r>
          </w:p>
        </w:tc>
      </w:tr>
      <w:tr>
        <w:tc>
          <w:tcPr>
            <w:tcW w:w="794" w:type="dxa"/>
            <w:vMerge w:val="restart"/>
          </w:tcPr>
          <w:p>
            <w:pPr>
              <w:pStyle w:val="0"/>
            </w:pPr>
            <w:r>
              <w:rPr>
                <w:sz w:val="20"/>
              </w:rPr>
              <w:t xml:space="preserve">2.1</w:t>
            </w:r>
          </w:p>
        </w:tc>
        <w:tc>
          <w:tcPr>
            <w:tcW w:w="2835" w:type="dxa"/>
            <w:vMerge w:val="restart"/>
          </w:tcPr>
          <w:p>
            <w:pPr>
              <w:pStyle w:val="0"/>
            </w:pPr>
            <w:r>
              <w:rPr>
                <w:sz w:val="20"/>
              </w:rPr>
              <w:t xml:space="preserve">Строительство ТП-10/0,4 кВ с трансформатором мощностью 630 кВА, ВЛЗ-10 кВ от ВЛЗ-10 кВ ф. 6, отходящей от секции РУ-10 кВ ПС-110 кВ "Шаховская" N 406 по адресу: МО, г.о. Шаховская, у д. Рождествено, кад. номер уч. 50:06:0040306:1129</w:t>
            </w:r>
          </w:p>
        </w:tc>
        <w:tc>
          <w:tcPr>
            <w:tcW w:w="2211" w:type="dxa"/>
            <w:vMerge w:val="restart"/>
          </w:tcPr>
          <w:p>
            <w:pPr>
              <w:pStyle w:val="0"/>
            </w:pPr>
            <w:r>
              <w:rPr>
                <w:sz w:val="20"/>
              </w:rPr>
              <w:t xml:space="preserve">Трансформаторная подстанция 10/0,4 кВ; воздушная линии электропередачи 461 м</w:t>
            </w:r>
          </w:p>
        </w:tc>
        <w:tc>
          <w:tcPr>
            <w:tcW w:w="1871" w:type="dxa"/>
            <w:vMerge w:val="restart"/>
          </w:tcPr>
          <w:p>
            <w:pPr>
              <w:pStyle w:val="0"/>
            </w:pPr>
            <w:r>
              <w:rPr>
                <w:sz w:val="20"/>
              </w:rPr>
              <w:t xml:space="preserve">Строительство</w:t>
            </w:r>
          </w:p>
        </w:tc>
        <w:tc>
          <w:tcPr>
            <w:tcW w:w="2551" w:type="dxa"/>
            <w:vMerge w:val="restart"/>
          </w:tcPr>
          <w:p>
            <w:pPr>
              <w:pStyle w:val="0"/>
            </w:pPr>
            <w:r>
              <w:rPr>
                <w:sz w:val="20"/>
              </w:rPr>
              <w:t xml:space="preserve">01.08.2022-31.12.2023</w:t>
            </w:r>
          </w:p>
        </w:tc>
        <w:tc>
          <w:tcPr>
            <w:tcW w:w="1361" w:type="dxa"/>
            <w:vMerge w:val="restart"/>
          </w:tcPr>
          <w:p>
            <w:pPr>
              <w:pStyle w:val="0"/>
            </w:pPr>
            <w:r>
              <w:rPr>
                <w:sz w:val="20"/>
              </w:rPr>
              <w:t xml:space="preserve">31.12.2023</w:t>
            </w:r>
          </w:p>
        </w:tc>
        <w:tc>
          <w:tcPr>
            <w:tcW w:w="1757" w:type="dxa"/>
            <w:vMerge w:val="restart"/>
          </w:tcPr>
          <w:p>
            <w:pPr>
              <w:pStyle w:val="0"/>
            </w:pPr>
            <w:r>
              <w:rPr>
                <w:sz w:val="20"/>
              </w:rPr>
              <w:t xml:space="preserve">4255,06</w:t>
            </w:r>
          </w:p>
        </w:tc>
        <w:tc>
          <w:tcPr>
            <w:tcW w:w="1417" w:type="dxa"/>
          </w:tcPr>
          <w:p>
            <w:pPr>
              <w:pStyle w:val="0"/>
            </w:pPr>
            <w:r>
              <w:rPr>
                <w:sz w:val="20"/>
              </w:rPr>
              <w:t xml:space="preserve">186,21</w:t>
            </w:r>
          </w:p>
        </w:tc>
        <w:tc>
          <w:tcPr>
            <w:tcW w:w="2381" w:type="dxa"/>
          </w:tcPr>
          <w:p>
            <w:pPr>
              <w:pStyle w:val="0"/>
            </w:pPr>
            <w:r>
              <w:rPr>
                <w:sz w:val="20"/>
              </w:rPr>
              <w:t xml:space="preserve">Итого:</w:t>
            </w:r>
          </w:p>
        </w:tc>
        <w:tc>
          <w:tcPr>
            <w:tcW w:w="1417" w:type="dxa"/>
          </w:tcPr>
          <w:p>
            <w:pPr>
              <w:pStyle w:val="0"/>
            </w:pPr>
            <w:r>
              <w:rPr>
                <w:sz w:val="20"/>
              </w:rPr>
              <w:t xml:space="preserve">4068,85</w:t>
            </w:r>
          </w:p>
        </w:tc>
        <w:tc>
          <w:tcPr>
            <w:tcW w:w="1304" w:type="dxa"/>
          </w:tcPr>
          <w:p>
            <w:pPr>
              <w:pStyle w:val="0"/>
            </w:pPr>
            <w:r>
              <w:rPr>
                <w:sz w:val="20"/>
              </w:rPr>
              <w:t xml:space="preserve">4068,85</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183,6</w:t>
            </w: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4011,89</w:t>
            </w:r>
          </w:p>
        </w:tc>
        <w:tc>
          <w:tcPr>
            <w:tcW w:w="1304" w:type="dxa"/>
          </w:tcPr>
          <w:p>
            <w:pPr>
              <w:pStyle w:val="0"/>
            </w:pPr>
            <w:r>
              <w:rPr>
                <w:sz w:val="20"/>
              </w:rPr>
              <w:t xml:space="preserve">4011,89</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t xml:space="preserve">2,61</w:t>
            </w: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56,96</w:t>
            </w:r>
          </w:p>
        </w:tc>
        <w:tc>
          <w:tcPr>
            <w:tcW w:w="1304" w:type="dxa"/>
          </w:tcPr>
          <w:p>
            <w:pPr>
              <w:pStyle w:val="0"/>
            </w:pPr>
            <w:r>
              <w:rPr>
                <w:sz w:val="20"/>
              </w:rPr>
              <w:t xml:space="preserve">56,96</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строительные работы</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Итого:</w:t>
            </w:r>
          </w:p>
        </w:tc>
        <w:tc>
          <w:tcPr>
            <w:tcW w:w="1417" w:type="dxa"/>
          </w:tcPr>
          <w:p>
            <w:pPr>
              <w:pStyle w:val="0"/>
            </w:pPr>
            <w:r>
              <w:rPr>
                <w:sz w:val="20"/>
              </w:rPr>
              <w:t xml:space="preserve">3571,50</w:t>
            </w:r>
          </w:p>
        </w:tc>
        <w:tc>
          <w:tcPr>
            <w:tcW w:w="1304" w:type="dxa"/>
          </w:tcPr>
          <w:p>
            <w:pPr>
              <w:pStyle w:val="0"/>
            </w:pPr>
            <w:r>
              <w:rPr>
                <w:sz w:val="20"/>
              </w:rPr>
              <w:t xml:space="preserve">3571,50</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3521,50</w:t>
            </w:r>
          </w:p>
        </w:tc>
        <w:tc>
          <w:tcPr>
            <w:tcW w:w="1304" w:type="dxa"/>
          </w:tcPr>
          <w:p>
            <w:pPr>
              <w:pStyle w:val="0"/>
            </w:pPr>
            <w:r>
              <w:rPr>
                <w:sz w:val="20"/>
              </w:rPr>
              <w:t xml:space="preserve">3521,50</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50,00</w:t>
            </w:r>
          </w:p>
        </w:tc>
        <w:tc>
          <w:tcPr>
            <w:tcW w:w="1304" w:type="dxa"/>
          </w:tcPr>
          <w:p>
            <w:pPr>
              <w:pStyle w:val="0"/>
            </w:pPr>
            <w:r>
              <w:rPr>
                <w:sz w:val="20"/>
              </w:rPr>
              <w:t xml:space="preserve">50,00</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технологическое присоединение к сетям</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Итого:</w:t>
            </w:r>
          </w:p>
        </w:tc>
        <w:tc>
          <w:tcPr>
            <w:tcW w:w="1417" w:type="dxa"/>
          </w:tcPr>
          <w:p>
            <w:pPr>
              <w:pStyle w:val="0"/>
            </w:pPr>
            <w:r>
              <w:rPr>
                <w:sz w:val="20"/>
              </w:rPr>
              <w:t xml:space="preserve">279,32</w:t>
            </w:r>
          </w:p>
        </w:tc>
        <w:tc>
          <w:tcPr>
            <w:tcW w:w="1304" w:type="dxa"/>
          </w:tcPr>
          <w:p>
            <w:pPr>
              <w:pStyle w:val="0"/>
            </w:pPr>
            <w:r>
              <w:rPr>
                <w:sz w:val="20"/>
              </w:rPr>
              <w:t xml:space="preserve">279,32</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275,41</w:t>
            </w:r>
          </w:p>
        </w:tc>
        <w:tc>
          <w:tcPr>
            <w:tcW w:w="1304" w:type="dxa"/>
          </w:tcPr>
          <w:p>
            <w:pPr>
              <w:pStyle w:val="0"/>
            </w:pPr>
            <w:r>
              <w:rPr>
                <w:sz w:val="20"/>
              </w:rPr>
              <w:t xml:space="preserve">275,41</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3,91</w:t>
            </w:r>
          </w:p>
        </w:tc>
        <w:tc>
          <w:tcPr>
            <w:tcW w:w="1304" w:type="dxa"/>
          </w:tcPr>
          <w:p>
            <w:pPr>
              <w:pStyle w:val="0"/>
            </w:pPr>
            <w:r>
              <w:rPr>
                <w:sz w:val="20"/>
              </w:rPr>
              <w:t xml:space="preserve">3,91</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проектные и изыскательские работы</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Итого:</w:t>
            </w:r>
          </w:p>
        </w:tc>
        <w:tc>
          <w:tcPr>
            <w:tcW w:w="1417" w:type="dxa"/>
          </w:tcPr>
          <w:p>
            <w:pPr>
              <w:pStyle w:val="0"/>
            </w:pPr>
            <w:r>
              <w:rPr>
                <w:sz w:val="20"/>
              </w:rPr>
              <w:t xml:space="preserve">218,03</w:t>
            </w:r>
          </w:p>
        </w:tc>
        <w:tc>
          <w:tcPr>
            <w:tcW w:w="1304" w:type="dxa"/>
          </w:tcPr>
          <w:p>
            <w:pPr>
              <w:pStyle w:val="0"/>
            </w:pPr>
            <w:r>
              <w:rPr>
                <w:sz w:val="20"/>
              </w:rPr>
              <w:t xml:space="preserve">218,03</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214,98</w:t>
            </w:r>
          </w:p>
        </w:tc>
        <w:tc>
          <w:tcPr>
            <w:tcW w:w="1304" w:type="dxa"/>
          </w:tcPr>
          <w:p>
            <w:pPr>
              <w:pStyle w:val="0"/>
            </w:pPr>
            <w:r>
              <w:rPr>
                <w:sz w:val="20"/>
              </w:rPr>
              <w:t xml:space="preserve">214,98</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3,05</w:t>
            </w:r>
          </w:p>
        </w:tc>
        <w:tc>
          <w:tcPr>
            <w:tcW w:w="1304" w:type="dxa"/>
          </w:tcPr>
          <w:p>
            <w:pPr>
              <w:pStyle w:val="0"/>
            </w:pPr>
            <w:r>
              <w:rPr>
                <w:sz w:val="20"/>
              </w:rPr>
              <w:t xml:space="preserve">3,05</w:t>
            </w:r>
          </w:p>
        </w:tc>
        <w:tc>
          <w:tcPr>
            <w:tcW w:w="1304" w:type="dxa"/>
          </w:tcPr>
          <w:p>
            <w:pPr>
              <w:pStyle w:val="0"/>
            </w:pPr>
            <w:r>
              <w:rPr>
                <w:sz w:val="20"/>
              </w:rPr>
            </w:r>
          </w:p>
        </w:tc>
        <w:tc>
          <w:tcPr>
            <w:tcW w:w="1247" w:type="dxa"/>
          </w:tcPr>
          <w:p>
            <w:pPr>
              <w:pStyle w:val="0"/>
            </w:pPr>
            <w:r>
              <w:rPr>
                <w:sz w:val="20"/>
              </w:rPr>
            </w:r>
          </w:p>
        </w:tc>
        <w:tc>
          <w:tcPr>
            <w:tcW w:w="1587" w:type="dxa"/>
          </w:tcPr>
          <w:p>
            <w:pPr>
              <w:pStyle w:val="0"/>
            </w:pPr>
            <w:r>
              <w:rPr>
                <w:sz w:val="20"/>
              </w:rPr>
            </w:r>
          </w:p>
        </w:tc>
      </w:tr>
      <w:tr>
        <w:tc>
          <w:tcPr>
            <w:tcW w:w="794" w:type="dxa"/>
            <w:vMerge w:val="restart"/>
          </w:tcPr>
          <w:p>
            <w:pPr>
              <w:pStyle w:val="0"/>
            </w:pPr>
            <w:r>
              <w:rPr>
                <w:sz w:val="20"/>
              </w:rPr>
              <w:t xml:space="preserve">2.2</w:t>
            </w:r>
          </w:p>
        </w:tc>
        <w:tc>
          <w:tcPr>
            <w:tcW w:w="2835" w:type="dxa"/>
            <w:vMerge w:val="restart"/>
          </w:tcPr>
          <w:p>
            <w:pPr>
              <w:pStyle w:val="0"/>
            </w:pPr>
            <w:r>
              <w:rPr>
                <w:sz w:val="20"/>
              </w:rPr>
              <w:t xml:space="preserve">Строительство подводящего газопровода высокого давления</w:t>
            </w:r>
          </w:p>
          <w:p>
            <w:pPr>
              <w:pStyle w:val="0"/>
            </w:pPr>
            <w:r>
              <w:rPr>
                <w:sz w:val="20"/>
              </w:rPr>
              <w:t xml:space="preserve">P &lt;= 1,2 МПа, проектируемого на земельном участке с кадастровым номером 50:06:0040306:1129 по адресу: Московская область, г.о. Шаховская, у д. Рождествено, земельный участок расположен в центральной и восточной частях кадастрового квартала 50:06:0040306</w:t>
            </w:r>
          </w:p>
        </w:tc>
        <w:tc>
          <w:tcPr>
            <w:tcW w:w="2211" w:type="dxa"/>
            <w:vMerge w:val="restart"/>
          </w:tcPr>
          <w:p>
            <w:pPr>
              <w:pStyle w:val="0"/>
            </w:pPr>
            <w:r>
              <w:rPr>
                <w:sz w:val="20"/>
              </w:rPr>
              <w:t xml:space="preserve">Протяженность 0,9 км</w:t>
            </w:r>
          </w:p>
        </w:tc>
        <w:tc>
          <w:tcPr>
            <w:tcW w:w="1871" w:type="dxa"/>
            <w:vMerge w:val="restart"/>
          </w:tcPr>
          <w:p>
            <w:pPr>
              <w:pStyle w:val="0"/>
            </w:pPr>
            <w:r>
              <w:rPr>
                <w:sz w:val="20"/>
              </w:rPr>
              <w:t xml:space="preserve">Строительство</w:t>
            </w:r>
          </w:p>
        </w:tc>
        <w:tc>
          <w:tcPr>
            <w:tcW w:w="2551" w:type="dxa"/>
            <w:vMerge w:val="restart"/>
          </w:tcPr>
          <w:p>
            <w:pPr>
              <w:pStyle w:val="0"/>
            </w:pPr>
            <w:r>
              <w:rPr>
                <w:sz w:val="20"/>
              </w:rPr>
              <w:t xml:space="preserve">01.10.2023-15.12.2025</w:t>
            </w:r>
          </w:p>
        </w:tc>
        <w:tc>
          <w:tcPr>
            <w:tcW w:w="1361" w:type="dxa"/>
            <w:vMerge w:val="restart"/>
          </w:tcPr>
          <w:p>
            <w:pPr>
              <w:pStyle w:val="0"/>
            </w:pPr>
            <w:r>
              <w:rPr>
                <w:sz w:val="20"/>
              </w:rPr>
              <w:t xml:space="preserve">16.12.2025</w:t>
            </w:r>
          </w:p>
        </w:tc>
        <w:tc>
          <w:tcPr>
            <w:tcW w:w="1757" w:type="dxa"/>
            <w:vMerge w:val="restart"/>
          </w:tcPr>
          <w:p>
            <w:pPr>
              <w:pStyle w:val="0"/>
            </w:pPr>
            <w:r>
              <w:rPr>
                <w:sz w:val="20"/>
              </w:rPr>
              <w:t xml:space="preserve">9375,00</w:t>
            </w:r>
          </w:p>
        </w:tc>
        <w:tc>
          <w:tcPr>
            <w:tcW w:w="1417" w:type="dxa"/>
          </w:tcPr>
          <w:p>
            <w:pPr>
              <w:pStyle w:val="0"/>
            </w:pPr>
            <w:r>
              <w:rPr>
                <w:sz w:val="20"/>
              </w:rPr>
            </w:r>
          </w:p>
        </w:tc>
        <w:tc>
          <w:tcPr>
            <w:tcW w:w="2381" w:type="dxa"/>
          </w:tcPr>
          <w:p>
            <w:pPr>
              <w:pStyle w:val="0"/>
            </w:pPr>
            <w:r>
              <w:rPr>
                <w:sz w:val="20"/>
              </w:rPr>
              <w:t xml:space="preserve">Итого:</w:t>
            </w:r>
          </w:p>
        </w:tc>
        <w:tc>
          <w:tcPr>
            <w:tcW w:w="1417" w:type="dxa"/>
          </w:tcPr>
          <w:p>
            <w:pPr>
              <w:pStyle w:val="0"/>
            </w:pPr>
            <w:r>
              <w:rPr>
                <w:sz w:val="20"/>
              </w:rPr>
              <w:t xml:space="preserve">9375,00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9375,00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9170,00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9170,00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pPr>
            <w:r>
              <w:rPr>
                <w:sz w:val="20"/>
              </w:rPr>
            </w: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205,00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205,00</w:t>
            </w:r>
          </w:p>
        </w:tc>
        <w:tc>
          <w:tcPr>
            <w:tcW w:w="1587" w:type="dxa"/>
          </w:tcPr>
          <w:p>
            <w:pPr>
              <w:pStyle w:val="0"/>
            </w:pPr>
            <w:r>
              <w:rPr>
                <w:sz w:val="20"/>
              </w:rPr>
            </w:r>
          </w:p>
        </w:tc>
      </w:tr>
      <w:tr>
        <w:tc>
          <w:tcPr>
            <w:vMerge w:val="continue"/>
          </w:tcPr>
          <w:p/>
        </w:tc>
        <w:tc>
          <w:tcPr>
            <w:vMerge w:val="continue"/>
          </w:tcPr>
          <w:p/>
        </w:tc>
        <w:tc>
          <w:tcPr>
            <w:vMerge w:val="continue"/>
          </w:tcPr>
          <w:p/>
        </w:tc>
        <w:tc>
          <w:tcPr>
            <w:tcW w:w="1871" w:type="dxa"/>
            <w:vMerge w:val="restart"/>
          </w:tcPr>
          <w:p>
            <w:pPr>
              <w:pStyle w:val="0"/>
            </w:pPr>
            <w:r>
              <w:rPr>
                <w:sz w:val="20"/>
              </w:rPr>
              <w:t xml:space="preserve">в том числе: строительные работы</w:t>
            </w:r>
          </w:p>
        </w:tc>
        <w:tc>
          <w:tcPr>
            <w:tcW w:w="2551" w:type="dxa"/>
            <w:vMerge w:val="restart"/>
          </w:tcPr>
          <w:p>
            <w:pPr>
              <w:pStyle w:val="0"/>
            </w:pPr>
            <w:r>
              <w:rPr>
                <w:sz w:val="20"/>
              </w:rPr>
              <w:t xml:space="preserve">Х</w:t>
            </w:r>
          </w:p>
        </w:tc>
        <w:tc>
          <w:tcPr>
            <w:tcW w:w="1361" w:type="dxa"/>
            <w:vMerge w:val="restart"/>
          </w:tcPr>
          <w:p>
            <w:pPr>
              <w:pStyle w:val="0"/>
            </w:pPr>
            <w:r>
              <w:rPr>
                <w:sz w:val="20"/>
              </w:rPr>
              <w:t xml:space="preserve">Х</w:t>
            </w:r>
          </w:p>
        </w:tc>
        <w:tc>
          <w:tcPr>
            <w:tcW w:w="1757" w:type="dxa"/>
            <w:vMerge w:val="restart"/>
          </w:tcPr>
          <w:p>
            <w:pPr>
              <w:pStyle w:val="0"/>
            </w:pPr>
            <w:r>
              <w:rPr>
                <w:sz w:val="20"/>
              </w:rPr>
              <w:t xml:space="preserve">Х</w:t>
            </w:r>
          </w:p>
        </w:tc>
        <w:tc>
          <w:tcPr>
            <w:tcW w:w="1417" w:type="dxa"/>
            <w:vMerge w:val="restart"/>
          </w:tcPr>
          <w:p>
            <w:pPr>
              <w:pStyle w:val="0"/>
            </w:pPr>
            <w:r>
              <w:rPr>
                <w:sz w:val="20"/>
              </w:rPr>
              <w:t xml:space="preserve">Х</w:t>
            </w:r>
          </w:p>
        </w:tc>
        <w:tc>
          <w:tcPr>
            <w:tcW w:w="2381" w:type="dxa"/>
          </w:tcPr>
          <w:p>
            <w:pPr>
              <w:pStyle w:val="0"/>
            </w:pPr>
            <w:r>
              <w:rPr>
                <w:sz w:val="20"/>
              </w:rPr>
              <w:t xml:space="preserve">Итого:</w:t>
            </w:r>
          </w:p>
        </w:tc>
        <w:tc>
          <w:tcPr>
            <w:tcW w:w="1417" w:type="dxa"/>
          </w:tcPr>
          <w:p>
            <w:pPr>
              <w:pStyle w:val="0"/>
            </w:pPr>
            <w:r>
              <w:rPr>
                <w:sz w:val="20"/>
              </w:rPr>
              <w:t xml:space="preserve">9375,00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9375,00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9170,00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9170,00</w:t>
            </w:r>
          </w:p>
        </w:tc>
        <w:tc>
          <w:tcPr>
            <w:tcW w:w="158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205,00</w:t>
            </w:r>
          </w:p>
        </w:tc>
        <w:tc>
          <w:tcPr>
            <w:tcW w:w="1304" w:type="dxa"/>
          </w:tcPr>
          <w:p>
            <w:pPr>
              <w:pStyle w:val="0"/>
            </w:pPr>
            <w:r>
              <w:rPr>
                <w:sz w:val="20"/>
              </w:rPr>
            </w:r>
          </w:p>
        </w:tc>
        <w:tc>
          <w:tcPr>
            <w:tcW w:w="1304" w:type="dxa"/>
          </w:tcPr>
          <w:p>
            <w:pPr>
              <w:pStyle w:val="0"/>
            </w:pPr>
            <w:r>
              <w:rPr>
                <w:sz w:val="20"/>
              </w:rPr>
            </w:r>
          </w:p>
        </w:tc>
        <w:tc>
          <w:tcPr>
            <w:tcW w:w="1247" w:type="dxa"/>
          </w:tcPr>
          <w:p>
            <w:pPr>
              <w:pStyle w:val="0"/>
            </w:pPr>
            <w:r>
              <w:rPr>
                <w:sz w:val="20"/>
              </w:rPr>
              <w:t xml:space="preserve">205,00</w:t>
            </w:r>
          </w:p>
        </w:tc>
        <w:tc>
          <w:tcPr>
            <w:tcW w:w="1587" w:type="dxa"/>
          </w:tcPr>
          <w:p>
            <w:pPr>
              <w:pStyle w:val="0"/>
            </w:pPr>
            <w:r>
              <w:rPr>
                <w:sz w:val="20"/>
              </w:rPr>
            </w:r>
          </w:p>
        </w:tc>
      </w:tr>
      <w:tr>
        <w:tc>
          <w:tcPr>
            <w:gridSpan w:val="2"/>
            <w:tcW w:w="3629" w:type="dxa"/>
            <w:vMerge w:val="restart"/>
          </w:tcPr>
          <w:p>
            <w:pPr>
              <w:pStyle w:val="0"/>
            </w:pPr>
            <w:r>
              <w:rPr>
                <w:sz w:val="20"/>
              </w:rPr>
              <w:t xml:space="preserve">Всего по перечню</w:t>
            </w:r>
          </w:p>
        </w:tc>
        <w:tc>
          <w:tcPr>
            <w:tcW w:w="2211" w:type="dxa"/>
            <w:vMerge w:val="restart"/>
          </w:tcPr>
          <w:p>
            <w:pPr>
              <w:pStyle w:val="0"/>
            </w:pPr>
            <w:r>
              <w:rPr>
                <w:sz w:val="20"/>
              </w:rPr>
              <w:t xml:space="preserve">X</w:t>
            </w:r>
          </w:p>
        </w:tc>
        <w:tc>
          <w:tcPr>
            <w:tcW w:w="1871" w:type="dxa"/>
            <w:vMerge w:val="restart"/>
          </w:tcPr>
          <w:p>
            <w:pPr>
              <w:pStyle w:val="0"/>
            </w:pPr>
            <w:r>
              <w:rPr>
                <w:sz w:val="20"/>
              </w:rPr>
              <w:t xml:space="preserve">X</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Всего:</w:t>
            </w:r>
          </w:p>
        </w:tc>
        <w:tc>
          <w:tcPr>
            <w:tcW w:w="1417" w:type="dxa"/>
          </w:tcPr>
          <w:p>
            <w:pPr>
              <w:pStyle w:val="0"/>
            </w:pPr>
            <w:r>
              <w:rPr>
                <w:sz w:val="20"/>
              </w:rPr>
              <w:t xml:space="preserve">26139,82</w:t>
            </w:r>
          </w:p>
        </w:tc>
        <w:tc>
          <w:tcPr>
            <w:tcW w:w="1304" w:type="dxa"/>
          </w:tcPr>
          <w:p>
            <w:pPr>
              <w:pStyle w:val="0"/>
            </w:pPr>
            <w:r>
              <w:rPr>
                <w:sz w:val="20"/>
              </w:rPr>
              <w:t xml:space="preserve">16764,82</w:t>
            </w:r>
          </w:p>
        </w:tc>
        <w:tc>
          <w:tcPr>
            <w:tcW w:w="1304" w:type="dxa"/>
          </w:tcPr>
          <w:p>
            <w:pPr>
              <w:pStyle w:val="0"/>
            </w:pPr>
            <w:r>
              <w:rPr>
                <w:sz w:val="20"/>
              </w:rPr>
            </w:r>
          </w:p>
        </w:tc>
        <w:tc>
          <w:tcPr>
            <w:tcW w:w="1247" w:type="dxa"/>
          </w:tcPr>
          <w:p>
            <w:pPr>
              <w:pStyle w:val="0"/>
            </w:pPr>
            <w:r>
              <w:rPr>
                <w:sz w:val="20"/>
              </w:rPr>
              <w:t xml:space="preserve">9375,00</w:t>
            </w:r>
          </w:p>
        </w:tc>
        <w:tc>
          <w:tcPr>
            <w:tcW w:w="1587" w:type="dxa"/>
            <w:vMerge w:val="restart"/>
          </w:tcPr>
          <w:p>
            <w:pPr>
              <w:pStyle w:val="0"/>
            </w:pPr>
            <w:r>
              <w:rPr>
                <w:sz w:val="20"/>
              </w:rPr>
              <w:t xml:space="preserve">X</w:t>
            </w: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25588,92</w:t>
            </w:r>
          </w:p>
        </w:tc>
        <w:tc>
          <w:tcPr>
            <w:tcW w:w="1304" w:type="dxa"/>
          </w:tcPr>
          <w:p>
            <w:pPr>
              <w:pStyle w:val="0"/>
            </w:pPr>
            <w:r>
              <w:rPr>
                <w:sz w:val="20"/>
              </w:rPr>
              <w:t xml:space="preserve">16418,92</w:t>
            </w:r>
          </w:p>
        </w:tc>
        <w:tc>
          <w:tcPr>
            <w:tcW w:w="1304" w:type="dxa"/>
          </w:tcPr>
          <w:p>
            <w:pPr>
              <w:pStyle w:val="0"/>
            </w:pPr>
            <w:r>
              <w:rPr>
                <w:sz w:val="20"/>
              </w:rPr>
            </w:r>
          </w:p>
        </w:tc>
        <w:tc>
          <w:tcPr>
            <w:tcW w:w="1247" w:type="dxa"/>
          </w:tcPr>
          <w:p>
            <w:pPr>
              <w:pStyle w:val="0"/>
            </w:pPr>
            <w:r>
              <w:rPr>
                <w:sz w:val="20"/>
              </w:rPr>
              <w:t xml:space="preserve">9170,00</w:t>
            </w:r>
          </w:p>
        </w:tc>
        <w:tc>
          <w:tcPr>
            <w:vMerge w:val="continue"/>
          </w:tcP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550,90</w:t>
            </w:r>
          </w:p>
        </w:tc>
        <w:tc>
          <w:tcPr>
            <w:tcW w:w="1304" w:type="dxa"/>
          </w:tcPr>
          <w:p>
            <w:pPr>
              <w:pStyle w:val="0"/>
            </w:pPr>
            <w:r>
              <w:rPr>
                <w:sz w:val="20"/>
              </w:rPr>
              <w:t xml:space="preserve">345,90</w:t>
            </w:r>
          </w:p>
        </w:tc>
        <w:tc>
          <w:tcPr>
            <w:tcW w:w="1304" w:type="dxa"/>
          </w:tcPr>
          <w:p>
            <w:pPr>
              <w:pStyle w:val="0"/>
            </w:pPr>
            <w:r>
              <w:rPr>
                <w:sz w:val="20"/>
              </w:rPr>
            </w:r>
          </w:p>
        </w:tc>
        <w:tc>
          <w:tcPr>
            <w:tcW w:w="1247" w:type="dxa"/>
          </w:tcPr>
          <w:p>
            <w:pPr>
              <w:pStyle w:val="0"/>
            </w:pPr>
            <w:r>
              <w:rPr>
                <w:sz w:val="20"/>
              </w:rPr>
              <w:t xml:space="preserve">205,00</w:t>
            </w:r>
          </w:p>
        </w:tc>
        <w:tc>
          <w:tcPr>
            <w:vMerge w:val="continue"/>
          </w:tcPr>
          <w:p/>
        </w:tc>
      </w:tr>
      <w:tr>
        <w:tc>
          <w:tcPr>
            <w:gridSpan w:val="2"/>
            <w:tcW w:w="3629" w:type="dxa"/>
            <w:vMerge w:val="restart"/>
          </w:tcPr>
          <w:p>
            <w:pPr>
              <w:pStyle w:val="0"/>
            </w:pPr>
            <w:r>
              <w:rPr>
                <w:sz w:val="20"/>
              </w:rPr>
              <w:t xml:space="preserve">Нераспределенный остаток</w:t>
            </w:r>
          </w:p>
        </w:tc>
        <w:tc>
          <w:tcPr>
            <w:tcW w:w="2211" w:type="dxa"/>
            <w:vMerge w:val="restart"/>
          </w:tcPr>
          <w:p>
            <w:pPr>
              <w:pStyle w:val="0"/>
            </w:pPr>
            <w:r>
              <w:rPr>
                <w:sz w:val="20"/>
              </w:rPr>
              <w:t xml:space="preserve">X</w:t>
            </w:r>
          </w:p>
        </w:tc>
        <w:tc>
          <w:tcPr>
            <w:tcW w:w="1871" w:type="dxa"/>
            <w:vMerge w:val="restart"/>
          </w:tcPr>
          <w:p>
            <w:pPr>
              <w:pStyle w:val="0"/>
            </w:pPr>
            <w:r>
              <w:rPr>
                <w:sz w:val="20"/>
              </w:rPr>
              <w:t xml:space="preserve">X</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Всего:</w:t>
            </w:r>
          </w:p>
        </w:tc>
        <w:tc>
          <w:tcPr>
            <w:tcW w:w="1417" w:type="dxa"/>
          </w:tcPr>
          <w:p>
            <w:pPr>
              <w:pStyle w:val="0"/>
            </w:pPr>
            <w:r>
              <w:rPr>
                <w:sz w:val="20"/>
              </w:rPr>
              <w:t xml:space="preserve">1,08</w:t>
            </w:r>
          </w:p>
        </w:tc>
        <w:tc>
          <w:tcPr>
            <w:tcW w:w="1304" w:type="dxa"/>
          </w:tcPr>
          <w:p>
            <w:pPr>
              <w:pStyle w:val="0"/>
            </w:pPr>
            <w:r>
              <w:rPr>
                <w:sz w:val="20"/>
              </w:rPr>
              <w:t xml:space="preserve">1,08</w:t>
            </w:r>
          </w:p>
        </w:tc>
        <w:tc>
          <w:tcPr>
            <w:tcW w:w="1304" w:type="dxa"/>
          </w:tcPr>
          <w:p>
            <w:pPr>
              <w:pStyle w:val="0"/>
            </w:pPr>
            <w:r>
              <w:rPr>
                <w:sz w:val="20"/>
              </w:rPr>
            </w:r>
          </w:p>
        </w:tc>
        <w:tc>
          <w:tcPr>
            <w:tcW w:w="1247" w:type="dxa"/>
          </w:tcPr>
          <w:p>
            <w:pPr>
              <w:pStyle w:val="0"/>
            </w:pPr>
            <w:r>
              <w:rPr>
                <w:sz w:val="20"/>
              </w:rPr>
            </w:r>
          </w:p>
        </w:tc>
        <w:tc>
          <w:tcPr>
            <w:tcW w:w="1587" w:type="dxa"/>
            <w:vMerge w:val="restart"/>
          </w:tcPr>
          <w:p>
            <w:pPr>
              <w:pStyle w:val="0"/>
            </w:pPr>
            <w:r>
              <w:rPr>
                <w:sz w:val="20"/>
              </w:rPr>
              <w:t xml:space="preserve">X</w:t>
            </w: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1,08</w:t>
            </w:r>
          </w:p>
        </w:tc>
        <w:tc>
          <w:tcPr>
            <w:tcW w:w="1304" w:type="dxa"/>
          </w:tcPr>
          <w:p>
            <w:pPr>
              <w:pStyle w:val="0"/>
            </w:pPr>
            <w:r>
              <w:rPr>
                <w:sz w:val="20"/>
              </w:rPr>
              <w:t xml:space="preserve">1,08</w:t>
            </w:r>
          </w:p>
        </w:tc>
        <w:tc>
          <w:tcPr>
            <w:tcW w:w="1304" w:type="dxa"/>
          </w:tcPr>
          <w:p>
            <w:pPr>
              <w:pStyle w:val="0"/>
            </w:pPr>
            <w:r>
              <w:rPr>
                <w:sz w:val="20"/>
              </w:rPr>
            </w:r>
          </w:p>
        </w:tc>
        <w:tc>
          <w:tcPr>
            <w:tcW w:w="1247" w:type="dxa"/>
          </w:tcPr>
          <w:p>
            <w:pPr>
              <w:pStyle w:val="0"/>
            </w:pPr>
            <w:r>
              <w:rPr>
                <w:sz w:val="20"/>
              </w:rPr>
            </w:r>
          </w:p>
        </w:tc>
        <w:tc>
          <w:tcPr>
            <w:vMerge w:val="continue"/>
          </w:tcPr>
          <w:p/>
        </w:tc>
      </w:tr>
      <w:tr>
        <w:tc>
          <w:tcPr>
            <w:gridSpan w:val="2"/>
            <w:tcW w:w="3629" w:type="dxa"/>
            <w:vMerge w:val="restart"/>
          </w:tcPr>
          <w:p>
            <w:pPr>
              <w:pStyle w:val="0"/>
            </w:pPr>
            <w:r>
              <w:rPr>
                <w:sz w:val="20"/>
              </w:rPr>
              <w:t xml:space="preserve">Всего по мероприятию</w:t>
            </w:r>
          </w:p>
        </w:tc>
        <w:tc>
          <w:tcPr>
            <w:tcW w:w="2211" w:type="dxa"/>
            <w:vMerge w:val="restart"/>
          </w:tcPr>
          <w:p>
            <w:pPr>
              <w:pStyle w:val="0"/>
            </w:pPr>
            <w:r>
              <w:rPr>
                <w:sz w:val="20"/>
              </w:rPr>
              <w:t xml:space="preserve">X</w:t>
            </w:r>
          </w:p>
        </w:tc>
        <w:tc>
          <w:tcPr>
            <w:tcW w:w="1871" w:type="dxa"/>
            <w:vMerge w:val="restart"/>
          </w:tcPr>
          <w:p>
            <w:pPr>
              <w:pStyle w:val="0"/>
            </w:pPr>
            <w:r>
              <w:rPr>
                <w:sz w:val="20"/>
              </w:rPr>
              <w:t xml:space="preserve">X</w:t>
            </w:r>
          </w:p>
        </w:tc>
        <w:tc>
          <w:tcPr>
            <w:tcW w:w="2551" w:type="dxa"/>
            <w:vMerge w:val="restart"/>
          </w:tcPr>
          <w:p>
            <w:pPr>
              <w:pStyle w:val="0"/>
            </w:pPr>
            <w:r>
              <w:rPr>
                <w:sz w:val="20"/>
              </w:rPr>
              <w:t xml:space="preserve">X</w:t>
            </w:r>
          </w:p>
        </w:tc>
        <w:tc>
          <w:tcPr>
            <w:tcW w:w="1361" w:type="dxa"/>
            <w:vMerge w:val="restart"/>
          </w:tcPr>
          <w:p>
            <w:pPr>
              <w:pStyle w:val="0"/>
            </w:pPr>
            <w:r>
              <w:rPr>
                <w:sz w:val="20"/>
              </w:rPr>
              <w:t xml:space="preserve">X</w:t>
            </w:r>
          </w:p>
        </w:tc>
        <w:tc>
          <w:tcPr>
            <w:tcW w:w="1757" w:type="dxa"/>
            <w:vMerge w:val="restart"/>
          </w:tcPr>
          <w:p>
            <w:pPr>
              <w:pStyle w:val="0"/>
            </w:pPr>
            <w:r>
              <w:rPr>
                <w:sz w:val="20"/>
              </w:rPr>
              <w:t xml:space="preserve">X</w:t>
            </w:r>
          </w:p>
        </w:tc>
        <w:tc>
          <w:tcPr>
            <w:tcW w:w="1417" w:type="dxa"/>
            <w:vMerge w:val="restart"/>
          </w:tcPr>
          <w:p>
            <w:pPr>
              <w:pStyle w:val="0"/>
            </w:pPr>
            <w:r>
              <w:rPr>
                <w:sz w:val="20"/>
              </w:rPr>
              <w:t xml:space="preserve">X</w:t>
            </w:r>
          </w:p>
        </w:tc>
        <w:tc>
          <w:tcPr>
            <w:tcW w:w="2381" w:type="dxa"/>
          </w:tcPr>
          <w:p>
            <w:pPr>
              <w:pStyle w:val="0"/>
            </w:pPr>
            <w:r>
              <w:rPr>
                <w:sz w:val="20"/>
              </w:rPr>
              <w:t xml:space="preserve">Всего:</w:t>
            </w:r>
          </w:p>
        </w:tc>
        <w:tc>
          <w:tcPr>
            <w:tcW w:w="1417" w:type="dxa"/>
          </w:tcPr>
          <w:p>
            <w:pPr>
              <w:pStyle w:val="0"/>
            </w:pPr>
            <w:r>
              <w:rPr>
                <w:sz w:val="20"/>
              </w:rPr>
              <w:t xml:space="preserve">26140,90</w:t>
            </w:r>
          </w:p>
        </w:tc>
        <w:tc>
          <w:tcPr>
            <w:tcW w:w="1304" w:type="dxa"/>
          </w:tcPr>
          <w:p>
            <w:pPr>
              <w:pStyle w:val="0"/>
            </w:pPr>
            <w:r>
              <w:rPr>
                <w:sz w:val="20"/>
              </w:rPr>
              <w:t xml:space="preserve">16765,90</w:t>
            </w:r>
          </w:p>
        </w:tc>
        <w:tc>
          <w:tcPr>
            <w:tcW w:w="1304" w:type="dxa"/>
          </w:tcPr>
          <w:p>
            <w:pPr>
              <w:pStyle w:val="0"/>
            </w:pPr>
            <w:r>
              <w:rPr>
                <w:sz w:val="20"/>
              </w:rPr>
            </w:r>
          </w:p>
        </w:tc>
        <w:tc>
          <w:tcPr>
            <w:tcW w:w="1247" w:type="dxa"/>
          </w:tcPr>
          <w:p>
            <w:pPr>
              <w:pStyle w:val="0"/>
            </w:pPr>
            <w:r>
              <w:rPr>
                <w:sz w:val="20"/>
              </w:rPr>
              <w:t xml:space="preserve">9375,00</w:t>
            </w:r>
          </w:p>
        </w:tc>
        <w:tc>
          <w:tcPr>
            <w:tcW w:w="1587" w:type="dxa"/>
            <w:vMerge w:val="restart"/>
          </w:tcPr>
          <w:p>
            <w:pPr>
              <w:pStyle w:val="0"/>
            </w:pPr>
            <w:r>
              <w:rPr>
                <w:sz w:val="20"/>
              </w:rPr>
              <w:t xml:space="preserve">X</w:t>
            </w: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Московской области</w:t>
            </w:r>
          </w:p>
        </w:tc>
        <w:tc>
          <w:tcPr>
            <w:tcW w:w="1417" w:type="dxa"/>
          </w:tcPr>
          <w:p>
            <w:pPr>
              <w:pStyle w:val="0"/>
            </w:pPr>
            <w:r>
              <w:rPr>
                <w:sz w:val="20"/>
              </w:rPr>
              <w:t xml:space="preserve">25590,00</w:t>
            </w:r>
          </w:p>
        </w:tc>
        <w:tc>
          <w:tcPr>
            <w:tcW w:w="1304" w:type="dxa"/>
          </w:tcPr>
          <w:p>
            <w:pPr>
              <w:pStyle w:val="0"/>
            </w:pPr>
            <w:r>
              <w:rPr>
                <w:sz w:val="20"/>
              </w:rPr>
              <w:t xml:space="preserve">16420,00</w:t>
            </w:r>
          </w:p>
        </w:tc>
        <w:tc>
          <w:tcPr>
            <w:tcW w:w="1304" w:type="dxa"/>
          </w:tcPr>
          <w:p>
            <w:pPr>
              <w:pStyle w:val="0"/>
            </w:pPr>
            <w:r>
              <w:rPr>
                <w:sz w:val="20"/>
              </w:rPr>
            </w:r>
          </w:p>
        </w:tc>
        <w:tc>
          <w:tcPr>
            <w:tcW w:w="1247" w:type="dxa"/>
          </w:tcPr>
          <w:p>
            <w:pPr>
              <w:pStyle w:val="0"/>
            </w:pPr>
            <w:r>
              <w:rPr>
                <w:sz w:val="20"/>
              </w:rPr>
              <w:t xml:space="preserve">9170,00</w:t>
            </w:r>
          </w:p>
        </w:tc>
        <w:tc>
          <w:tcPr>
            <w:vMerge w:val="continue"/>
          </w:tcPr>
          <w:p/>
        </w:tc>
      </w:tr>
      <w:tr>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Pr>
          <w:p>
            <w:pPr>
              <w:pStyle w:val="0"/>
            </w:pPr>
            <w:r>
              <w:rPr>
                <w:sz w:val="20"/>
              </w:rPr>
              <w:t xml:space="preserve">Средства бюджета муниципального образования Московской области</w:t>
            </w:r>
          </w:p>
        </w:tc>
        <w:tc>
          <w:tcPr>
            <w:tcW w:w="1417" w:type="dxa"/>
          </w:tcPr>
          <w:p>
            <w:pPr>
              <w:pStyle w:val="0"/>
            </w:pPr>
            <w:r>
              <w:rPr>
                <w:sz w:val="20"/>
              </w:rPr>
              <w:t xml:space="preserve">550,90</w:t>
            </w:r>
          </w:p>
        </w:tc>
        <w:tc>
          <w:tcPr>
            <w:tcW w:w="1304" w:type="dxa"/>
          </w:tcPr>
          <w:p>
            <w:pPr>
              <w:pStyle w:val="0"/>
            </w:pPr>
            <w:r>
              <w:rPr>
                <w:sz w:val="20"/>
              </w:rPr>
              <w:t xml:space="preserve">345,90</w:t>
            </w:r>
          </w:p>
        </w:tc>
        <w:tc>
          <w:tcPr>
            <w:tcW w:w="1304" w:type="dxa"/>
          </w:tcPr>
          <w:p>
            <w:pPr>
              <w:pStyle w:val="0"/>
            </w:pPr>
            <w:r>
              <w:rPr>
                <w:sz w:val="20"/>
              </w:rPr>
            </w:r>
          </w:p>
        </w:tc>
        <w:tc>
          <w:tcPr>
            <w:tcW w:w="1247" w:type="dxa"/>
          </w:tcPr>
          <w:p>
            <w:pPr>
              <w:pStyle w:val="0"/>
            </w:pPr>
            <w:r>
              <w:rPr>
                <w:sz w:val="20"/>
              </w:rPr>
              <w:t xml:space="preserve">205,00</w:t>
            </w: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Справочная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871"/>
        <w:gridCol w:w="851"/>
        <w:gridCol w:w="850"/>
        <w:gridCol w:w="851"/>
      </w:tblGrid>
      <w:tr>
        <w:tc>
          <w:tcPr>
            <w:tcW w:w="2154" w:type="dxa"/>
          </w:tcPr>
          <w:p>
            <w:pPr>
              <w:pStyle w:val="0"/>
              <w:jc w:val="center"/>
            </w:pPr>
            <w:r>
              <w:rPr>
                <w:sz w:val="20"/>
              </w:rPr>
              <w:t xml:space="preserve">Количество объектов</w:t>
            </w:r>
          </w:p>
        </w:tc>
        <w:tc>
          <w:tcPr>
            <w:tcW w:w="1871" w:type="dxa"/>
          </w:tcPr>
          <w:p>
            <w:pPr>
              <w:pStyle w:val="0"/>
              <w:jc w:val="center"/>
            </w:pPr>
            <w:r>
              <w:rPr>
                <w:sz w:val="20"/>
              </w:rPr>
              <w:t xml:space="preserve">Всего, в том числе по годам реализации:</w:t>
            </w:r>
          </w:p>
        </w:tc>
        <w:tc>
          <w:tcPr>
            <w:tcW w:w="851" w:type="dxa"/>
          </w:tcPr>
          <w:p>
            <w:pPr>
              <w:pStyle w:val="0"/>
              <w:jc w:val="center"/>
            </w:pPr>
            <w:r>
              <w:rPr>
                <w:sz w:val="20"/>
              </w:rPr>
              <w:t xml:space="preserve">2023 год</w:t>
            </w:r>
          </w:p>
        </w:tc>
        <w:tc>
          <w:tcPr>
            <w:tcW w:w="850" w:type="dxa"/>
          </w:tcPr>
          <w:p>
            <w:pPr>
              <w:pStyle w:val="0"/>
              <w:jc w:val="center"/>
            </w:pPr>
            <w:r>
              <w:rPr>
                <w:sz w:val="20"/>
              </w:rPr>
              <w:t xml:space="preserve">2024 год</w:t>
            </w:r>
          </w:p>
        </w:tc>
        <w:tc>
          <w:tcPr>
            <w:tcW w:w="851" w:type="dxa"/>
          </w:tcPr>
          <w:p>
            <w:pPr>
              <w:pStyle w:val="0"/>
              <w:jc w:val="center"/>
            </w:pPr>
            <w:r>
              <w:rPr>
                <w:sz w:val="20"/>
              </w:rPr>
              <w:t xml:space="preserve">2025 год</w:t>
            </w:r>
          </w:p>
        </w:tc>
      </w:tr>
      <w:tr>
        <w:tc>
          <w:tcPr>
            <w:tcW w:w="2154" w:type="dxa"/>
          </w:tcPr>
          <w:p>
            <w:pPr>
              <w:pStyle w:val="0"/>
            </w:pPr>
            <w:r>
              <w:rPr>
                <w:sz w:val="20"/>
              </w:rPr>
              <w:t xml:space="preserve">вводимых, ед.</w:t>
            </w:r>
          </w:p>
        </w:tc>
        <w:tc>
          <w:tcPr>
            <w:tcW w:w="1871" w:type="dxa"/>
          </w:tcPr>
          <w:p>
            <w:pPr>
              <w:pStyle w:val="0"/>
            </w:pPr>
            <w:r>
              <w:rPr>
                <w:sz w:val="20"/>
              </w:rPr>
              <w:t xml:space="preserve">3</w:t>
            </w:r>
          </w:p>
        </w:tc>
        <w:tc>
          <w:tcPr>
            <w:tcW w:w="851" w:type="dxa"/>
          </w:tcPr>
          <w:p>
            <w:pPr>
              <w:pStyle w:val="0"/>
            </w:pPr>
            <w:r>
              <w:rPr>
                <w:sz w:val="20"/>
              </w:rPr>
              <w:t xml:space="preserve">2</w:t>
            </w:r>
          </w:p>
        </w:tc>
        <w:tc>
          <w:tcPr>
            <w:tcW w:w="850" w:type="dxa"/>
          </w:tcPr>
          <w:p>
            <w:pPr>
              <w:pStyle w:val="0"/>
            </w:pPr>
            <w:r>
              <w:rPr>
                <w:sz w:val="20"/>
              </w:rPr>
              <w:t xml:space="preserve">-</w:t>
            </w:r>
          </w:p>
        </w:tc>
        <w:tc>
          <w:tcPr>
            <w:tcW w:w="851" w:type="dxa"/>
          </w:tcPr>
          <w:p>
            <w:pPr>
              <w:pStyle w:val="0"/>
            </w:pPr>
            <w:r>
              <w:rPr>
                <w:sz w:val="20"/>
              </w:rPr>
              <w:t xml:space="preserve">1</w:t>
            </w:r>
          </w:p>
        </w:tc>
      </w:tr>
      <w:tr>
        <w:tc>
          <w:tcPr>
            <w:tcW w:w="2154" w:type="dxa"/>
          </w:tcPr>
          <w:p>
            <w:pPr>
              <w:pStyle w:val="0"/>
            </w:pPr>
            <w:r>
              <w:rPr>
                <w:sz w:val="20"/>
              </w:rPr>
              <w:t xml:space="preserve">открываемых, ед.</w:t>
            </w:r>
          </w:p>
        </w:tc>
        <w:tc>
          <w:tcPr>
            <w:tcW w:w="1871" w:type="dxa"/>
          </w:tcPr>
          <w:p>
            <w:pPr>
              <w:pStyle w:val="0"/>
            </w:pPr>
            <w:r>
              <w:rPr>
                <w:sz w:val="20"/>
              </w:rPr>
              <w:t xml:space="preserve">3</w:t>
            </w:r>
          </w:p>
        </w:tc>
        <w:tc>
          <w:tcPr>
            <w:tcW w:w="851" w:type="dxa"/>
          </w:tcPr>
          <w:p>
            <w:pPr>
              <w:pStyle w:val="0"/>
            </w:pPr>
            <w:r>
              <w:rPr>
                <w:sz w:val="20"/>
              </w:rPr>
              <w:t xml:space="preserve">2</w:t>
            </w:r>
          </w:p>
        </w:tc>
        <w:tc>
          <w:tcPr>
            <w:tcW w:w="850" w:type="dxa"/>
          </w:tcPr>
          <w:p>
            <w:pPr>
              <w:pStyle w:val="0"/>
            </w:pPr>
            <w:r>
              <w:rPr>
                <w:sz w:val="20"/>
              </w:rPr>
              <w:t xml:space="preserve">-</w:t>
            </w:r>
          </w:p>
        </w:tc>
        <w:tc>
          <w:tcPr>
            <w:tcW w:w="851" w:type="dxa"/>
          </w:tcPr>
          <w:p>
            <w:pPr>
              <w:pStyle w:val="0"/>
            </w:pPr>
            <w:r>
              <w:rPr>
                <w:sz w:val="20"/>
              </w:rPr>
              <w:t xml:space="preserve">1</w:t>
            </w:r>
          </w:p>
        </w:tc>
      </w:tr>
    </w:tbl>
    <w:p>
      <w:pPr>
        <w:pStyle w:val="0"/>
        <w:jc w:val="both"/>
      </w:pPr>
      <w:r>
        <w:rPr>
          <w:sz w:val="20"/>
        </w:rPr>
      </w:r>
    </w:p>
    <w:bookmarkStart w:id="7949" w:name="P7949"/>
    <w:bookmarkEnd w:id="7949"/>
    <w:p>
      <w:pPr>
        <w:pStyle w:val="2"/>
        <w:outlineLvl w:val="2"/>
        <w:jc w:val="center"/>
      </w:pPr>
      <w:r>
        <w:rPr>
          <w:sz w:val="20"/>
        </w:rPr>
        <w:t xml:space="preserve">5.6. Порядок принятия решения о наличии потребности</w:t>
      </w:r>
    </w:p>
    <w:p>
      <w:pPr>
        <w:pStyle w:val="2"/>
        <w:jc w:val="center"/>
      </w:pPr>
      <w:r>
        <w:rPr>
          <w:sz w:val="20"/>
        </w:rPr>
        <w:t xml:space="preserve">в не использованных в отчетном финансовом году остатках</w:t>
      </w:r>
    </w:p>
    <w:p>
      <w:pPr>
        <w:pStyle w:val="2"/>
        <w:jc w:val="center"/>
      </w:pPr>
      <w:r>
        <w:rPr>
          <w:sz w:val="20"/>
        </w:rPr>
        <w:t xml:space="preserve">субсидий, в том числе грантов в форме субсидий, или</w:t>
      </w:r>
    </w:p>
    <w:p>
      <w:pPr>
        <w:pStyle w:val="2"/>
        <w:jc w:val="center"/>
      </w:pPr>
      <w:r>
        <w:rPr>
          <w:sz w:val="20"/>
        </w:rPr>
        <w:t xml:space="preserve">о возврате указанных средств, предоставленных из бюджета</w:t>
      </w:r>
    </w:p>
    <w:p>
      <w:pPr>
        <w:pStyle w:val="2"/>
        <w:jc w:val="center"/>
      </w:pPr>
      <w:r>
        <w:rPr>
          <w:sz w:val="20"/>
        </w:rPr>
        <w:t xml:space="preserve">Московской области на финансовое обеспечение затрат в рамках</w:t>
      </w:r>
    </w:p>
    <w:p>
      <w:pPr>
        <w:pStyle w:val="2"/>
        <w:jc w:val="center"/>
      </w:pPr>
      <w:r>
        <w:rPr>
          <w:sz w:val="20"/>
        </w:rPr>
        <w:t xml:space="preserve">реализации мероприятий Подпрограммы 1</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540" w:tooltip="Постановление Правительства МО от 12.02.2024 N 10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12.02.2024 N 104-ПП)</w:t>
      </w:r>
    </w:p>
    <w:p>
      <w:pPr>
        <w:pStyle w:val="0"/>
        <w:jc w:val="both"/>
      </w:pPr>
      <w:r>
        <w:rPr>
          <w:sz w:val="20"/>
        </w:rPr>
      </w:r>
    </w:p>
    <w:p>
      <w:pPr>
        <w:pStyle w:val="0"/>
        <w:ind w:firstLine="540"/>
        <w:jc w:val="both"/>
      </w:pPr>
      <w:r>
        <w:rPr>
          <w:sz w:val="20"/>
        </w:rPr>
        <w:t xml:space="preserve">1. Настоящий порядок определяет правила принятия Мининвестом Московской области решения о наличии потребности в не использованных в отчетном финансовом году остатках субсидий, в том числе грантов в форме субсидий, предоставленных из бюджета Московской области получателям субсидий в рамках реализации мероприятий Подпрограммы 1 государственной программы в соответствии с </w:t>
      </w:r>
      <w:hyperlink w:history="0" r:id="rId54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пунктами 1</w:t>
        </w:r>
      </w:hyperlink>
      <w:r>
        <w:rPr>
          <w:sz w:val="20"/>
        </w:rPr>
        <w:t xml:space="preserve">, </w:t>
      </w:r>
      <w:hyperlink w:history="0" r:id="rId5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7</w:t>
        </w:r>
      </w:hyperlink>
      <w:r>
        <w:rPr>
          <w:sz w:val="20"/>
        </w:rPr>
        <w:t xml:space="preserve"> и </w:t>
      </w:r>
      <w:hyperlink w:history="0" r:id="rId5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8 статьи 78</w:t>
        </w:r>
      </w:hyperlink>
      <w:r>
        <w:rPr>
          <w:sz w:val="20"/>
        </w:rPr>
        <w:t xml:space="preserve">, </w:t>
      </w:r>
      <w:hyperlink w:history="0" r:id="rId54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пунктами 2</w:t>
        </w:r>
      </w:hyperlink>
      <w:r>
        <w:rPr>
          <w:sz w:val="20"/>
        </w:rPr>
        <w:t xml:space="preserve"> и </w:t>
      </w:r>
      <w:hyperlink w:history="0" r:id="rId5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4 статьи 78.1</w:t>
        </w:r>
      </w:hyperlink>
      <w:r>
        <w:rPr>
          <w:sz w:val="20"/>
        </w:rPr>
        <w:t xml:space="preserve"> Бюджетного кодекса Российской Федерации на финансовое обеспечение затрат (далее - Порядок, субсидия, остаток субсидии, получатель субсидии, наличие потребности), или о возврате остатков субсидии в бюджет Московской области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(далее - возврат остатка субсидии).</w:t>
      </w:r>
    </w:p>
    <w:p>
      <w:pPr>
        <w:pStyle w:val="0"/>
        <w:spacing w:before="200" w:line-rule="auto"/>
        <w:ind w:firstLine="540"/>
        <w:jc w:val="both"/>
      </w:pPr>
      <w:r>
        <w:rPr>
          <w:sz w:val="20"/>
        </w:rPr>
        <w:t xml:space="preserve">Положения настоящего Порядка применяются при наличии потребности в случае, если возможность использования остатков субсидии установлена порядком предоставления субсидий из бюджета Московской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юридическим лицам, 100 процентов акций (долей) которых принадлежит Московской области, Подпрограммы 1 государственной программы (далее - порядок предоставления субсидии) и соглашениями о предоставлении субсидий из бюджета Московской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юридическим лицам, 100 процентов акций (долей) которых принадлежит Московской области (далее - соглашение о предоставлении субсидии).</w:t>
      </w:r>
    </w:p>
    <w:p>
      <w:pPr>
        <w:pStyle w:val="0"/>
        <w:spacing w:before="200" w:line-rule="auto"/>
        <w:ind w:firstLine="540"/>
        <w:jc w:val="both"/>
      </w:pPr>
      <w:r>
        <w:rPr>
          <w:sz w:val="20"/>
        </w:rPr>
        <w:t xml:space="preserve">Решение о наличии потребности в использовании остатков субсидии прошлых лет, предшествующих отчетному финансовому году, не принимается. Указанные остатки субсидии прошлых лет, предшествующих отчетному финансовому году, подлежат возврату в доход бюджета Московской области.</w:t>
      </w:r>
    </w:p>
    <w:p>
      <w:pPr>
        <w:pStyle w:val="0"/>
        <w:spacing w:before="200" w:line-rule="auto"/>
        <w:ind w:firstLine="540"/>
        <w:jc w:val="both"/>
      </w:pPr>
      <w:r>
        <w:rPr>
          <w:sz w:val="20"/>
        </w:rPr>
        <w:t xml:space="preserve">2. В отношении субсидий, частично или полностью предоставляемых за счет средств федерального бюджета, настоящий Порядок применяется в части, не противоречащей нормативным правовым актам Российской Федерации, устанавливающим порядок и условия предоставления средств из федерального бюджета, а также положениям заключенных в соответствии с ними соглашений о предоставлении субсидии.</w:t>
      </w:r>
    </w:p>
    <w:bookmarkStart w:id="7964" w:name="P7964"/>
    <w:bookmarkEnd w:id="7964"/>
    <w:p>
      <w:pPr>
        <w:pStyle w:val="0"/>
        <w:spacing w:before="200" w:line-rule="auto"/>
        <w:ind w:firstLine="540"/>
        <w:jc w:val="both"/>
      </w:pPr>
      <w:r>
        <w:rPr>
          <w:sz w:val="20"/>
        </w:rPr>
        <w:t xml:space="preserve">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w:t>
      </w:r>
    </w:p>
    <w:p>
      <w:pPr>
        <w:pStyle w:val="0"/>
        <w:jc w:val="both"/>
      </w:pPr>
      <w:r>
        <w:rPr>
          <w:sz w:val="20"/>
        </w:rPr>
        <w:t xml:space="preserve">(в ред. </w:t>
      </w:r>
      <w:hyperlink w:history="0" r:id="rId54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08.10.2024 N 1223-ПП)</w:t>
      </w:r>
    </w:p>
    <w:p>
      <w:pPr>
        <w:pStyle w:val="0"/>
        <w:spacing w:before="200" w:line-rule="auto"/>
        <w:ind w:firstLine="540"/>
        <w:jc w:val="both"/>
      </w:pPr>
      <w:r>
        <w:rPr>
          <w:sz w:val="20"/>
        </w:rPr>
        <w:t xml:space="preserve">1) сформированный получателем субсидии по состоянию на 1 января текущего финансового года отчет о расходах получателя субсидии, источником финансового обеспечения которых является субсидия;</w:t>
      </w:r>
    </w:p>
    <w:p>
      <w:pPr>
        <w:pStyle w:val="0"/>
        <w:spacing w:before="200" w:line-rule="auto"/>
        <w:ind w:firstLine="540"/>
        <w:jc w:val="both"/>
      </w:pPr>
      <w:r>
        <w:rPr>
          <w:sz w:val="20"/>
        </w:rPr>
        <w:t xml:space="preserve">2) пояснительную записку, содержащую:</w:t>
      </w:r>
    </w:p>
    <w:p>
      <w:pPr>
        <w:pStyle w:val="0"/>
        <w:spacing w:before="200" w:line-rule="auto"/>
        <w:ind w:firstLine="540"/>
        <w:jc w:val="both"/>
      </w:pPr>
      <w:r>
        <w:rPr>
          <w:sz w:val="20"/>
        </w:rPr>
        <w:t xml:space="preserve">сведения об объемах остатков субсидии;</w:t>
      </w:r>
    </w:p>
    <w:p>
      <w:pPr>
        <w:pStyle w:val="0"/>
        <w:spacing w:before="200" w:line-rule="auto"/>
        <w:ind w:firstLine="540"/>
        <w:jc w:val="both"/>
      </w:pPr>
      <w:r>
        <w:rPr>
          <w:sz w:val="20"/>
        </w:rPr>
        <w:t xml:space="preserve">причины образования остатков субсидии;</w:t>
      </w:r>
    </w:p>
    <w:p>
      <w:pPr>
        <w:pStyle w:val="0"/>
        <w:spacing w:before="200" w:line-rule="auto"/>
        <w:ind w:firstLine="540"/>
        <w:jc w:val="both"/>
      </w:pPr>
      <w:r>
        <w:rPr>
          <w:sz w:val="20"/>
        </w:rPr>
        <w:t xml:space="preserve">обоснование потребности в использовании остатков субсидии в текущем финансовом году на цели, определенные порядком предоставления субсидии;</w:t>
      </w:r>
    </w:p>
    <w:p>
      <w:pPr>
        <w:pStyle w:val="0"/>
        <w:spacing w:before="200" w:line-rule="auto"/>
        <w:ind w:firstLine="540"/>
        <w:jc w:val="both"/>
      </w:pPr>
      <w:r>
        <w:rPr>
          <w:sz w:val="20"/>
        </w:rPr>
        <w:t xml:space="preserve">направления расходов, источником финансового обеспечения которых являются остатки субсидии, соответствующие целям предоставления субсидии, определенным порядком предоставления субсидии и заключенным соглашением о предоставлении субсидии;</w:t>
      </w:r>
    </w:p>
    <w:p>
      <w:pPr>
        <w:pStyle w:val="0"/>
        <w:spacing w:before="200" w:line-rule="auto"/>
        <w:ind w:firstLine="540"/>
        <w:jc w:val="both"/>
      </w:pPr>
      <w:r>
        <w:rPr>
          <w:sz w:val="20"/>
        </w:rPr>
        <w:t xml:space="preserve">3) расчеты и заверенные копии документов (при наличии), подтверждающие потребность в использовании остатков субсидии на цели, определенные порядком предоставления субсидии;</w:t>
      </w:r>
    </w:p>
    <w:p>
      <w:pPr>
        <w:pStyle w:val="0"/>
        <w:spacing w:before="200" w:line-rule="auto"/>
        <w:ind w:firstLine="540"/>
        <w:jc w:val="both"/>
      </w:pPr>
      <w:r>
        <w:rPr>
          <w:sz w:val="20"/>
        </w:rPr>
        <w:t xml:space="preserve">4) отчет о достижении значений результатов предоставления субсидий и их характеристик за отчетный финансовый год;</w:t>
      </w:r>
    </w:p>
    <w:p>
      <w:pPr>
        <w:pStyle w:val="0"/>
        <w:spacing w:before="200" w:line-rule="auto"/>
        <w:ind w:firstLine="540"/>
        <w:jc w:val="both"/>
      </w:pPr>
      <w:r>
        <w:rPr>
          <w:sz w:val="20"/>
        </w:rPr>
        <w:t xml:space="preserve">5) сведения (расчет) о планируемых значениях результатов предоставления субсидии и их характеристик за счет использования остатков субсидии.</w:t>
      </w:r>
    </w:p>
    <w:p>
      <w:pPr>
        <w:pStyle w:val="0"/>
        <w:spacing w:before="200" w:line-rule="auto"/>
        <w:ind w:firstLine="540"/>
        <w:jc w:val="both"/>
      </w:pPr>
      <w:r>
        <w:rPr>
          <w:sz w:val="20"/>
        </w:rPr>
        <w:t xml:space="preserve">4. Получатели субсидии несут ответственность за достоверность информации и документов, указанных в </w:t>
      </w:r>
      <w:hyperlink w:history="0" w:anchor="P7964"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5. Мининвест Московской области не позднее 5 рабочих дней, следующих за днем поступления обращения, готовит </w:t>
      </w:r>
      <w:hyperlink w:history="0" w:anchor="P7995" w:tooltip="СПРАВКА">
        <w:r>
          <w:rPr>
            <w:sz w:val="20"/>
            <w:color w:val="0000ff"/>
          </w:rPr>
          <w:t xml:space="preserve">справку</w:t>
        </w:r>
      </w:hyperlink>
      <w:r>
        <w:rPr>
          <w:sz w:val="20"/>
        </w:rPr>
        <w:t xml:space="preserve"> по форме согласно таблице 1 и один из следующих документов:</w:t>
      </w:r>
    </w:p>
    <w:bookmarkStart w:id="7977" w:name="P7977"/>
    <w:bookmarkEnd w:id="7977"/>
    <w:p>
      <w:pPr>
        <w:pStyle w:val="0"/>
        <w:spacing w:before="200" w:line-rule="auto"/>
        <w:ind w:firstLine="540"/>
        <w:jc w:val="both"/>
      </w:pPr>
      <w:r>
        <w:rPr>
          <w:sz w:val="20"/>
        </w:rPr>
        <w:t xml:space="preserve">1) проект решения о подтверждении наличия потребности, которое оформляется в виде проекта приказа Мининвеста Московской области (далее - проект Решения);</w:t>
      </w:r>
    </w:p>
    <w:bookmarkStart w:id="7978" w:name="P7978"/>
    <w:bookmarkEnd w:id="7978"/>
    <w:p>
      <w:pPr>
        <w:pStyle w:val="0"/>
        <w:spacing w:before="200" w:line-rule="auto"/>
        <w:ind w:firstLine="540"/>
        <w:jc w:val="both"/>
      </w:pPr>
      <w:r>
        <w:rPr>
          <w:sz w:val="20"/>
        </w:rPr>
        <w:t xml:space="preserve">2) решение о возврате остатка субсидии, которое оформляется в виде требования о возврате,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(далее - Требование о возврате).</w:t>
      </w:r>
    </w:p>
    <w:bookmarkStart w:id="7979" w:name="P7979"/>
    <w:bookmarkEnd w:id="7979"/>
    <w:p>
      <w:pPr>
        <w:pStyle w:val="0"/>
        <w:spacing w:before="200" w:line-rule="auto"/>
        <w:ind w:firstLine="540"/>
        <w:jc w:val="both"/>
      </w:pPr>
      <w:r>
        <w:rPr>
          <w:sz w:val="20"/>
        </w:rPr>
        <w:t xml:space="preserve">6. Основанием для подготовки проекта Решения, указанного в </w:t>
      </w:r>
      <w:hyperlink w:history="0" w:anchor="P7977" w:tooltip="1) проект решения о подтверждении наличия потребности, которое оформляется в виде проекта приказа Мининвеста Московской области (далее - проект Решения);">
        <w:r>
          <w:rPr>
            <w:sz w:val="20"/>
            <w:color w:val="0000ff"/>
          </w:rPr>
          <w:t xml:space="preserve">подпункте 1 пункта 5</w:t>
        </w:r>
      </w:hyperlink>
      <w:r>
        <w:rPr>
          <w:sz w:val="20"/>
        </w:rPr>
        <w:t xml:space="preserve"> настоящего Порядка, является одновременное соблюдение следующих условий:</w:t>
      </w:r>
    </w:p>
    <w:p>
      <w:pPr>
        <w:pStyle w:val="0"/>
        <w:spacing w:before="200" w:line-rule="auto"/>
        <w:ind w:firstLine="540"/>
        <w:jc w:val="both"/>
      </w:pPr>
      <w:r>
        <w:rPr>
          <w:sz w:val="20"/>
        </w:rPr>
        <w:t xml:space="preserve">1) представление обращения в сроки, установленные </w:t>
      </w:r>
      <w:hyperlink w:history="0" w:anchor="P7964"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наличие в порядке предоставления субсидии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pPr>
        <w:pStyle w:val="0"/>
        <w:spacing w:before="200" w:line-rule="auto"/>
        <w:ind w:firstLine="540"/>
        <w:jc w:val="both"/>
      </w:pPr>
      <w:r>
        <w:rPr>
          <w:sz w:val="20"/>
        </w:rPr>
        <w:t xml:space="preserve">3) соответствие указанных в обращении направлений расходов, источником финансового обеспечения которых являются остатки субсидии, целям предоставления субсидии, определенным порядком предоставления субсидии и заключенным соглашением о предоставлении субсидии;</w:t>
      </w:r>
    </w:p>
    <w:p>
      <w:pPr>
        <w:pStyle w:val="0"/>
        <w:spacing w:before="200" w:line-rule="auto"/>
        <w:ind w:firstLine="540"/>
        <w:jc w:val="both"/>
      </w:pPr>
      <w:r>
        <w:rPr>
          <w:sz w:val="20"/>
        </w:rPr>
        <w:t xml:space="preserve">4) представление документов, соответствующих требованиям </w:t>
      </w:r>
      <w:hyperlink w:history="0" w:anchor="P7964"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пункта 3</w:t>
        </w:r>
      </w:hyperlink>
      <w:r>
        <w:rPr>
          <w:sz w:val="20"/>
        </w:rPr>
        <w:t xml:space="preserve"> настоящего Порядка;</w:t>
      </w:r>
    </w:p>
    <w:p>
      <w:pPr>
        <w:pStyle w:val="0"/>
        <w:spacing w:before="200" w:line-rule="auto"/>
        <w:ind w:firstLine="540"/>
        <w:jc w:val="both"/>
      </w:pPr>
      <w:r>
        <w:rPr>
          <w:sz w:val="20"/>
        </w:rPr>
        <w:t xml:space="preserve">5) заявленная в обращении потребность в использовании остатков субсидии подтверждена в полном объеме.</w:t>
      </w:r>
    </w:p>
    <w:p>
      <w:pPr>
        <w:pStyle w:val="0"/>
        <w:spacing w:before="200" w:line-rule="auto"/>
        <w:ind w:firstLine="540"/>
        <w:jc w:val="both"/>
      </w:pPr>
      <w:r>
        <w:rPr>
          <w:sz w:val="20"/>
        </w:rPr>
        <w:t xml:space="preserve">7. В случае если по результатам рассмотрения Мининвестом Московской области обращения заявленная потребность в использовании остатков субсидии подтверждена не в полном объеме, Мининвест Московской области готовит проект Решения, а также Требование о возврате.</w:t>
      </w:r>
    </w:p>
    <w:p>
      <w:pPr>
        <w:pStyle w:val="0"/>
        <w:spacing w:before="200" w:line-rule="auto"/>
        <w:ind w:firstLine="540"/>
        <w:jc w:val="both"/>
      </w:pPr>
      <w:r>
        <w:rPr>
          <w:sz w:val="20"/>
        </w:rPr>
        <w:t xml:space="preserve">8. Основаниями для подготовки Требования о возврате, указанного в </w:t>
      </w:r>
      <w:hyperlink w:history="0" w:anchor="P7978" w:tooltip="2) решение о возврате остатка субсидии, которое оформляется в виде требования о возврате,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далее - Требование о возврате).">
        <w:r>
          <w:rPr>
            <w:sz w:val="20"/>
            <w:color w:val="0000ff"/>
          </w:rPr>
          <w:t xml:space="preserve">подпункте 2 пункта 5</w:t>
        </w:r>
      </w:hyperlink>
      <w:r>
        <w:rPr>
          <w:sz w:val="20"/>
        </w:rPr>
        <w:t xml:space="preserve"> настоящего Порядка, является несоблюдение одного или нескольких условий, предусмотренных </w:t>
      </w:r>
      <w:hyperlink w:history="0" w:anchor="P7979" w:tooltip="6. Основанием для подготовки проекта Решения, указанного в подпункте 1 пункта 5 настоящего Порядка, является одновременное соблюдение следующих условий:">
        <w:r>
          <w:rPr>
            <w:sz w:val="20"/>
            <w:color w:val="0000ff"/>
          </w:rPr>
          <w:t xml:space="preserve">пунктом 6</w:t>
        </w:r>
      </w:hyperlink>
      <w:r>
        <w:rPr>
          <w:sz w:val="20"/>
        </w:rPr>
        <w:t xml:space="preserve"> настоящего Порядка.</w:t>
      </w:r>
    </w:p>
    <w:bookmarkStart w:id="7987" w:name="P7987"/>
    <w:bookmarkEnd w:id="7987"/>
    <w:p>
      <w:pPr>
        <w:pStyle w:val="0"/>
        <w:spacing w:before="200" w:line-rule="auto"/>
        <w:ind w:firstLine="540"/>
        <w:jc w:val="both"/>
      </w:pPr>
      <w:r>
        <w:rPr>
          <w:sz w:val="20"/>
        </w:rPr>
        <w:t xml:space="preserve">9. Мининвест Московской области направляет проект Решения, указанного в </w:t>
      </w:r>
      <w:hyperlink w:history="0" w:anchor="P7977" w:tooltip="1) проект решения о подтверждении наличия потребности, которое оформляется в виде проекта приказа Мининвеста Московской области (далее - проект Решения);">
        <w:r>
          <w:rPr>
            <w:sz w:val="20"/>
            <w:color w:val="0000ff"/>
          </w:rPr>
          <w:t xml:space="preserve">подпункте 1 пункта 5</w:t>
        </w:r>
      </w:hyperlink>
      <w:r>
        <w:rPr>
          <w:sz w:val="20"/>
        </w:rPr>
        <w:t xml:space="preserve"> настоящего Порядка, для согласования в МЭФ Московской области с приложением обращения, а также </w:t>
      </w:r>
      <w:hyperlink w:history="0" w:anchor="P7995" w:tooltip="СПРАВКА">
        <w:r>
          <w:rPr>
            <w:sz w:val="20"/>
            <w:color w:val="0000ff"/>
          </w:rPr>
          <w:t xml:space="preserve">справку</w:t>
        </w:r>
      </w:hyperlink>
      <w:r>
        <w:rPr>
          <w:sz w:val="20"/>
        </w:rPr>
        <w:t xml:space="preserve"> по форме согласно таблице 1 к настоящему Порядку в течение 5 рабочих дней, следующих за днем поступления обращения.</w:t>
      </w:r>
    </w:p>
    <w:p>
      <w:pPr>
        <w:pStyle w:val="0"/>
        <w:spacing w:before="200" w:line-rule="auto"/>
        <w:ind w:firstLine="540"/>
        <w:jc w:val="both"/>
      </w:pPr>
      <w:r>
        <w:rPr>
          <w:sz w:val="20"/>
        </w:rPr>
        <w:t xml:space="preserve">10. МЭФ Московской области в течение 15 календарных дней, следующих за днем получения документов, указанных в </w:t>
      </w:r>
      <w:hyperlink w:history="0" w:anchor="P7987" w:tooltip="9. Мининвест Московской области направляет проект Решения, указанного в подпункте 1 пункта 5 настоящего Порядка, для согласования в МЭФ Московской области с приложением обращения, а также справку по форме согласно таблице 1 к настоящему Порядку в течение 5 рабочих дней, следующих за днем поступления обращения.">
        <w:r>
          <w:rPr>
            <w:sz w:val="20"/>
            <w:color w:val="0000ff"/>
          </w:rPr>
          <w:t xml:space="preserve">пункте 9</w:t>
        </w:r>
      </w:hyperlink>
      <w:r>
        <w:rPr>
          <w:sz w:val="20"/>
        </w:rPr>
        <w:t xml:space="preserve"> настоящего Порядка, рассматривает представленные документы и направляет мотивированное заключение о согласовании или несогласовании проекта Решения (далее соответственно - письмо МЭФ Московской области о согласовании или об отказе).</w:t>
      </w:r>
    </w:p>
    <w:p>
      <w:pPr>
        <w:pStyle w:val="0"/>
        <w:spacing w:before="200" w:line-rule="auto"/>
        <w:ind w:firstLine="540"/>
        <w:jc w:val="both"/>
      </w:pPr>
      <w:r>
        <w:rPr>
          <w:sz w:val="20"/>
        </w:rPr>
        <w:t xml:space="preserve">11. Мининвест Московской области в течение 5 дней с даты получения письма МЭФ Московской области об отказе направляет Требование о возврате получателю субсидии.</w:t>
      </w:r>
    </w:p>
    <w:p>
      <w:pPr>
        <w:pStyle w:val="0"/>
        <w:spacing w:before="200" w:line-rule="auto"/>
        <w:ind w:firstLine="540"/>
        <w:jc w:val="both"/>
      </w:pPr>
      <w:r>
        <w:rPr>
          <w:sz w:val="20"/>
        </w:rPr>
        <w:t xml:space="preserve">12. Решение о наличии потребности утверждается приказом Мининвеста Московской области (далее - приказ) в течение 5 рабочих дней с даты получения письма МЭФ Московской области о согласовании.</w:t>
      </w:r>
    </w:p>
    <w:p>
      <w:pPr>
        <w:pStyle w:val="0"/>
        <w:spacing w:before="200" w:line-rule="auto"/>
        <w:ind w:firstLine="540"/>
        <w:jc w:val="both"/>
      </w:pPr>
      <w:r>
        <w:rPr>
          <w:sz w:val="20"/>
        </w:rPr>
        <w:t xml:space="preserve">13. Мининвест Московской области не позднее 5 рабочих дней после утверждения приказа обеспечивает внесение соответствующих изменений в соглашение о предоставлении субсидии с оформлением дополнительного соглашения о предоставлении субсидии (при необходимости).</w:t>
      </w:r>
    </w:p>
    <w:p>
      <w:pPr>
        <w:pStyle w:val="0"/>
        <w:jc w:val="both"/>
      </w:pPr>
      <w:r>
        <w:rPr>
          <w:sz w:val="20"/>
        </w:rPr>
      </w:r>
    </w:p>
    <w:p>
      <w:pPr>
        <w:pStyle w:val="0"/>
        <w:outlineLvl w:val="3"/>
        <w:jc w:val="right"/>
      </w:pPr>
      <w:r>
        <w:rPr>
          <w:sz w:val="20"/>
        </w:rPr>
        <w:t xml:space="preserve">Таблица 1</w:t>
      </w:r>
    </w:p>
    <w:p>
      <w:pPr>
        <w:pStyle w:val="0"/>
        <w:jc w:val="both"/>
      </w:pPr>
      <w:r>
        <w:rPr>
          <w:sz w:val="20"/>
        </w:rPr>
      </w:r>
    </w:p>
    <w:bookmarkStart w:id="7995" w:name="P7995"/>
    <w:bookmarkEnd w:id="7995"/>
    <w:p>
      <w:pPr>
        <w:pStyle w:val="0"/>
        <w:jc w:val="center"/>
      </w:pPr>
      <w:r>
        <w:rPr>
          <w:sz w:val="20"/>
        </w:rPr>
        <w:t xml:space="preserve">СПРАВКА</w:t>
      </w:r>
    </w:p>
    <w:p>
      <w:pPr>
        <w:pStyle w:val="0"/>
        <w:jc w:val="center"/>
      </w:pPr>
      <w:r>
        <w:rPr>
          <w:sz w:val="20"/>
        </w:rPr>
        <w:t xml:space="preserve">о не использованных в отчетном финансовом году</w:t>
      </w:r>
    </w:p>
    <w:p>
      <w:pPr>
        <w:pStyle w:val="0"/>
        <w:jc w:val="center"/>
      </w:pPr>
      <w:r>
        <w:rPr>
          <w:sz w:val="20"/>
        </w:rPr>
        <w:t xml:space="preserve">остатках субсидии, в том числе гранта в форме субсидии,</w:t>
      </w:r>
    </w:p>
    <w:p>
      <w:pPr>
        <w:pStyle w:val="0"/>
        <w:jc w:val="center"/>
      </w:pPr>
      <w:r>
        <w:rPr>
          <w:sz w:val="20"/>
        </w:rPr>
        <w:t xml:space="preserve">предоставленной из бюджета Московской области</w:t>
      </w:r>
    </w:p>
    <w:p>
      <w:pPr>
        <w:pStyle w:val="0"/>
        <w:jc w:val="center"/>
      </w:pPr>
      <w:r>
        <w:rPr>
          <w:sz w:val="20"/>
        </w:rPr>
        <w:t xml:space="preserve">на финансовое обеспечение затрат,</w:t>
      </w:r>
    </w:p>
    <w:p>
      <w:pPr>
        <w:pStyle w:val="0"/>
        <w:jc w:val="center"/>
      </w:pPr>
      <w:r>
        <w:rPr>
          <w:sz w:val="20"/>
        </w:rPr>
        <w:t xml:space="preserve">на 1 января ______ года</w:t>
      </w:r>
    </w:p>
    <w:p>
      <w:pPr>
        <w:pStyle w:val="0"/>
        <w:jc w:val="both"/>
      </w:pPr>
      <w:r>
        <w:rPr>
          <w:sz w:val="20"/>
        </w:rPr>
      </w:r>
    </w:p>
    <w:p>
      <w:pPr>
        <w:pStyle w:val="1"/>
        <w:jc w:val="both"/>
      </w:pPr>
      <w:r>
        <w:rPr>
          <w:sz w:val="20"/>
        </w:rPr>
        <w:t xml:space="preserve">1. Наименование субсидии, гранта в форме субсидии (далее - субсидия): _____</w:t>
      </w:r>
    </w:p>
    <w:p>
      <w:pPr>
        <w:pStyle w:val="1"/>
        <w:jc w:val="both"/>
      </w:pPr>
      <w:r>
        <w:rPr>
          <w:sz w:val="20"/>
        </w:rPr>
        <w:t xml:space="preserve">2. Код бюджетной классификации расходов по предоставлению субсидии: _______</w:t>
      </w:r>
    </w:p>
    <w:p>
      <w:pPr>
        <w:pStyle w:val="1"/>
        <w:jc w:val="both"/>
      </w:pPr>
      <w:r>
        <w:rPr>
          <w:sz w:val="20"/>
        </w:rPr>
        <w:t xml:space="preserve">3. Наименование получателя субсидии: ______________________________________</w:t>
      </w:r>
    </w:p>
    <w:p>
      <w:pPr>
        <w:pStyle w:val="1"/>
        <w:jc w:val="both"/>
      </w:pPr>
      <w:r>
        <w:rPr>
          <w:sz w:val="20"/>
        </w:rPr>
        <w:t xml:space="preserve">4. ИНН:____________________________________________________________________</w:t>
      </w:r>
    </w:p>
    <w:p>
      <w:pPr>
        <w:pStyle w:val="1"/>
        <w:jc w:val="both"/>
      </w:pPr>
      <w:r>
        <w:rPr>
          <w:sz w:val="20"/>
        </w:rPr>
        <w:t xml:space="preserve">5. Реквизиты соглашения о предоставлении субсидии: ________________________</w:t>
      </w:r>
    </w:p>
    <w:p>
      <w:pPr>
        <w:pStyle w:val="1"/>
        <w:jc w:val="both"/>
      </w:pPr>
      <w:r>
        <w:rPr>
          <w:sz w:val="20"/>
        </w:rPr>
        <w:t xml:space="preserve">6. Размер субсидии в соответствии с соглашением: __________________________</w:t>
      </w:r>
    </w:p>
    <w:p>
      <w:pPr>
        <w:pStyle w:val="1"/>
        <w:jc w:val="both"/>
      </w:pPr>
      <w:r>
        <w:rPr>
          <w:sz w:val="20"/>
        </w:rPr>
        <w:t xml:space="preserve">7. Размер перечисленной субсидии из бюджета Московской области: ___________</w:t>
      </w:r>
    </w:p>
    <w:p>
      <w:pPr>
        <w:pStyle w:val="1"/>
        <w:jc w:val="both"/>
      </w:pPr>
      <w:r>
        <w:rPr>
          <w:sz w:val="20"/>
        </w:rPr>
        <w:t xml:space="preserve">8. Размер остатков субсидии на 1 января соответствующего  финансового года:</w:t>
      </w:r>
    </w:p>
    <w:p>
      <w:pPr>
        <w:pStyle w:val="1"/>
        <w:jc w:val="both"/>
      </w:pPr>
      <w:r>
        <w:rPr>
          <w:sz w:val="20"/>
        </w:rPr>
        <w:t xml:space="preserve">________</w:t>
      </w:r>
    </w:p>
    <w:p>
      <w:pPr>
        <w:pStyle w:val="1"/>
        <w:jc w:val="both"/>
      </w:pPr>
      <w:r>
        <w:rPr>
          <w:sz w:val="20"/>
        </w:rPr>
        <w:t xml:space="preserve">      в том числе:</w:t>
      </w:r>
    </w:p>
    <w:p>
      <w:pPr>
        <w:pStyle w:val="1"/>
        <w:jc w:val="both"/>
      </w:pPr>
      <w:r>
        <w:rPr>
          <w:sz w:val="20"/>
        </w:rPr>
        <w:t xml:space="preserve">      остаток отчетного года: _____________________________________________</w:t>
      </w:r>
    </w:p>
    <w:p>
      <w:pPr>
        <w:pStyle w:val="1"/>
        <w:jc w:val="both"/>
      </w:pPr>
      <w:r>
        <w:rPr>
          <w:sz w:val="20"/>
        </w:rPr>
        <w:t xml:space="preserve">      остаток за предыдущий период: _______________________________________</w:t>
      </w:r>
    </w:p>
    <w:p>
      <w:pPr>
        <w:pStyle w:val="1"/>
        <w:jc w:val="both"/>
      </w:pPr>
      <w:r>
        <w:rPr>
          <w:sz w:val="20"/>
        </w:rPr>
        <w:t xml:space="preserve">9. Размер подтвержденных остатков субсидии: _______________________________</w:t>
      </w:r>
    </w:p>
    <w:p>
      <w:pPr>
        <w:pStyle w:val="1"/>
        <w:jc w:val="both"/>
      </w:pPr>
      <w:r>
        <w:rPr>
          <w:sz w:val="20"/>
        </w:rPr>
        <w:t xml:space="preserve">10. Размер остатков субсидии, подлежащих возврату: ________________________</w:t>
      </w:r>
    </w:p>
    <w:p>
      <w:pPr>
        <w:pStyle w:val="1"/>
        <w:jc w:val="both"/>
      </w:pPr>
      <w:r>
        <w:rPr>
          <w:sz w:val="20"/>
        </w:rPr>
      </w:r>
    </w:p>
    <w:p>
      <w:pPr>
        <w:pStyle w:val="1"/>
        <w:jc w:val="both"/>
      </w:pPr>
      <w:r>
        <w:rPr>
          <w:sz w:val="20"/>
        </w:rPr>
        <w:t xml:space="preserve">Достоверность сведений подтверждаю</w:t>
      </w:r>
    </w:p>
    <w:p>
      <w:pPr>
        <w:pStyle w:val="1"/>
        <w:jc w:val="both"/>
      </w:pPr>
      <w:r>
        <w:rPr>
          <w:sz w:val="20"/>
        </w:rPr>
        <w:t xml:space="preserve">_____________                  ____________                ________________</w:t>
      </w:r>
    </w:p>
    <w:p>
      <w:pPr>
        <w:pStyle w:val="1"/>
        <w:jc w:val="both"/>
      </w:pPr>
      <w:r>
        <w:rPr>
          <w:sz w:val="20"/>
        </w:rPr>
        <w:t xml:space="preserve"> (должность)                     (подпись)                    (Ф.И.О.)</w:t>
      </w:r>
    </w:p>
    <w:p>
      <w:pPr>
        <w:pStyle w:val="0"/>
        <w:jc w:val="both"/>
      </w:pPr>
      <w:r>
        <w:rPr>
          <w:sz w:val="20"/>
        </w:rPr>
      </w:r>
    </w:p>
    <w:p>
      <w:pPr>
        <w:pStyle w:val="2"/>
        <w:outlineLvl w:val="2"/>
        <w:jc w:val="center"/>
      </w:pPr>
      <w:r>
        <w:rPr>
          <w:sz w:val="20"/>
        </w:rPr>
        <w:t xml:space="preserve">5.7. Адресные перечни объектов строительства</w:t>
      </w:r>
    </w:p>
    <w:p>
      <w:pPr>
        <w:pStyle w:val="2"/>
        <w:jc w:val="center"/>
      </w:pPr>
      <w:r>
        <w:rPr>
          <w:sz w:val="20"/>
        </w:rPr>
        <w:t xml:space="preserve">(реконструкции) юридических лиц, 100 процентов акций (долей)</w:t>
      </w:r>
    </w:p>
    <w:p>
      <w:pPr>
        <w:pStyle w:val="2"/>
        <w:jc w:val="center"/>
      </w:pPr>
      <w:r>
        <w:rPr>
          <w:sz w:val="20"/>
        </w:rPr>
        <w:t xml:space="preserve">которых принадлежат Московской области, и (или)</w:t>
      </w:r>
    </w:p>
    <w:p>
      <w:pPr>
        <w:pStyle w:val="2"/>
        <w:jc w:val="center"/>
      </w:pPr>
      <w:r>
        <w:rPr>
          <w:sz w:val="20"/>
        </w:rPr>
        <w:t xml:space="preserve">приобретаемых такими юридическими лицами объектов</w:t>
      </w:r>
    </w:p>
    <w:p>
      <w:pPr>
        <w:pStyle w:val="2"/>
        <w:jc w:val="center"/>
      </w:pPr>
      <w:r>
        <w:rPr>
          <w:sz w:val="20"/>
        </w:rPr>
        <w:t xml:space="preserve">недвижимого имущества (с последующим увеличением уставных</w:t>
      </w:r>
    </w:p>
    <w:p>
      <w:pPr>
        <w:pStyle w:val="2"/>
        <w:jc w:val="center"/>
      </w:pPr>
      <w:r>
        <w:rPr>
          <w:sz w:val="20"/>
        </w:rPr>
        <w:t xml:space="preserve">капиталов), финансирование которых осуществляется</w:t>
      </w:r>
    </w:p>
    <w:p>
      <w:pPr>
        <w:pStyle w:val="2"/>
        <w:jc w:val="center"/>
      </w:pPr>
      <w:r>
        <w:rPr>
          <w:sz w:val="20"/>
        </w:rPr>
        <w:t xml:space="preserve">с привлечением средств бюджета Московской области путем</w:t>
      </w:r>
    </w:p>
    <w:p>
      <w:pPr>
        <w:pStyle w:val="2"/>
        <w:jc w:val="center"/>
      </w:pPr>
      <w:r>
        <w:rPr>
          <w:sz w:val="20"/>
        </w:rPr>
        <w:t xml:space="preserve">предоставления субсидий указанным юридическим лицам</w:t>
      </w:r>
    </w:p>
    <w:p>
      <w:pPr>
        <w:pStyle w:val="0"/>
        <w:jc w:val="center"/>
      </w:pPr>
      <w:r>
        <w:rPr>
          <w:sz w:val="20"/>
        </w:rPr>
      </w:r>
    </w:p>
    <w:p>
      <w:pPr>
        <w:pStyle w:val="0"/>
        <w:jc w:val="center"/>
      </w:pPr>
      <w:r>
        <w:rPr>
          <w:sz w:val="20"/>
        </w:rPr>
        <w:t xml:space="preserve">(введен </w:t>
      </w:r>
      <w:hyperlink w:history="0" r:id="rId547" w:tooltip="Постановление Правительства МО от 22.05.2023 N 315-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22.05.2023 N 315-ПП)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МО от 08.10.2024 </w:t>
            </w:r>
            <w:hyperlink w:history="0" r:id="rId548"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и от 25.12.2024 </w:t>
            </w:r>
            <w:hyperlink w:history="0" r:id="rId54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 в подразд. 5.7.1 одновременно внесены изменения. Редакция подразд. 5.7.1 с изменениями, внесенными </w:t>
            </w:r>
            <w:hyperlink w:history="0" r:id="rId55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color w:val="392c69"/>
              </w:rPr>
              <w:t xml:space="preserve"> 25.12.2024 N 1684-ПП,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4" w:name="P8034"/>
    <w:bookmarkEnd w:id="8034"/>
    <w:p>
      <w:pPr>
        <w:pStyle w:val="2"/>
        <w:spacing w:before="260" w:line-rule="auto"/>
        <w:outlineLvl w:val="3"/>
        <w:jc w:val="center"/>
      </w:pPr>
      <w:r>
        <w:rPr>
          <w:sz w:val="20"/>
        </w:rPr>
        <w:t xml:space="preserve">5.7.1. Адресный перечень объектов строительства</w:t>
      </w:r>
    </w:p>
    <w:p>
      <w:pPr>
        <w:pStyle w:val="2"/>
        <w:jc w:val="center"/>
      </w:pPr>
      <w:r>
        <w:rPr>
          <w:sz w:val="20"/>
        </w:rPr>
        <w:t xml:space="preserve">(реконструкции) юридических лиц, 100 процентов акций (долей)</w:t>
      </w:r>
    </w:p>
    <w:p>
      <w:pPr>
        <w:pStyle w:val="2"/>
        <w:jc w:val="center"/>
      </w:pPr>
      <w:r>
        <w:rPr>
          <w:sz w:val="20"/>
        </w:rPr>
        <w:t xml:space="preserve">которых принадлежат Московской области, на строительство</w:t>
      </w:r>
    </w:p>
    <w:p>
      <w:pPr>
        <w:pStyle w:val="2"/>
        <w:jc w:val="center"/>
      </w:pPr>
      <w:r>
        <w:rPr>
          <w:sz w:val="20"/>
        </w:rPr>
        <w:t xml:space="preserve">(реконструкцию) которых предоставляется субсидия</w:t>
      </w:r>
    </w:p>
    <w:p>
      <w:pPr>
        <w:pStyle w:val="2"/>
        <w:jc w:val="center"/>
      </w:pPr>
      <w:r>
        <w:rPr>
          <w:sz w:val="20"/>
        </w:rPr>
        <w:t xml:space="preserve">юридическому лицу, предусмотренная мероприятием 02.03</w:t>
      </w:r>
    </w:p>
    <w:p>
      <w:pPr>
        <w:pStyle w:val="2"/>
        <w:jc w:val="center"/>
      </w:pPr>
      <w:r>
        <w:rPr>
          <w:sz w:val="20"/>
        </w:rPr>
        <w:t xml:space="preserve">подпрограммы 1 "Инвестиции в Подмосковье"</w:t>
      </w:r>
    </w:p>
    <w:p>
      <w:pPr>
        <w:pStyle w:val="0"/>
        <w:jc w:val="center"/>
      </w:pPr>
      <w:r>
        <w:rPr>
          <w:sz w:val="20"/>
        </w:rPr>
      </w:r>
    </w:p>
    <w:p>
      <w:pPr>
        <w:pStyle w:val="0"/>
        <w:jc w:val="center"/>
      </w:pPr>
      <w:r>
        <w:rPr>
          <w:sz w:val="20"/>
        </w:rPr>
        <w:t xml:space="preserve">(в ред. </w:t>
      </w:r>
      <w:hyperlink w:history="0" r:id="rId551"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438"/>
        <w:gridCol w:w="2438"/>
        <w:gridCol w:w="1644"/>
        <w:gridCol w:w="1814"/>
        <w:gridCol w:w="1531"/>
        <w:gridCol w:w="1984"/>
        <w:gridCol w:w="1587"/>
        <w:gridCol w:w="1871"/>
        <w:gridCol w:w="1701"/>
        <w:gridCol w:w="1474"/>
        <w:gridCol w:w="1644"/>
        <w:gridCol w:w="1701"/>
        <w:gridCol w:w="1701"/>
        <w:gridCol w:w="1757"/>
      </w:tblGrid>
      <w:tr>
        <w:tc>
          <w:tcPr>
            <w:tcW w:w="79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Наименование юридического лица - получателя субсидии/наименование объекта</w:t>
            </w:r>
          </w:p>
        </w:tc>
        <w:tc>
          <w:tcPr>
            <w:tcW w:w="2438" w:type="dxa"/>
            <w:vMerge w:val="restart"/>
          </w:tcPr>
          <w:p>
            <w:pPr>
              <w:pStyle w:val="0"/>
              <w:jc w:val="center"/>
            </w:pPr>
            <w:r>
              <w:rPr>
                <w:sz w:val="20"/>
              </w:rPr>
              <w:t xml:space="preserve">Срок проведения работ, завершающийся датой ввода в эксплуатацию объекта</w:t>
            </w:r>
          </w:p>
        </w:tc>
        <w:tc>
          <w:tcPr>
            <w:tcW w:w="1644" w:type="dxa"/>
            <w:vMerge w:val="restart"/>
          </w:tcPr>
          <w:p>
            <w:pPr>
              <w:pStyle w:val="0"/>
              <w:jc w:val="center"/>
            </w:pPr>
            <w:r>
              <w:rPr>
                <w:sz w:val="20"/>
              </w:rPr>
              <w:t xml:space="preserve">Открытие объекта</w:t>
            </w:r>
          </w:p>
        </w:tc>
        <w:tc>
          <w:tcPr>
            <w:tcW w:w="1814" w:type="dxa"/>
            <w:vMerge w:val="restart"/>
          </w:tcPr>
          <w:p>
            <w:pPr>
              <w:pStyle w:val="0"/>
              <w:jc w:val="center"/>
            </w:pPr>
            <w:r>
              <w:rPr>
                <w:sz w:val="20"/>
              </w:rPr>
              <w:t xml:space="preserve">Направление инвестирования</w:t>
            </w:r>
          </w:p>
        </w:tc>
        <w:tc>
          <w:tcPr>
            <w:tcW w:w="1531" w:type="dxa"/>
            <w:vMerge w:val="restart"/>
          </w:tcPr>
          <w:p>
            <w:pPr>
              <w:pStyle w:val="0"/>
              <w:jc w:val="center"/>
            </w:pPr>
            <w:r>
              <w:rPr>
                <w:sz w:val="20"/>
              </w:rPr>
              <w:t xml:space="preserve">Мощность/прирост мощности объекта</w:t>
            </w:r>
          </w:p>
        </w:tc>
        <w:tc>
          <w:tcPr>
            <w:tcW w:w="1984" w:type="dxa"/>
            <w:vMerge w:val="restart"/>
          </w:tcPr>
          <w:p>
            <w:pPr>
              <w:pStyle w:val="0"/>
              <w:jc w:val="center"/>
            </w:pPr>
            <w:r>
              <w:rPr>
                <w:sz w:val="20"/>
              </w:rPr>
              <w:t xml:space="preserve">Сметная стоимость/предельная стоимость строительства (реконструкции) (тыс. руб.)</w:t>
            </w:r>
          </w:p>
        </w:tc>
        <w:tc>
          <w:tcPr>
            <w:tcW w:w="1587" w:type="dxa"/>
            <w:vMerge w:val="restart"/>
          </w:tcPr>
          <w:p>
            <w:pPr>
              <w:pStyle w:val="0"/>
              <w:jc w:val="center"/>
            </w:pPr>
            <w:r>
              <w:rPr>
                <w:sz w:val="20"/>
              </w:rPr>
              <w:t xml:space="preserve">Профинансировано на 01.01.2023 (тыс. руб.)</w:t>
            </w:r>
          </w:p>
        </w:tc>
        <w:tc>
          <w:tcPr>
            <w:tcW w:w="1871" w:type="dxa"/>
            <w:vMerge w:val="restart"/>
          </w:tcPr>
          <w:p>
            <w:pPr>
              <w:pStyle w:val="0"/>
              <w:jc w:val="center"/>
            </w:pPr>
            <w:r>
              <w:rPr>
                <w:sz w:val="20"/>
              </w:rPr>
              <w:t xml:space="preserve">Источники финансирования</w:t>
            </w:r>
          </w:p>
        </w:tc>
        <w:tc>
          <w:tcPr>
            <w:gridSpan w:val="4"/>
            <w:tcW w:w="6520" w:type="dxa"/>
          </w:tcPr>
          <w:p>
            <w:pPr>
              <w:pStyle w:val="0"/>
              <w:jc w:val="center"/>
            </w:pPr>
            <w:r>
              <w:rPr>
                <w:sz w:val="20"/>
              </w:rPr>
              <w:t xml:space="preserve">Финансирование, в том числе распределение предельного размера субсидии из бюджета Московской области (тыс. руб.)</w:t>
            </w:r>
          </w:p>
        </w:tc>
        <w:tc>
          <w:tcPr>
            <w:tcW w:w="1701" w:type="dxa"/>
            <w:vMerge w:val="restart"/>
          </w:tcPr>
          <w:p>
            <w:pPr>
              <w:pStyle w:val="0"/>
              <w:jc w:val="center"/>
            </w:pPr>
            <w:r>
              <w:rPr>
                <w:sz w:val="20"/>
              </w:rPr>
              <w:t xml:space="preserve">Наименование главного распорядителя средств бюджета Московской области</w:t>
            </w:r>
          </w:p>
        </w:tc>
        <w:tc>
          <w:tcPr>
            <w:tcW w:w="1757" w:type="dxa"/>
            <w:vMerge w:val="restart"/>
          </w:tcPr>
          <w:p>
            <w:pPr>
              <w:pStyle w:val="0"/>
              <w:jc w:val="center"/>
            </w:pPr>
            <w:r>
              <w:rPr>
                <w:sz w:val="20"/>
              </w:rPr>
              <w:t xml:space="preserve">Числовое значение интегральной оценки инвестиционного проекта, %</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Всего</w:t>
            </w:r>
          </w:p>
        </w:tc>
        <w:tc>
          <w:tcPr>
            <w:tcW w:w="1474" w:type="dxa"/>
          </w:tcPr>
          <w:p>
            <w:pPr>
              <w:pStyle w:val="0"/>
              <w:jc w:val="center"/>
            </w:pPr>
            <w:r>
              <w:rPr>
                <w:sz w:val="20"/>
              </w:rPr>
              <w:t xml:space="preserve">2023 год</w:t>
            </w:r>
          </w:p>
        </w:tc>
        <w:tc>
          <w:tcPr>
            <w:tcW w:w="1644"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vMerge w:val="continue"/>
          </w:tcPr>
          <w:p/>
        </w:tc>
        <w:tc>
          <w:tcPr>
            <w:vMerge w:val="continue"/>
          </w:tcPr>
          <w:p/>
        </w:tc>
      </w:tr>
      <w:tr>
        <w:tc>
          <w:tcPr>
            <w:tcW w:w="794" w:type="dxa"/>
          </w:tcPr>
          <w:p>
            <w:pPr>
              <w:pStyle w:val="0"/>
              <w:jc w:val="center"/>
            </w:pPr>
            <w:r>
              <w:rPr>
                <w:sz w:val="20"/>
              </w:rPr>
              <w:t xml:space="preserve">1</w:t>
            </w:r>
          </w:p>
        </w:tc>
        <w:tc>
          <w:tcPr>
            <w:tcW w:w="2438" w:type="dxa"/>
          </w:tcPr>
          <w:p>
            <w:pPr>
              <w:pStyle w:val="0"/>
              <w:jc w:val="center"/>
            </w:pPr>
            <w:r>
              <w:rPr>
                <w:sz w:val="20"/>
              </w:rPr>
              <w:t xml:space="preserve">2</w:t>
            </w:r>
          </w:p>
        </w:tc>
        <w:tc>
          <w:tcPr>
            <w:tcW w:w="2438" w:type="dxa"/>
          </w:tcPr>
          <w:p>
            <w:pPr>
              <w:pStyle w:val="0"/>
              <w:jc w:val="center"/>
            </w:pPr>
            <w:r>
              <w:rPr>
                <w:sz w:val="20"/>
              </w:rPr>
              <w:t xml:space="preserve">3</w:t>
            </w:r>
          </w:p>
        </w:tc>
        <w:tc>
          <w:tcPr>
            <w:tcW w:w="1644" w:type="dxa"/>
          </w:tcPr>
          <w:p>
            <w:pPr>
              <w:pStyle w:val="0"/>
              <w:jc w:val="center"/>
            </w:pPr>
            <w:r>
              <w:rPr>
                <w:sz w:val="20"/>
              </w:rPr>
              <w:t xml:space="preserve">4</w:t>
            </w:r>
          </w:p>
        </w:tc>
        <w:tc>
          <w:tcPr>
            <w:tcW w:w="1814" w:type="dxa"/>
          </w:tcPr>
          <w:p>
            <w:pPr>
              <w:pStyle w:val="0"/>
              <w:jc w:val="center"/>
            </w:pPr>
            <w:r>
              <w:rPr>
                <w:sz w:val="20"/>
              </w:rPr>
              <w:t xml:space="preserve">5</w:t>
            </w:r>
          </w:p>
        </w:tc>
        <w:tc>
          <w:tcPr>
            <w:tcW w:w="1531" w:type="dxa"/>
          </w:tcPr>
          <w:bookmarkStart w:id="8065" w:name="P8065"/>
          <w:bookmarkEnd w:id="8065"/>
          <w:p>
            <w:pPr>
              <w:pStyle w:val="0"/>
              <w:jc w:val="center"/>
            </w:pPr>
            <w:r>
              <w:rPr>
                <w:sz w:val="20"/>
              </w:rPr>
              <w:t xml:space="preserve">6</w:t>
            </w:r>
          </w:p>
        </w:tc>
        <w:tc>
          <w:tcPr>
            <w:tcW w:w="1984" w:type="dxa"/>
          </w:tcPr>
          <w:p>
            <w:pPr>
              <w:pStyle w:val="0"/>
              <w:jc w:val="center"/>
            </w:pPr>
            <w:r>
              <w:rPr>
                <w:sz w:val="20"/>
              </w:rPr>
              <w:t xml:space="preserve">7</w:t>
            </w:r>
          </w:p>
        </w:tc>
        <w:tc>
          <w:tcPr>
            <w:tcW w:w="1587" w:type="dxa"/>
          </w:tcPr>
          <w:p>
            <w:pPr>
              <w:pStyle w:val="0"/>
              <w:jc w:val="center"/>
            </w:pPr>
            <w:r>
              <w:rPr>
                <w:sz w:val="20"/>
              </w:rPr>
              <w:t xml:space="preserve">8</w:t>
            </w:r>
          </w:p>
        </w:tc>
        <w:tc>
          <w:tcPr>
            <w:tcW w:w="1871" w:type="dxa"/>
          </w:tcPr>
          <w:p>
            <w:pPr>
              <w:pStyle w:val="0"/>
              <w:jc w:val="center"/>
            </w:pPr>
            <w:r>
              <w:rPr>
                <w:sz w:val="20"/>
              </w:rPr>
              <w:t xml:space="preserve">9</w:t>
            </w:r>
          </w:p>
        </w:tc>
        <w:tc>
          <w:tcPr>
            <w:tcW w:w="1701" w:type="dxa"/>
          </w:tcPr>
          <w:p>
            <w:pPr>
              <w:pStyle w:val="0"/>
              <w:jc w:val="center"/>
            </w:pPr>
            <w:r>
              <w:rPr>
                <w:sz w:val="20"/>
              </w:rPr>
              <w:t xml:space="preserve">10</w:t>
            </w:r>
          </w:p>
        </w:tc>
        <w:tc>
          <w:tcPr>
            <w:tcW w:w="1474" w:type="dxa"/>
          </w:tcPr>
          <w:p>
            <w:pPr>
              <w:pStyle w:val="0"/>
              <w:jc w:val="center"/>
            </w:pPr>
            <w:r>
              <w:rPr>
                <w:sz w:val="20"/>
              </w:rPr>
              <w:t xml:space="preserve">11</w:t>
            </w:r>
          </w:p>
        </w:tc>
        <w:tc>
          <w:tcPr>
            <w:tcW w:w="1644" w:type="dxa"/>
          </w:tcPr>
          <w:p>
            <w:pPr>
              <w:pStyle w:val="0"/>
              <w:jc w:val="center"/>
            </w:pPr>
            <w:r>
              <w:rPr>
                <w:sz w:val="20"/>
              </w:rPr>
              <w:t xml:space="preserve">12</w:t>
            </w:r>
          </w:p>
        </w:tc>
        <w:tc>
          <w:tcPr>
            <w:tcW w:w="1701" w:type="dxa"/>
          </w:tcPr>
          <w:p>
            <w:pPr>
              <w:pStyle w:val="0"/>
              <w:jc w:val="center"/>
            </w:pPr>
            <w:r>
              <w:rPr>
                <w:sz w:val="20"/>
              </w:rPr>
              <w:t xml:space="preserve">13</w:t>
            </w:r>
          </w:p>
        </w:tc>
        <w:tc>
          <w:tcPr>
            <w:tcW w:w="1701" w:type="dxa"/>
          </w:tcPr>
          <w:p>
            <w:pPr>
              <w:pStyle w:val="0"/>
              <w:jc w:val="center"/>
            </w:pPr>
            <w:r>
              <w:rPr>
                <w:sz w:val="20"/>
              </w:rPr>
              <w:t xml:space="preserve">14</w:t>
            </w:r>
          </w:p>
        </w:tc>
        <w:tc>
          <w:tcPr>
            <w:tcW w:w="1757" w:type="dxa"/>
          </w:tcPr>
          <w:p>
            <w:pPr>
              <w:pStyle w:val="0"/>
              <w:jc w:val="center"/>
            </w:pPr>
            <w:r>
              <w:rPr>
                <w:sz w:val="20"/>
              </w:rPr>
              <w:t xml:space="preserve">15</w:t>
            </w:r>
          </w:p>
        </w:tc>
      </w:tr>
      <w:tr>
        <w:tc>
          <w:tcPr>
            <w:tcW w:w="794" w:type="dxa"/>
            <w:vMerge w:val="restart"/>
          </w:tcPr>
          <w:p>
            <w:pPr>
              <w:pStyle w:val="0"/>
            </w:pPr>
            <w:r>
              <w:rPr>
                <w:sz w:val="20"/>
              </w:rPr>
              <w:t xml:space="preserve">1</w:t>
            </w:r>
          </w:p>
        </w:tc>
        <w:tc>
          <w:tcPr>
            <w:tcW w:w="2438" w:type="dxa"/>
            <w:vMerge w:val="restart"/>
          </w:tcPr>
          <w:p>
            <w:pPr>
              <w:pStyle w:val="0"/>
            </w:pPr>
            <w:r>
              <w:rPr>
                <w:sz w:val="20"/>
              </w:rPr>
              <w:t xml:space="preserve">АО "Корпорация развития Московской области"</w:t>
            </w:r>
          </w:p>
        </w:tc>
        <w:tc>
          <w:tcPr>
            <w:tcW w:w="2438" w:type="dxa"/>
            <w:vMerge w:val="restart"/>
          </w:tcPr>
          <w:p>
            <w:pPr>
              <w:pStyle w:val="0"/>
            </w:pPr>
            <w:r>
              <w:rPr>
                <w:sz w:val="20"/>
              </w:rPr>
              <w:t xml:space="preserve">Х</w:t>
            </w:r>
          </w:p>
        </w:tc>
        <w:tc>
          <w:tcPr>
            <w:tcW w:w="1644" w:type="dxa"/>
            <w:vMerge w:val="restart"/>
          </w:tcPr>
          <w:p>
            <w:pPr>
              <w:pStyle w:val="0"/>
            </w:pPr>
            <w:r>
              <w:rPr>
                <w:sz w:val="20"/>
              </w:rPr>
              <w:t xml:space="preserve">Х</w:t>
            </w:r>
          </w:p>
        </w:tc>
        <w:tc>
          <w:tcPr>
            <w:tcW w:w="1814" w:type="dxa"/>
            <w:vMerge w:val="restart"/>
          </w:tcPr>
          <w:p>
            <w:pPr>
              <w:pStyle w:val="0"/>
            </w:pPr>
            <w:r>
              <w:rPr>
                <w:sz w:val="20"/>
              </w:rPr>
              <w:t xml:space="preserve">Х</w:t>
            </w:r>
          </w:p>
        </w:tc>
        <w:tc>
          <w:tcPr>
            <w:tcW w:w="1531" w:type="dxa"/>
            <w:vMerge w:val="restart"/>
          </w:tcPr>
          <w:p>
            <w:pPr>
              <w:pStyle w:val="0"/>
            </w:pPr>
            <w:r>
              <w:rPr>
                <w:sz w:val="20"/>
              </w:rPr>
              <w:t xml:space="preserve">Х</w:t>
            </w:r>
          </w:p>
        </w:tc>
        <w:tc>
          <w:tcPr>
            <w:tcW w:w="1984" w:type="dxa"/>
            <w:vMerge w:val="restart"/>
          </w:tcPr>
          <w:p>
            <w:pPr>
              <w:pStyle w:val="0"/>
            </w:pPr>
            <w:r>
              <w:rPr>
                <w:sz w:val="20"/>
              </w:rPr>
              <w:t xml:space="preserve">Х</w:t>
            </w:r>
          </w:p>
        </w:tc>
        <w:tc>
          <w:tcPr>
            <w:tcW w:w="1587" w:type="dxa"/>
          </w:tcPr>
          <w:p>
            <w:pPr>
              <w:pStyle w:val="0"/>
            </w:pPr>
            <w:r>
              <w:rPr>
                <w:sz w:val="20"/>
              </w:rPr>
              <w:t xml:space="preserve">6126,20</w:t>
            </w:r>
          </w:p>
        </w:tc>
        <w:tc>
          <w:tcPr>
            <w:tcW w:w="1871" w:type="dxa"/>
          </w:tcPr>
          <w:p>
            <w:pPr>
              <w:pStyle w:val="0"/>
            </w:pPr>
            <w:r>
              <w:rPr>
                <w:sz w:val="20"/>
              </w:rPr>
              <w:t xml:space="preserve">Итого:</w:t>
            </w:r>
          </w:p>
        </w:tc>
        <w:tc>
          <w:tcPr>
            <w:tcW w:w="1701" w:type="dxa"/>
          </w:tcPr>
          <w:p>
            <w:pPr>
              <w:pStyle w:val="0"/>
            </w:pPr>
            <w:r>
              <w:rPr>
                <w:sz w:val="20"/>
              </w:rPr>
              <w:t xml:space="preserve">4779442,55</w:t>
            </w:r>
          </w:p>
        </w:tc>
        <w:tc>
          <w:tcPr>
            <w:tcW w:w="1474" w:type="dxa"/>
          </w:tcPr>
          <w:p>
            <w:pPr>
              <w:pStyle w:val="0"/>
            </w:pPr>
            <w:r>
              <w:rPr>
                <w:sz w:val="20"/>
              </w:rPr>
              <w:t xml:space="preserve">844414,00</w:t>
            </w:r>
          </w:p>
        </w:tc>
        <w:tc>
          <w:tcPr>
            <w:tcW w:w="1644" w:type="dxa"/>
          </w:tcPr>
          <w:p>
            <w:pPr>
              <w:pStyle w:val="0"/>
            </w:pPr>
            <w:r>
              <w:rPr>
                <w:sz w:val="20"/>
              </w:rPr>
              <w:t xml:space="preserve">2597165,57</w:t>
            </w:r>
          </w:p>
        </w:tc>
        <w:tc>
          <w:tcPr>
            <w:tcW w:w="1701" w:type="dxa"/>
          </w:tcPr>
          <w:p>
            <w:pPr>
              <w:pStyle w:val="0"/>
            </w:pPr>
            <w:r>
              <w:rPr>
                <w:sz w:val="20"/>
              </w:rPr>
              <w:t xml:space="preserve">1337862,98</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w:t>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4757952,03</w:t>
            </w:r>
          </w:p>
        </w:tc>
        <w:tc>
          <w:tcPr>
            <w:tcW w:w="1474" w:type="dxa"/>
          </w:tcPr>
          <w:p>
            <w:pPr>
              <w:pStyle w:val="0"/>
            </w:pPr>
            <w:r>
              <w:rPr>
                <w:sz w:val="20"/>
              </w:rPr>
              <w:t xml:space="preserve">844414,00</w:t>
            </w:r>
          </w:p>
        </w:tc>
        <w:tc>
          <w:tcPr>
            <w:tcW w:w="1644" w:type="dxa"/>
          </w:tcPr>
          <w:p>
            <w:pPr>
              <w:pStyle w:val="0"/>
            </w:pPr>
            <w:r>
              <w:rPr>
                <w:sz w:val="20"/>
              </w:rPr>
              <w:t xml:space="preserve">2575675,05</w:t>
            </w:r>
          </w:p>
        </w:tc>
        <w:tc>
          <w:tcPr>
            <w:tcW w:w="1701" w:type="dxa"/>
          </w:tcPr>
          <w:p>
            <w:pPr>
              <w:pStyle w:val="0"/>
            </w:pPr>
            <w:r>
              <w:rPr>
                <w:sz w:val="20"/>
              </w:rPr>
              <w:t xml:space="preserve">1337862,98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6126,20</w:t>
            </w:r>
          </w:p>
        </w:tc>
        <w:tc>
          <w:tcPr>
            <w:tcW w:w="1871" w:type="dxa"/>
          </w:tcPr>
          <w:p>
            <w:pPr>
              <w:pStyle w:val="0"/>
            </w:pPr>
            <w:r>
              <w:rPr>
                <w:sz w:val="20"/>
              </w:rPr>
              <w:t xml:space="preserve">Внебюджетные средства</w:t>
            </w:r>
          </w:p>
        </w:tc>
        <w:tc>
          <w:tcPr>
            <w:tcW w:w="1701" w:type="dxa"/>
          </w:tcPr>
          <w:p>
            <w:pPr>
              <w:pStyle w:val="0"/>
            </w:pPr>
            <w:r>
              <w:rPr>
                <w:sz w:val="20"/>
              </w:rPr>
              <w:t xml:space="preserve">21490,52</w:t>
            </w:r>
          </w:p>
        </w:tc>
        <w:tc>
          <w:tcPr>
            <w:tcW w:w="1474" w:type="dxa"/>
          </w:tcPr>
          <w:p>
            <w:pPr>
              <w:pStyle w:val="0"/>
            </w:pPr>
            <w:r>
              <w:rPr>
                <w:sz w:val="20"/>
              </w:rPr>
              <w:t xml:space="preserve">-</w:t>
            </w:r>
          </w:p>
        </w:tc>
        <w:tc>
          <w:tcPr>
            <w:tcW w:w="1644" w:type="dxa"/>
          </w:tcPr>
          <w:p>
            <w:pPr>
              <w:pStyle w:val="0"/>
            </w:pPr>
            <w:r>
              <w:rPr>
                <w:sz w:val="20"/>
              </w:rPr>
              <w:t xml:space="preserve">21490,52</w:t>
            </w:r>
          </w:p>
        </w:tc>
        <w:tc>
          <w:tcPr>
            <w:tcW w:w="1701" w:type="dxa"/>
          </w:tcPr>
          <w:p>
            <w:pPr>
              <w:pStyle w:val="0"/>
            </w:pPr>
            <w:r>
              <w:rPr>
                <w:sz w:val="20"/>
              </w:rPr>
            </w:r>
          </w:p>
        </w:tc>
        <w:tc>
          <w:tcPr>
            <w:vMerge w:val="continue"/>
          </w:tcPr>
          <w:p/>
        </w:tc>
        <w:tc>
          <w:tcPr>
            <w:vMerge w:val="continue"/>
          </w:tcPr>
          <w:p/>
        </w:tc>
      </w:tr>
      <w:tr>
        <w:tc>
          <w:tcPr>
            <w:tcW w:w="794" w:type="dxa"/>
            <w:vMerge w:val="restart"/>
          </w:tcPr>
          <w:p>
            <w:pPr>
              <w:pStyle w:val="0"/>
            </w:pPr>
            <w:r>
              <w:rPr>
                <w:sz w:val="20"/>
              </w:rPr>
              <w:t xml:space="preserve">1.1</w:t>
            </w:r>
          </w:p>
        </w:tc>
        <w:tc>
          <w:tcPr>
            <w:tcW w:w="2438" w:type="dxa"/>
            <w:vMerge w:val="restart"/>
          </w:tcPr>
          <w:p>
            <w:pPr>
              <w:pStyle w:val="0"/>
            </w:pPr>
            <w:r>
              <w:rPr>
                <w:sz w:val="20"/>
              </w:rPr>
              <w:t xml:space="preserve">Электроснабжение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1431674,07</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1431674,07</w:t>
            </w:r>
          </w:p>
        </w:tc>
        <w:tc>
          <w:tcPr>
            <w:tcW w:w="1474" w:type="dxa"/>
          </w:tcPr>
          <w:p>
            <w:pPr>
              <w:pStyle w:val="0"/>
            </w:pPr>
            <w:r>
              <w:rPr>
                <w:sz w:val="20"/>
              </w:rPr>
              <w:t xml:space="preserve">50000,00</w:t>
            </w:r>
          </w:p>
        </w:tc>
        <w:tc>
          <w:tcPr>
            <w:tcW w:w="1644" w:type="dxa"/>
          </w:tcPr>
          <w:p>
            <w:pPr>
              <w:pStyle w:val="0"/>
            </w:pPr>
            <w:r>
              <w:rPr>
                <w:sz w:val="20"/>
              </w:rPr>
              <w:t xml:space="preserve">723433,80</w:t>
            </w:r>
          </w:p>
        </w:tc>
        <w:tc>
          <w:tcPr>
            <w:tcW w:w="1701" w:type="dxa"/>
          </w:tcPr>
          <w:p>
            <w:pPr>
              <w:pStyle w:val="0"/>
            </w:pPr>
            <w:r>
              <w:rPr>
                <w:sz w:val="20"/>
              </w:rPr>
              <w:t xml:space="preserve">658240,27</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1431674,07</w:t>
            </w:r>
          </w:p>
        </w:tc>
        <w:tc>
          <w:tcPr>
            <w:tcW w:w="1474" w:type="dxa"/>
          </w:tcPr>
          <w:p>
            <w:pPr>
              <w:pStyle w:val="0"/>
            </w:pPr>
            <w:r>
              <w:rPr>
                <w:sz w:val="20"/>
              </w:rPr>
              <w:t xml:space="preserve">50000,00</w:t>
            </w:r>
          </w:p>
        </w:tc>
        <w:tc>
          <w:tcPr>
            <w:tcW w:w="1644" w:type="dxa"/>
          </w:tcPr>
          <w:p>
            <w:pPr>
              <w:pStyle w:val="0"/>
            </w:pPr>
            <w:r>
              <w:rPr>
                <w:sz w:val="20"/>
              </w:rPr>
              <w:t xml:space="preserve">723433,80</w:t>
            </w:r>
          </w:p>
        </w:tc>
        <w:tc>
          <w:tcPr>
            <w:tcW w:w="1701" w:type="dxa"/>
          </w:tcPr>
          <w:p>
            <w:pPr>
              <w:pStyle w:val="0"/>
            </w:pPr>
            <w:r>
              <w:rPr>
                <w:sz w:val="20"/>
              </w:rPr>
              <w:t xml:space="preserve">658240,27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156531,48</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156531,48</w:t>
            </w:r>
          </w:p>
        </w:tc>
        <w:tc>
          <w:tcPr>
            <w:tcW w:w="1474" w:type="dxa"/>
          </w:tcPr>
          <w:p>
            <w:pPr>
              <w:pStyle w:val="0"/>
            </w:pPr>
            <w:r>
              <w:rPr>
                <w:sz w:val="20"/>
              </w:rPr>
              <w:t xml:space="preserve">50000,00</w:t>
            </w:r>
          </w:p>
        </w:tc>
        <w:tc>
          <w:tcPr>
            <w:tcW w:w="1644" w:type="dxa"/>
          </w:tcPr>
          <w:p>
            <w:pPr>
              <w:pStyle w:val="0"/>
            </w:pPr>
            <w:r>
              <w:rPr>
                <w:sz w:val="20"/>
              </w:rPr>
              <w:t xml:space="preserve">85862,50</w:t>
            </w:r>
          </w:p>
        </w:tc>
        <w:tc>
          <w:tcPr>
            <w:tcW w:w="1701" w:type="dxa"/>
          </w:tcPr>
          <w:p>
            <w:pPr>
              <w:pStyle w:val="0"/>
            </w:pPr>
            <w:r>
              <w:rPr>
                <w:sz w:val="20"/>
              </w:rPr>
              <w:t xml:space="preserve">20668,98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156531,48</w:t>
            </w:r>
          </w:p>
        </w:tc>
        <w:tc>
          <w:tcPr>
            <w:tcW w:w="1474" w:type="dxa"/>
          </w:tcPr>
          <w:p>
            <w:pPr>
              <w:pStyle w:val="0"/>
            </w:pPr>
            <w:r>
              <w:rPr>
                <w:sz w:val="20"/>
              </w:rPr>
              <w:t xml:space="preserve">50000,00</w:t>
            </w:r>
          </w:p>
        </w:tc>
        <w:tc>
          <w:tcPr>
            <w:tcW w:w="1644" w:type="dxa"/>
          </w:tcPr>
          <w:p>
            <w:pPr>
              <w:pStyle w:val="0"/>
            </w:pPr>
            <w:r>
              <w:rPr>
                <w:sz w:val="20"/>
              </w:rPr>
              <w:t xml:space="preserve">85862,50</w:t>
            </w:r>
          </w:p>
        </w:tc>
        <w:tc>
          <w:tcPr>
            <w:tcW w:w="1701" w:type="dxa"/>
          </w:tcPr>
          <w:p>
            <w:pPr>
              <w:pStyle w:val="0"/>
            </w:pPr>
            <w:r>
              <w:rPr>
                <w:sz w:val="20"/>
              </w:rPr>
              <w:t xml:space="preserve">20668,98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технологическое присоединение к сетям</w:t>
            </w:r>
          </w:p>
        </w:tc>
        <w:tc>
          <w:tcPr>
            <w:vMerge w:val="continue"/>
          </w:tcPr>
          <w:p/>
        </w:tc>
        <w:tc>
          <w:tcPr>
            <w:tcW w:w="1984" w:type="dxa"/>
            <w:vMerge w:val="restart"/>
          </w:tcPr>
          <w:p>
            <w:pPr>
              <w:pStyle w:val="0"/>
            </w:pPr>
            <w:r>
              <w:rPr>
                <w:sz w:val="20"/>
              </w:rPr>
              <w:t xml:space="preserve">1275142,59</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1275142,59</w:t>
            </w:r>
          </w:p>
        </w:tc>
        <w:tc>
          <w:tcPr>
            <w:tcW w:w="1474" w:type="dxa"/>
          </w:tcPr>
          <w:p>
            <w:pPr>
              <w:pStyle w:val="0"/>
            </w:pPr>
            <w:r>
              <w:rPr>
                <w:sz w:val="20"/>
              </w:rPr>
              <w:t xml:space="preserve">-</w:t>
            </w:r>
          </w:p>
        </w:tc>
        <w:tc>
          <w:tcPr>
            <w:tcW w:w="1644" w:type="dxa"/>
          </w:tcPr>
          <w:p>
            <w:pPr>
              <w:pStyle w:val="0"/>
            </w:pPr>
            <w:r>
              <w:rPr>
                <w:sz w:val="20"/>
              </w:rPr>
              <w:t xml:space="preserve">637571,30</w:t>
            </w:r>
          </w:p>
        </w:tc>
        <w:tc>
          <w:tcPr>
            <w:tcW w:w="1701" w:type="dxa"/>
          </w:tcPr>
          <w:p>
            <w:pPr>
              <w:pStyle w:val="0"/>
            </w:pPr>
            <w:r>
              <w:rPr>
                <w:sz w:val="20"/>
              </w:rPr>
              <w:t xml:space="preserve">637571,29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1275142,59</w:t>
            </w:r>
          </w:p>
        </w:tc>
        <w:tc>
          <w:tcPr>
            <w:tcW w:w="1474" w:type="dxa"/>
          </w:tcPr>
          <w:p>
            <w:pPr>
              <w:pStyle w:val="0"/>
            </w:pPr>
            <w:r>
              <w:rPr>
                <w:sz w:val="20"/>
              </w:rPr>
              <w:t xml:space="preserve">-</w:t>
            </w:r>
          </w:p>
        </w:tc>
        <w:tc>
          <w:tcPr>
            <w:tcW w:w="1644" w:type="dxa"/>
          </w:tcPr>
          <w:p>
            <w:pPr>
              <w:pStyle w:val="0"/>
            </w:pPr>
            <w:r>
              <w:rPr>
                <w:sz w:val="20"/>
              </w:rPr>
              <w:t xml:space="preserve">637571,30</w:t>
            </w:r>
          </w:p>
        </w:tc>
        <w:tc>
          <w:tcPr>
            <w:tcW w:w="1701" w:type="dxa"/>
          </w:tcPr>
          <w:p>
            <w:pPr>
              <w:pStyle w:val="0"/>
            </w:pPr>
            <w:r>
              <w:rPr>
                <w:sz w:val="20"/>
              </w:rPr>
              <w:t xml:space="preserve">637571,29</w:t>
            </w:r>
          </w:p>
        </w:tc>
        <w:tc>
          <w:tcPr>
            <w:vMerge w:val="continue"/>
          </w:tcPr>
          <w:p/>
        </w:tc>
        <w:tc>
          <w:tcPr>
            <w:vMerge w:val="continue"/>
          </w:tcPr>
          <w:p/>
        </w:tc>
      </w:tr>
      <w:tr>
        <w:tc>
          <w:tcPr>
            <w:tcW w:w="794" w:type="dxa"/>
            <w:vMerge w:val="restart"/>
          </w:tcPr>
          <w:p>
            <w:pPr>
              <w:pStyle w:val="0"/>
            </w:pPr>
            <w:r>
              <w:rPr>
                <w:sz w:val="20"/>
              </w:rPr>
              <w:t xml:space="preserve">1.2</w:t>
            </w:r>
          </w:p>
        </w:tc>
        <w:tc>
          <w:tcPr>
            <w:tcW w:w="2438" w:type="dxa"/>
            <w:vMerge w:val="restart"/>
          </w:tcPr>
          <w:p>
            <w:pPr>
              <w:pStyle w:val="0"/>
            </w:pPr>
            <w:r>
              <w:rPr>
                <w:sz w:val="20"/>
              </w:rPr>
              <w:t xml:space="preserve">Газоснабжение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164986,51</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164986,51</w:t>
            </w:r>
          </w:p>
        </w:tc>
        <w:tc>
          <w:tcPr>
            <w:tcW w:w="1474" w:type="dxa"/>
          </w:tcPr>
          <w:p>
            <w:pPr>
              <w:pStyle w:val="0"/>
            </w:pPr>
            <w:r>
              <w:rPr>
                <w:sz w:val="20"/>
              </w:rPr>
              <w:t xml:space="preserve">-</w:t>
            </w:r>
          </w:p>
        </w:tc>
        <w:tc>
          <w:tcPr>
            <w:tcW w:w="1644" w:type="dxa"/>
          </w:tcPr>
          <w:p>
            <w:pPr>
              <w:pStyle w:val="0"/>
            </w:pPr>
            <w:r>
              <w:rPr>
                <w:sz w:val="20"/>
              </w:rPr>
              <w:t xml:space="preserve">132930,05</w:t>
            </w:r>
          </w:p>
        </w:tc>
        <w:tc>
          <w:tcPr>
            <w:tcW w:w="1701" w:type="dxa"/>
          </w:tcPr>
          <w:p>
            <w:pPr>
              <w:pStyle w:val="0"/>
            </w:pPr>
            <w:r>
              <w:rPr>
                <w:sz w:val="20"/>
              </w:rPr>
              <w:t xml:space="preserve">32056,46</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164986,51</w:t>
            </w:r>
          </w:p>
        </w:tc>
        <w:tc>
          <w:tcPr>
            <w:tcW w:w="1474" w:type="dxa"/>
          </w:tcPr>
          <w:p>
            <w:pPr>
              <w:pStyle w:val="0"/>
            </w:pPr>
            <w:r>
              <w:rPr>
                <w:sz w:val="20"/>
              </w:rPr>
              <w:t xml:space="preserve">-</w:t>
            </w:r>
          </w:p>
        </w:tc>
        <w:tc>
          <w:tcPr>
            <w:tcW w:w="1644" w:type="dxa"/>
          </w:tcPr>
          <w:p>
            <w:pPr>
              <w:pStyle w:val="0"/>
            </w:pPr>
            <w:r>
              <w:rPr>
                <w:sz w:val="20"/>
              </w:rPr>
              <w:t xml:space="preserve">132930,05</w:t>
            </w:r>
          </w:p>
        </w:tc>
        <w:tc>
          <w:tcPr>
            <w:tcW w:w="1701" w:type="dxa"/>
          </w:tcPr>
          <w:p>
            <w:pPr>
              <w:pStyle w:val="0"/>
            </w:pPr>
            <w:r>
              <w:rPr>
                <w:sz w:val="20"/>
              </w:rPr>
              <w:t xml:space="preserve">32056,46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164835,57</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164835,57</w:t>
            </w:r>
          </w:p>
        </w:tc>
        <w:tc>
          <w:tcPr>
            <w:tcW w:w="1474" w:type="dxa"/>
          </w:tcPr>
          <w:p>
            <w:pPr>
              <w:pStyle w:val="0"/>
            </w:pPr>
            <w:r>
              <w:rPr>
                <w:sz w:val="20"/>
              </w:rPr>
              <w:t xml:space="preserve">-</w:t>
            </w:r>
          </w:p>
        </w:tc>
        <w:tc>
          <w:tcPr>
            <w:tcW w:w="1644" w:type="dxa"/>
          </w:tcPr>
          <w:p>
            <w:pPr>
              <w:pStyle w:val="0"/>
            </w:pPr>
            <w:r>
              <w:rPr>
                <w:sz w:val="20"/>
              </w:rPr>
              <w:t xml:space="preserve">132854,58</w:t>
            </w:r>
          </w:p>
        </w:tc>
        <w:tc>
          <w:tcPr>
            <w:tcW w:w="1701" w:type="dxa"/>
          </w:tcPr>
          <w:p>
            <w:pPr>
              <w:pStyle w:val="0"/>
            </w:pPr>
            <w:r>
              <w:rPr>
                <w:sz w:val="20"/>
              </w:rPr>
              <w:t xml:space="preserve">31980,99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164835,57</w:t>
            </w:r>
          </w:p>
        </w:tc>
        <w:tc>
          <w:tcPr>
            <w:tcW w:w="1474" w:type="dxa"/>
          </w:tcPr>
          <w:p>
            <w:pPr>
              <w:pStyle w:val="0"/>
            </w:pPr>
            <w:r>
              <w:rPr>
                <w:sz w:val="20"/>
              </w:rPr>
            </w:r>
          </w:p>
        </w:tc>
        <w:tc>
          <w:tcPr>
            <w:tcW w:w="1644" w:type="dxa"/>
          </w:tcPr>
          <w:p>
            <w:pPr>
              <w:pStyle w:val="0"/>
            </w:pPr>
            <w:r>
              <w:rPr>
                <w:sz w:val="20"/>
              </w:rPr>
              <w:t xml:space="preserve">132854,58</w:t>
            </w:r>
          </w:p>
        </w:tc>
        <w:tc>
          <w:tcPr>
            <w:tcW w:w="1701" w:type="dxa"/>
          </w:tcPr>
          <w:p>
            <w:pPr>
              <w:pStyle w:val="0"/>
            </w:pPr>
            <w:r>
              <w:rPr>
                <w:sz w:val="20"/>
              </w:rPr>
              <w:t xml:space="preserve">31980,99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технологическое присоединение к сетям</w:t>
            </w:r>
          </w:p>
        </w:tc>
        <w:tc>
          <w:tcPr>
            <w:vMerge w:val="continue"/>
          </w:tcPr>
          <w:p/>
        </w:tc>
        <w:tc>
          <w:tcPr>
            <w:tcW w:w="1984" w:type="dxa"/>
            <w:vMerge w:val="restart"/>
          </w:tcPr>
          <w:p>
            <w:pPr>
              <w:pStyle w:val="0"/>
            </w:pPr>
            <w:r>
              <w:rPr>
                <w:sz w:val="20"/>
              </w:rPr>
              <w:t xml:space="preserve">150,94</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150,94</w:t>
            </w:r>
          </w:p>
        </w:tc>
        <w:tc>
          <w:tcPr>
            <w:tcW w:w="1474" w:type="dxa"/>
          </w:tcPr>
          <w:p>
            <w:pPr>
              <w:pStyle w:val="0"/>
            </w:pPr>
            <w:r>
              <w:rPr>
                <w:sz w:val="20"/>
              </w:rPr>
              <w:t xml:space="preserve">-</w:t>
            </w:r>
          </w:p>
        </w:tc>
        <w:tc>
          <w:tcPr>
            <w:tcW w:w="1644" w:type="dxa"/>
          </w:tcPr>
          <w:p>
            <w:pPr>
              <w:pStyle w:val="0"/>
            </w:pPr>
            <w:r>
              <w:rPr>
                <w:sz w:val="20"/>
              </w:rPr>
              <w:t xml:space="preserve">75,47</w:t>
            </w:r>
          </w:p>
        </w:tc>
        <w:tc>
          <w:tcPr>
            <w:tcW w:w="1701" w:type="dxa"/>
          </w:tcPr>
          <w:p>
            <w:pPr>
              <w:pStyle w:val="0"/>
            </w:pPr>
            <w:r>
              <w:rPr>
                <w:sz w:val="20"/>
              </w:rPr>
              <w:t xml:space="preserve">75,47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150,94</w:t>
            </w:r>
          </w:p>
        </w:tc>
        <w:tc>
          <w:tcPr>
            <w:tcW w:w="1474" w:type="dxa"/>
          </w:tcPr>
          <w:p>
            <w:pPr>
              <w:pStyle w:val="0"/>
            </w:pPr>
            <w:r>
              <w:rPr>
                <w:sz w:val="20"/>
              </w:rPr>
            </w:r>
          </w:p>
        </w:tc>
        <w:tc>
          <w:tcPr>
            <w:tcW w:w="1644" w:type="dxa"/>
          </w:tcPr>
          <w:p>
            <w:pPr>
              <w:pStyle w:val="0"/>
            </w:pPr>
            <w:r>
              <w:rPr>
                <w:sz w:val="20"/>
              </w:rPr>
              <w:t xml:space="preserve">75,47</w:t>
            </w:r>
          </w:p>
        </w:tc>
        <w:tc>
          <w:tcPr>
            <w:tcW w:w="1701" w:type="dxa"/>
          </w:tcPr>
          <w:p>
            <w:pPr>
              <w:pStyle w:val="0"/>
            </w:pPr>
            <w:r>
              <w:rPr>
                <w:sz w:val="20"/>
              </w:rPr>
              <w:t xml:space="preserve">75,47</w:t>
            </w:r>
          </w:p>
        </w:tc>
        <w:tc>
          <w:tcPr>
            <w:vMerge w:val="continue"/>
          </w:tcPr>
          <w:p/>
        </w:tc>
        <w:tc>
          <w:tcPr>
            <w:vMerge w:val="continue"/>
          </w:tcPr>
          <w:p/>
        </w:tc>
      </w:tr>
      <w:tr>
        <w:tc>
          <w:tcPr>
            <w:tcW w:w="794" w:type="dxa"/>
            <w:vMerge w:val="restart"/>
          </w:tcPr>
          <w:p>
            <w:pPr>
              <w:pStyle w:val="0"/>
            </w:pPr>
            <w:r>
              <w:rPr>
                <w:sz w:val="20"/>
              </w:rPr>
              <w:t xml:space="preserve">1.3</w:t>
            </w:r>
          </w:p>
        </w:tc>
        <w:tc>
          <w:tcPr>
            <w:tcW w:w="2438" w:type="dxa"/>
            <w:vMerge w:val="restart"/>
          </w:tcPr>
          <w:p>
            <w:pPr>
              <w:pStyle w:val="0"/>
            </w:pPr>
            <w:r>
              <w:rPr>
                <w:sz w:val="20"/>
              </w:rPr>
              <w:t xml:space="preserve">Водоснабжение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85775,50</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85775,50</w:t>
            </w:r>
          </w:p>
        </w:tc>
        <w:tc>
          <w:tcPr>
            <w:tcW w:w="1474" w:type="dxa"/>
          </w:tcPr>
          <w:p>
            <w:pPr>
              <w:pStyle w:val="0"/>
            </w:pPr>
            <w:r>
              <w:rPr>
                <w:sz w:val="20"/>
              </w:rPr>
              <w:t xml:space="preserve">-</w:t>
            </w:r>
          </w:p>
        </w:tc>
        <w:tc>
          <w:tcPr>
            <w:tcW w:w="1644" w:type="dxa"/>
          </w:tcPr>
          <w:p>
            <w:pPr>
              <w:pStyle w:val="0"/>
            </w:pPr>
            <w:r>
              <w:rPr>
                <w:sz w:val="20"/>
              </w:rPr>
              <w:t xml:space="preserve">69133,55</w:t>
            </w:r>
          </w:p>
        </w:tc>
        <w:tc>
          <w:tcPr>
            <w:tcW w:w="1701" w:type="dxa"/>
          </w:tcPr>
          <w:p>
            <w:pPr>
              <w:pStyle w:val="0"/>
            </w:pPr>
            <w:r>
              <w:rPr>
                <w:sz w:val="20"/>
              </w:rPr>
              <w:t xml:space="preserve">16641,95</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85775,50</w:t>
            </w:r>
          </w:p>
        </w:tc>
        <w:tc>
          <w:tcPr>
            <w:tcW w:w="1474" w:type="dxa"/>
          </w:tcPr>
          <w:p>
            <w:pPr>
              <w:pStyle w:val="0"/>
            </w:pPr>
            <w:r>
              <w:rPr>
                <w:sz w:val="20"/>
              </w:rPr>
              <w:t xml:space="preserve">-</w:t>
            </w:r>
          </w:p>
        </w:tc>
        <w:tc>
          <w:tcPr>
            <w:tcW w:w="1644" w:type="dxa"/>
          </w:tcPr>
          <w:p>
            <w:pPr>
              <w:pStyle w:val="0"/>
            </w:pPr>
            <w:r>
              <w:rPr>
                <w:sz w:val="20"/>
              </w:rPr>
              <w:t xml:space="preserve">69133,55</w:t>
            </w:r>
          </w:p>
        </w:tc>
        <w:tc>
          <w:tcPr>
            <w:tcW w:w="1701" w:type="dxa"/>
          </w:tcPr>
          <w:p>
            <w:pPr>
              <w:pStyle w:val="0"/>
            </w:pPr>
            <w:r>
              <w:rPr>
                <w:sz w:val="20"/>
              </w:rPr>
              <w:t xml:space="preserve">16641,95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85775,50</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85775,50</w:t>
            </w:r>
          </w:p>
        </w:tc>
        <w:tc>
          <w:tcPr>
            <w:tcW w:w="1474" w:type="dxa"/>
          </w:tcPr>
          <w:p>
            <w:pPr>
              <w:pStyle w:val="0"/>
            </w:pPr>
            <w:r>
              <w:rPr>
                <w:sz w:val="20"/>
              </w:rPr>
              <w:t xml:space="preserve">-</w:t>
            </w:r>
          </w:p>
        </w:tc>
        <w:tc>
          <w:tcPr>
            <w:tcW w:w="1644" w:type="dxa"/>
          </w:tcPr>
          <w:p>
            <w:pPr>
              <w:pStyle w:val="0"/>
            </w:pPr>
            <w:r>
              <w:rPr>
                <w:sz w:val="20"/>
              </w:rPr>
              <w:t xml:space="preserve">69133,55</w:t>
            </w:r>
          </w:p>
        </w:tc>
        <w:tc>
          <w:tcPr>
            <w:tcW w:w="1701" w:type="dxa"/>
          </w:tcPr>
          <w:p>
            <w:pPr>
              <w:pStyle w:val="0"/>
            </w:pPr>
            <w:r>
              <w:rPr>
                <w:sz w:val="20"/>
              </w:rPr>
              <w:t xml:space="preserve">16641,95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85775,50</w:t>
            </w:r>
          </w:p>
        </w:tc>
        <w:tc>
          <w:tcPr>
            <w:tcW w:w="1474" w:type="dxa"/>
          </w:tcPr>
          <w:p>
            <w:pPr>
              <w:pStyle w:val="0"/>
            </w:pPr>
            <w:r>
              <w:rPr>
                <w:sz w:val="20"/>
              </w:rPr>
              <w:t xml:space="preserve">-</w:t>
            </w:r>
          </w:p>
        </w:tc>
        <w:tc>
          <w:tcPr>
            <w:tcW w:w="1644" w:type="dxa"/>
          </w:tcPr>
          <w:p>
            <w:pPr>
              <w:pStyle w:val="0"/>
            </w:pPr>
            <w:r>
              <w:rPr>
                <w:sz w:val="20"/>
              </w:rPr>
              <w:t xml:space="preserve">69133,55</w:t>
            </w:r>
          </w:p>
        </w:tc>
        <w:tc>
          <w:tcPr>
            <w:tcW w:w="1701" w:type="dxa"/>
          </w:tcPr>
          <w:p>
            <w:pPr>
              <w:pStyle w:val="0"/>
            </w:pPr>
            <w:r>
              <w:rPr>
                <w:sz w:val="20"/>
              </w:rPr>
              <w:t xml:space="preserve">16641,95</w:t>
            </w:r>
          </w:p>
        </w:tc>
        <w:tc>
          <w:tcPr>
            <w:vMerge w:val="continue"/>
          </w:tcPr>
          <w:p/>
        </w:tc>
        <w:tc>
          <w:tcPr>
            <w:vMerge w:val="continue"/>
          </w:tcPr>
          <w:p/>
        </w:tc>
      </w:tr>
      <w:tr>
        <w:tc>
          <w:tcPr>
            <w:tcW w:w="794" w:type="dxa"/>
            <w:vMerge w:val="restart"/>
          </w:tcPr>
          <w:p>
            <w:pPr>
              <w:pStyle w:val="0"/>
            </w:pPr>
            <w:r>
              <w:rPr>
                <w:sz w:val="20"/>
              </w:rPr>
              <w:t xml:space="preserve">1.4</w:t>
            </w:r>
          </w:p>
        </w:tc>
        <w:tc>
          <w:tcPr>
            <w:tcW w:w="2438" w:type="dxa"/>
            <w:vMerge w:val="restart"/>
          </w:tcPr>
          <w:p>
            <w:pPr>
              <w:pStyle w:val="0"/>
            </w:pPr>
            <w:r>
              <w:rPr>
                <w:sz w:val="20"/>
              </w:rPr>
              <w:t xml:space="preserve">Водоотведение хозяйственно-бытовое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124092,20</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124092,20</w:t>
            </w:r>
          </w:p>
        </w:tc>
        <w:tc>
          <w:tcPr>
            <w:tcW w:w="1474" w:type="dxa"/>
          </w:tcPr>
          <w:p>
            <w:pPr>
              <w:pStyle w:val="0"/>
            </w:pPr>
            <w:r>
              <w:rPr>
                <w:sz w:val="20"/>
              </w:rPr>
              <w:t xml:space="preserve">-</w:t>
            </w:r>
          </w:p>
        </w:tc>
        <w:tc>
          <w:tcPr>
            <w:tcW w:w="1644" w:type="dxa"/>
          </w:tcPr>
          <w:p>
            <w:pPr>
              <w:pStyle w:val="0"/>
            </w:pPr>
            <w:r>
              <w:rPr>
                <w:sz w:val="20"/>
              </w:rPr>
              <w:t xml:space="preserve">100016,13</w:t>
            </w:r>
          </w:p>
        </w:tc>
        <w:tc>
          <w:tcPr>
            <w:tcW w:w="1701" w:type="dxa"/>
          </w:tcPr>
          <w:p>
            <w:pPr>
              <w:pStyle w:val="0"/>
            </w:pPr>
            <w:r>
              <w:rPr>
                <w:sz w:val="20"/>
              </w:rPr>
              <w:t xml:space="preserve">24076,07</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124092,20</w:t>
            </w:r>
          </w:p>
        </w:tc>
        <w:tc>
          <w:tcPr>
            <w:tcW w:w="1474" w:type="dxa"/>
          </w:tcPr>
          <w:p>
            <w:pPr>
              <w:pStyle w:val="0"/>
            </w:pPr>
            <w:r>
              <w:rPr>
                <w:sz w:val="20"/>
              </w:rPr>
              <w:t xml:space="preserve">-</w:t>
            </w:r>
          </w:p>
        </w:tc>
        <w:tc>
          <w:tcPr>
            <w:tcW w:w="1644" w:type="dxa"/>
          </w:tcPr>
          <w:p>
            <w:pPr>
              <w:pStyle w:val="0"/>
            </w:pPr>
            <w:r>
              <w:rPr>
                <w:sz w:val="20"/>
              </w:rPr>
              <w:t xml:space="preserve">100016,13</w:t>
            </w:r>
          </w:p>
        </w:tc>
        <w:tc>
          <w:tcPr>
            <w:tcW w:w="1701" w:type="dxa"/>
          </w:tcPr>
          <w:p>
            <w:pPr>
              <w:pStyle w:val="0"/>
            </w:pPr>
            <w:r>
              <w:rPr>
                <w:sz w:val="20"/>
              </w:rPr>
              <w:t xml:space="preserve">24076,07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124092,20</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124092,20</w:t>
            </w:r>
          </w:p>
        </w:tc>
        <w:tc>
          <w:tcPr>
            <w:tcW w:w="1474" w:type="dxa"/>
          </w:tcPr>
          <w:p>
            <w:pPr>
              <w:pStyle w:val="0"/>
            </w:pPr>
            <w:r>
              <w:rPr>
                <w:sz w:val="20"/>
              </w:rPr>
              <w:t xml:space="preserve">-</w:t>
            </w:r>
          </w:p>
        </w:tc>
        <w:tc>
          <w:tcPr>
            <w:tcW w:w="1644" w:type="dxa"/>
          </w:tcPr>
          <w:p>
            <w:pPr>
              <w:pStyle w:val="0"/>
            </w:pPr>
            <w:r>
              <w:rPr>
                <w:sz w:val="20"/>
              </w:rPr>
              <w:t xml:space="preserve">100016,13</w:t>
            </w:r>
          </w:p>
        </w:tc>
        <w:tc>
          <w:tcPr>
            <w:tcW w:w="1701" w:type="dxa"/>
          </w:tcPr>
          <w:p>
            <w:pPr>
              <w:pStyle w:val="0"/>
            </w:pPr>
            <w:r>
              <w:rPr>
                <w:sz w:val="20"/>
              </w:rPr>
              <w:t xml:space="preserve">24076,07</w:t>
            </w:r>
          </w:p>
        </w:tc>
        <w:tc>
          <w:tcPr>
            <w:vMerge w:val="continue"/>
          </w:tcPr>
          <w:p/>
        </w:tc>
        <w:tc>
          <w:tcPr>
            <w:tcW w:w="175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124092,20</w:t>
            </w:r>
          </w:p>
        </w:tc>
        <w:tc>
          <w:tcPr>
            <w:tcW w:w="1474" w:type="dxa"/>
          </w:tcPr>
          <w:p>
            <w:pPr>
              <w:pStyle w:val="0"/>
            </w:pPr>
            <w:r>
              <w:rPr>
                <w:sz w:val="20"/>
              </w:rPr>
              <w:t xml:space="preserve">-</w:t>
            </w:r>
          </w:p>
        </w:tc>
        <w:tc>
          <w:tcPr>
            <w:tcW w:w="1644" w:type="dxa"/>
          </w:tcPr>
          <w:p>
            <w:pPr>
              <w:pStyle w:val="0"/>
            </w:pPr>
            <w:r>
              <w:rPr>
                <w:sz w:val="20"/>
              </w:rPr>
              <w:t xml:space="preserve">100016,13</w:t>
            </w:r>
          </w:p>
        </w:tc>
        <w:tc>
          <w:tcPr>
            <w:tcW w:w="1701" w:type="dxa"/>
          </w:tcPr>
          <w:p>
            <w:pPr>
              <w:pStyle w:val="0"/>
            </w:pPr>
            <w:r>
              <w:rPr>
                <w:sz w:val="20"/>
              </w:rPr>
              <w:t xml:space="preserve">24076,07</w:t>
            </w:r>
          </w:p>
        </w:tc>
        <w:tc>
          <w:tcPr>
            <w:vMerge w:val="continue"/>
          </w:tcPr>
          <w:p/>
        </w:tc>
        <w:tc>
          <w:tcPr>
            <w:tcW w:w="1757" w:type="dxa"/>
          </w:tcPr>
          <w:p>
            <w:pPr>
              <w:pStyle w:val="0"/>
            </w:pPr>
            <w:r>
              <w:rPr>
                <w:sz w:val="20"/>
              </w:rPr>
            </w:r>
          </w:p>
        </w:tc>
      </w:tr>
      <w:tr>
        <w:tc>
          <w:tcPr>
            <w:tcW w:w="794" w:type="dxa"/>
            <w:vMerge w:val="restart"/>
          </w:tcPr>
          <w:p>
            <w:pPr>
              <w:pStyle w:val="0"/>
            </w:pPr>
            <w:r>
              <w:rPr>
                <w:sz w:val="20"/>
              </w:rPr>
              <w:t xml:space="preserve">1.5</w:t>
            </w:r>
          </w:p>
        </w:tc>
        <w:tc>
          <w:tcPr>
            <w:tcW w:w="2438" w:type="dxa"/>
            <w:vMerge w:val="restart"/>
          </w:tcPr>
          <w:p>
            <w:pPr>
              <w:pStyle w:val="0"/>
            </w:pPr>
            <w:r>
              <w:rPr>
                <w:sz w:val="20"/>
              </w:rPr>
              <w:t xml:space="preserve">ЛОС ливневых стоков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528967,57</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528967,57</w:t>
            </w:r>
          </w:p>
        </w:tc>
        <w:tc>
          <w:tcPr>
            <w:tcW w:w="1474" w:type="dxa"/>
          </w:tcPr>
          <w:p>
            <w:pPr>
              <w:pStyle w:val="0"/>
            </w:pPr>
            <w:r>
              <w:rPr>
                <w:sz w:val="20"/>
              </w:rPr>
              <w:t xml:space="preserve">200000,00</w:t>
            </w:r>
          </w:p>
        </w:tc>
        <w:tc>
          <w:tcPr>
            <w:tcW w:w="1644" w:type="dxa"/>
          </w:tcPr>
          <w:p>
            <w:pPr>
              <w:pStyle w:val="0"/>
            </w:pPr>
            <w:r>
              <w:rPr>
                <w:sz w:val="20"/>
              </w:rPr>
              <w:t xml:space="preserve">328967,57</w:t>
            </w:r>
          </w:p>
        </w:tc>
        <w:tc>
          <w:tcPr>
            <w:tcW w:w="1701"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528967,57</w:t>
            </w:r>
          </w:p>
        </w:tc>
        <w:tc>
          <w:tcPr>
            <w:tcW w:w="1474" w:type="dxa"/>
          </w:tcPr>
          <w:p>
            <w:pPr>
              <w:pStyle w:val="0"/>
            </w:pPr>
            <w:r>
              <w:rPr>
                <w:sz w:val="20"/>
              </w:rPr>
              <w:t xml:space="preserve">200000,00</w:t>
            </w:r>
          </w:p>
        </w:tc>
        <w:tc>
          <w:tcPr>
            <w:tcW w:w="1644" w:type="dxa"/>
          </w:tcPr>
          <w:p>
            <w:pPr>
              <w:pStyle w:val="0"/>
            </w:pPr>
            <w:r>
              <w:rPr>
                <w:sz w:val="20"/>
              </w:rPr>
              <w:t xml:space="preserve">328967,57</w:t>
            </w:r>
          </w:p>
        </w:tc>
        <w:tc>
          <w:tcPr>
            <w:tcW w:w="1701"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528967,57</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528967,57</w:t>
            </w:r>
          </w:p>
        </w:tc>
        <w:tc>
          <w:tcPr>
            <w:tcW w:w="1474" w:type="dxa"/>
          </w:tcPr>
          <w:p>
            <w:pPr>
              <w:pStyle w:val="0"/>
            </w:pPr>
            <w:r>
              <w:rPr>
                <w:sz w:val="20"/>
              </w:rPr>
              <w:t xml:space="preserve">200000,00</w:t>
            </w:r>
          </w:p>
        </w:tc>
        <w:tc>
          <w:tcPr>
            <w:tcW w:w="1644" w:type="dxa"/>
          </w:tcPr>
          <w:p>
            <w:pPr>
              <w:pStyle w:val="0"/>
            </w:pPr>
            <w:r>
              <w:rPr>
                <w:sz w:val="20"/>
              </w:rPr>
              <w:t xml:space="preserve">328967,57</w:t>
            </w:r>
          </w:p>
        </w:tc>
        <w:tc>
          <w:tcPr>
            <w:tcW w:w="1701" w:type="dxa"/>
          </w:tcPr>
          <w:p>
            <w:pPr>
              <w:pStyle w:val="0"/>
            </w:pPr>
            <w:r>
              <w:rPr>
                <w:sz w:val="20"/>
              </w:rPr>
              <w:t xml:space="preserve">-</w:t>
            </w:r>
          </w:p>
        </w:tc>
        <w:tc>
          <w:tcPr>
            <w:vMerge w:val="continue"/>
          </w:tcPr>
          <w:p/>
        </w:tc>
        <w:tc>
          <w:tcPr>
            <w:tcW w:w="175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528967,57</w:t>
            </w:r>
          </w:p>
        </w:tc>
        <w:tc>
          <w:tcPr>
            <w:tcW w:w="1474" w:type="dxa"/>
          </w:tcPr>
          <w:p>
            <w:pPr>
              <w:pStyle w:val="0"/>
            </w:pPr>
            <w:r>
              <w:rPr>
                <w:sz w:val="20"/>
              </w:rPr>
              <w:t xml:space="preserve">200000,00</w:t>
            </w:r>
          </w:p>
        </w:tc>
        <w:tc>
          <w:tcPr>
            <w:tcW w:w="1644" w:type="dxa"/>
          </w:tcPr>
          <w:p>
            <w:pPr>
              <w:pStyle w:val="0"/>
            </w:pPr>
            <w:r>
              <w:rPr>
                <w:sz w:val="20"/>
              </w:rPr>
              <w:t xml:space="preserve">328967,57</w:t>
            </w:r>
          </w:p>
        </w:tc>
        <w:tc>
          <w:tcPr>
            <w:tcW w:w="1701" w:type="dxa"/>
          </w:tcPr>
          <w:p>
            <w:pPr>
              <w:pStyle w:val="0"/>
            </w:pPr>
            <w:r>
              <w:rPr>
                <w:sz w:val="20"/>
              </w:rPr>
              <w:t xml:space="preserve">-</w:t>
            </w:r>
          </w:p>
        </w:tc>
        <w:tc>
          <w:tcPr>
            <w:vMerge w:val="continue"/>
          </w:tcPr>
          <w:p/>
        </w:tc>
        <w:tc>
          <w:tcPr>
            <w:tcW w:w="1757" w:type="dxa"/>
          </w:tcPr>
          <w:p>
            <w:pPr>
              <w:pStyle w:val="0"/>
            </w:pPr>
            <w:r>
              <w:rPr>
                <w:sz w:val="20"/>
              </w:rPr>
            </w:r>
          </w:p>
        </w:tc>
      </w:tr>
      <w:tr>
        <w:tc>
          <w:tcPr>
            <w:tcW w:w="794" w:type="dxa"/>
            <w:vMerge w:val="restart"/>
          </w:tcPr>
          <w:p>
            <w:pPr>
              <w:pStyle w:val="0"/>
            </w:pPr>
            <w:r>
              <w:rPr>
                <w:sz w:val="20"/>
              </w:rPr>
              <w:t xml:space="preserve">1.6</w:t>
            </w:r>
          </w:p>
        </w:tc>
        <w:tc>
          <w:tcPr>
            <w:tcW w:w="2438" w:type="dxa"/>
            <w:vMerge w:val="restart"/>
          </w:tcPr>
          <w:p>
            <w:pPr>
              <w:pStyle w:val="0"/>
            </w:pPr>
            <w:r>
              <w:rPr>
                <w:sz w:val="20"/>
              </w:rPr>
              <w:t xml:space="preserve">Кабельная канализация связи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25922,41</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25922,41</w:t>
            </w:r>
          </w:p>
        </w:tc>
        <w:tc>
          <w:tcPr>
            <w:tcW w:w="1474" w:type="dxa"/>
          </w:tcPr>
          <w:p>
            <w:pPr>
              <w:pStyle w:val="0"/>
            </w:pPr>
            <w:r>
              <w:rPr>
                <w:sz w:val="20"/>
              </w:rPr>
              <w:t xml:space="preserve">-</w:t>
            </w:r>
          </w:p>
        </w:tc>
        <w:tc>
          <w:tcPr>
            <w:tcW w:w="1644" w:type="dxa"/>
          </w:tcPr>
          <w:p>
            <w:pPr>
              <w:pStyle w:val="0"/>
            </w:pPr>
            <w:r>
              <w:rPr>
                <w:sz w:val="20"/>
              </w:rPr>
              <w:t xml:space="preserve">20893,01</w:t>
            </w:r>
          </w:p>
        </w:tc>
        <w:tc>
          <w:tcPr>
            <w:tcW w:w="1701" w:type="dxa"/>
          </w:tcPr>
          <w:p>
            <w:pPr>
              <w:pStyle w:val="0"/>
            </w:pPr>
            <w:r>
              <w:rPr>
                <w:sz w:val="20"/>
              </w:rPr>
              <w:t xml:space="preserve">5029,40</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25922,41</w:t>
            </w:r>
          </w:p>
        </w:tc>
        <w:tc>
          <w:tcPr>
            <w:tcW w:w="1474" w:type="dxa"/>
          </w:tcPr>
          <w:p>
            <w:pPr>
              <w:pStyle w:val="0"/>
            </w:pPr>
            <w:r>
              <w:rPr>
                <w:sz w:val="20"/>
              </w:rPr>
              <w:t xml:space="preserve">-</w:t>
            </w:r>
          </w:p>
        </w:tc>
        <w:tc>
          <w:tcPr>
            <w:tcW w:w="1644" w:type="dxa"/>
          </w:tcPr>
          <w:p>
            <w:pPr>
              <w:pStyle w:val="0"/>
            </w:pPr>
            <w:r>
              <w:rPr>
                <w:sz w:val="20"/>
              </w:rPr>
              <w:t xml:space="preserve">20893,01</w:t>
            </w:r>
          </w:p>
        </w:tc>
        <w:tc>
          <w:tcPr>
            <w:tcW w:w="1701" w:type="dxa"/>
          </w:tcPr>
          <w:p>
            <w:pPr>
              <w:pStyle w:val="0"/>
            </w:pPr>
            <w:r>
              <w:rPr>
                <w:sz w:val="20"/>
              </w:rPr>
              <w:t xml:space="preserve">5029,40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25922,41</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25922,41</w:t>
            </w:r>
          </w:p>
        </w:tc>
        <w:tc>
          <w:tcPr>
            <w:tcW w:w="1474" w:type="dxa"/>
          </w:tcPr>
          <w:p>
            <w:pPr>
              <w:pStyle w:val="0"/>
            </w:pPr>
            <w:r>
              <w:rPr>
                <w:sz w:val="20"/>
              </w:rPr>
              <w:t xml:space="preserve">-</w:t>
            </w:r>
          </w:p>
        </w:tc>
        <w:tc>
          <w:tcPr>
            <w:tcW w:w="1644" w:type="dxa"/>
          </w:tcPr>
          <w:p>
            <w:pPr>
              <w:pStyle w:val="0"/>
            </w:pPr>
            <w:r>
              <w:rPr>
                <w:sz w:val="20"/>
              </w:rPr>
              <w:t xml:space="preserve">20893,01</w:t>
            </w:r>
          </w:p>
        </w:tc>
        <w:tc>
          <w:tcPr>
            <w:tcW w:w="1701" w:type="dxa"/>
          </w:tcPr>
          <w:p>
            <w:pPr>
              <w:pStyle w:val="0"/>
            </w:pPr>
            <w:r>
              <w:rPr>
                <w:sz w:val="20"/>
              </w:rPr>
              <w:t xml:space="preserve">5029,40</w:t>
            </w:r>
          </w:p>
        </w:tc>
        <w:tc>
          <w:tcPr>
            <w:vMerge w:val="continue"/>
          </w:tcPr>
          <w:p/>
        </w:tc>
        <w:tc>
          <w:tcPr>
            <w:tcW w:w="175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25922,41</w:t>
            </w:r>
          </w:p>
        </w:tc>
        <w:tc>
          <w:tcPr>
            <w:tcW w:w="1474" w:type="dxa"/>
          </w:tcPr>
          <w:p>
            <w:pPr>
              <w:pStyle w:val="0"/>
            </w:pPr>
            <w:r>
              <w:rPr>
                <w:sz w:val="20"/>
              </w:rPr>
            </w:r>
          </w:p>
        </w:tc>
        <w:tc>
          <w:tcPr>
            <w:tcW w:w="1644" w:type="dxa"/>
          </w:tcPr>
          <w:p>
            <w:pPr>
              <w:pStyle w:val="0"/>
            </w:pPr>
            <w:r>
              <w:rPr>
                <w:sz w:val="20"/>
              </w:rPr>
              <w:t xml:space="preserve">20893,01</w:t>
            </w:r>
          </w:p>
        </w:tc>
        <w:tc>
          <w:tcPr>
            <w:tcW w:w="1701" w:type="dxa"/>
          </w:tcPr>
          <w:p>
            <w:pPr>
              <w:pStyle w:val="0"/>
            </w:pPr>
            <w:r>
              <w:rPr>
                <w:sz w:val="20"/>
              </w:rPr>
              <w:t xml:space="preserve">5029,40</w:t>
            </w:r>
          </w:p>
        </w:tc>
        <w:tc>
          <w:tcPr>
            <w:vMerge w:val="continue"/>
          </w:tcPr>
          <w:p/>
        </w:tc>
        <w:tc>
          <w:tcPr>
            <w:tcW w:w="1757" w:type="dxa"/>
          </w:tcPr>
          <w:p>
            <w:pPr>
              <w:pStyle w:val="0"/>
            </w:pPr>
            <w:r>
              <w:rPr>
                <w:sz w:val="20"/>
              </w:rPr>
            </w:r>
          </w:p>
        </w:tc>
      </w:tr>
      <w:tr>
        <w:tc>
          <w:tcPr>
            <w:tcW w:w="794" w:type="dxa"/>
            <w:vMerge w:val="restart"/>
          </w:tcPr>
          <w:p>
            <w:pPr>
              <w:pStyle w:val="0"/>
            </w:pPr>
            <w:r>
              <w:rPr>
                <w:sz w:val="20"/>
              </w:rPr>
              <w:t xml:space="preserve">1.7</w:t>
            </w:r>
          </w:p>
        </w:tc>
        <w:tc>
          <w:tcPr>
            <w:tcW w:w="2438" w:type="dxa"/>
            <w:vMerge w:val="restart"/>
          </w:tcPr>
          <w:p>
            <w:pPr>
              <w:pStyle w:val="0"/>
            </w:pPr>
            <w:r>
              <w:rPr>
                <w:sz w:val="20"/>
              </w:rPr>
              <w:t xml:space="preserve">Дороги и проезды индустриального парка "Жуковский"</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1007554,72</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1007554,72</w:t>
            </w:r>
          </w:p>
        </w:tc>
        <w:tc>
          <w:tcPr>
            <w:tcW w:w="1474" w:type="dxa"/>
          </w:tcPr>
          <w:p>
            <w:pPr>
              <w:pStyle w:val="0"/>
            </w:pPr>
            <w:r>
              <w:rPr>
                <w:sz w:val="20"/>
              </w:rPr>
              <w:t xml:space="preserve">501774,00</w:t>
            </w:r>
          </w:p>
        </w:tc>
        <w:tc>
          <w:tcPr>
            <w:tcW w:w="1644" w:type="dxa"/>
          </w:tcPr>
          <w:p>
            <w:pPr>
              <w:pStyle w:val="0"/>
            </w:pPr>
            <w:r>
              <w:rPr>
                <w:sz w:val="20"/>
              </w:rPr>
              <w:t xml:space="preserve">343824,89</w:t>
            </w:r>
          </w:p>
        </w:tc>
        <w:tc>
          <w:tcPr>
            <w:tcW w:w="1701" w:type="dxa"/>
          </w:tcPr>
          <w:p>
            <w:pPr>
              <w:pStyle w:val="0"/>
            </w:pPr>
            <w:r>
              <w:rPr>
                <w:sz w:val="20"/>
              </w:rPr>
              <w:t xml:space="preserve">161955,83</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1007554,72</w:t>
            </w:r>
          </w:p>
        </w:tc>
        <w:tc>
          <w:tcPr>
            <w:tcW w:w="1474" w:type="dxa"/>
          </w:tcPr>
          <w:p>
            <w:pPr>
              <w:pStyle w:val="0"/>
            </w:pPr>
            <w:r>
              <w:rPr>
                <w:sz w:val="20"/>
              </w:rPr>
              <w:t xml:space="preserve">501774,00</w:t>
            </w:r>
          </w:p>
        </w:tc>
        <w:tc>
          <w:tcPr>
            <w:tcW w:w="1644" w:type="dxa"/>
          </w:tcPr>
          <w:p>
            <w:pPr>
              <w:pStyle w:val="0"/>
            </w:pPr>
            <w:r>
              <w:rPr>
                <w:sz w:val="20"/>
              </w:rPr>
              <w:t xml:space="preserve">343824,89</w:t>
            </w:r>
          </w:p>
        </w:tc>
        <w:tc>
          <w:tcPr>
            <w:tcW w:w="1701" w:type="dxa"/>
          </w:tcPr>
          <w:p>
            <w:pPr>
              <w:pStyle w:val="0"/>
            </w:pPr>
            <w:r>
              <w:rPr>
                <w:sz w:val="20"/>
              </w:rPr>
              <w:t xml:space="preserve">161955,83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1007554,72</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1007554,72</w:t>
            </w:r>
          </w:p>
        </w:tc>
        <w:tc>
          <w:tcPr>
            <w:tcW w:w="1474" w:type="dxa"/>
          </w:tcPr>
          <w:p>
            <w:pPr>
              <w:pStyle w:val="0"/>
            </w:pPr>
            <w:r>
              <w:rPr>
                <w:sz w:val="20"/>
              </w:rPr>
              <w:t xml:space="preserve">501774,00</w:t>
            </w:r>
          </w:p>
        </w:tc>
        <w:tc>
          <w:tcPr>
            <w:tcW w:w="1644" w:type="dxa"/>
          </w:tcPr>
          <w:p>
            <w:pPr>
              <w:pStyle w:val="0"/>
            </w:pPr>
            <w:r>
              <w:rPr>
                <w:sz w:val="20"/>
              </w:rPr>
              <w:t xml:space="preserve">343824,89</w:t>
            </w:r>
          </w:p>
        </w:tc>
        <w:tc>
          <w:tcPr>
            <w:tcW w:w="1701" w:type="dxa"/>
          </w:tcPr>
          <w:p>
            <w:pPr>
              <w:pStyle w:val="0"/>
            </w:pPr>
            <w:r>
              <w:rPr>
                <w:sz w:val="20"/>
              </w:rPr>
              <w:t xml:space="preserve">161955,83</w:t>
            </w:r>
          </w:p>
        </w:tc>
        <w:tc>
          <w:tcPr>
            <w:vMerge w:val="continue"/>
          </w:tcPr>
          <w:p/>
        </w:tc>
        <w:tc>
          <w:tcPr>
            <w:tcW w:w="175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1007554,72</w:t>
            </w:r>
          </w:p>
        </w:tc>
        <w:tc>
          <w:tcPr>
            <w:tcW w:w="1474" w:type="dxa"/>
          </w:tcPr>
          <w:p>
            <w:pPr>
              <w:pStyle w:val="0"/>
            </w:pPr>
            <w:r>
              <w:rPr>
                <w:sz w:val="20"/>
              </w:rPr>
              <w:t xml:space="preserve">501774,00</w:t>
            </w:r>
          </w:p>
        </w:tc>
        <w:tc>
          <w:tcPr>
            <w:tcW w:w="1644" w:type="dxa"/>
          </w:tcPr>
          <w:p>
            <w:pPr>
              <w:pStyle w:val="0"/>
            </w:pPr>
            <w:r>
              <w:rPr>
                <w:sz w:val="20"/>
              </w:rPr>
              <w:t xml:space="preserve">343824,89</w:t>
            </w:r>
          </w:p>
        </w:tc>
        <w:tc>
          <w:tcPr>
            <w:tcW w:w="1701" w:type="dxa"/>
          </w:tcPr>
          <w:p>
            <w:pPr>
              <w:pStyle w:val="0"/>
            </w:pPr>
            <w:r>
              <w:rPr>
                <w:sz w:val="20"/>
              </w:rPr>
              <w:t xml:space="preserve">161955,83</w:t>
            </w:r>
          </w:p>
        </w:tc>
        <w:tc>
          <w:tcPr>
            <w:vMerge w:val="continue"/>
          </w:tcPr>
          <w:p/>
        </w:tc>
        <w:tc>
          <w:tcPr>
            <w:tcW w:w="1757" w:type="dxa"/>
          </w:tcPr>
          <w:p>
            <w:pPr>
              <w:pStyle w:val="0"/>
            </w:pPr>
            <w:r>
              <w:rPr>
                <w:sz w:val="20"/>
              </w:rPr>
            </w:r>
          </w:p>
        </w:tc>
      </w:tr>
      <w:tr>
        <w:tc>
          <w:tcPr>
            <w:tcW w:w="794" w:type="dxa"/>
            <w:vMerge w:val="restart"/>
          </w:tcPr>
          <w:p>
            <w:pPr>
              <w:pStyle w:val="0"/>
            </w:pPr>
            <w:r>
              <w:rPr>
                <w:sz w:val="20"/>
              </w:rPr>
              <w:t xml:space="preserve">1.8</w:t>
            </w:r>
          </w:p>
        </w:tc>
        <w:tc>
          <w:tcPr>
            <w:tcW w:w="2438" w:type="dxa"/>
            <w:vMerge w:val="restart"/>
          </w:tcPr>
          <w:p>
            <w:pPr>
              <w:pStyle w:val="0"/>
            </w:pPr>
            <w:r>
              <w:rPr>
                <w:sz w:val="20"/>
              </w:rPr>
              <w:t xml:space="preserve">Осуществление технологического присоединения к электрическим сетям со строительством распределительных подстанций индустриального парка "Есипово"</w:t>
            </w:r>
          </w:p>
        </w:tc>
        <w:tc>
          <w:tcPr>
            <w:tcW w:w="2438" w:type="dxa"/>
            <w:vMerge w:val="restart"/>
          </w:tcPr>
          <w:p>
            <w:pPr>
              <w:pStyle w:val="0"/>
            </w:pPr>
            <w:r>
              <w:rPr>
                <w:sz w:val="20"/>
              </w:rPr>
              <w:t xml:space="preserve">01.12.2023-15.12.2025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92640,00</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92640,00</w:t>
            </w:r>
          </w:p>
        </w:tc>
        <w:tc>
          <w:tcPr>
            <w:tcW w:w="1474" w:type="dxa"/>
          </w:tcPr>
          <w:p>
            <w:pPr>
              <w:pStyle w:val="0"/>
            </w:pPr>
            <w:r>
              <w:rPr>
                <w:sz w:val="20"/>
              </w:rPr>
              <w:t xml:space="preserve">92640,00</w:t>
            </w:r>
          </w:p>
        </w:tc>
        <w:tc>
          <w:tcPr>
            <w:tcW w:w="1644" w:type="dxa"/>
          </w:tcPr>
          <w:p>
            <w:pPr>
              <w:pStyle w:val="0"/>
            </w:pPr>
            <w:r>
              <w:rPr>
                <w:sz w:val="20"/>
              </w:rPr>
              <w:t xml:space="preserve">-</w:t>
            </w:r>
          </w:p>
        </w:tc>
        <w:tc>
          <w:tcPr>
            <w:tcW w:w="1701"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92640,00</w:t>
            </w:r>
          </w:p>
        </w:tc>
        <w:tc>
          <w:tcPr>
            <w:tcW w:w="1474" w:type="dxa"/>
          </w:tcPr>
          <w:p>
            <w:pPr>
              <w:pStyle w:val="0"/>
            </w:pPr>
            <w:r>
              <w:rPr>
                <w:sz w:val="20"/>
              </w:rPr>
              <w:t xml:space="preserve">92640,00</w:t>
            </w:r>
          </w:p>
        </w:tc>
        <w:tc>
          <w:tcPr>
            <w:tcW w:w="1644" w:type="dxa"/>
          </w:tcPr>
          <w:p>
            <w:pPr>
              <w:pStyle w:val="0"/>
            </w:pPr>
            <w:r>
              <w:rPr>
                <w:sz w:val="20"/>
              </w:rPr>
              <w:t xml:space="preserve">-</w:t>
            </w:r>
          </w:p>
        </w:tc>
        <w:tc>
          <w:tcPr>
            <w:tcW w:w="1701"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технологическое присоединение к сетям</w:t>
            </w:r>
          </w:p>
        </w:tc>
        <w:tc>
          <w:tcPr>
            <w:vMerge w:val="continue"/>
          </w:tcPr>
          <w:p/>
        </w:tc>
        <w:tc>
          <w:tcPr>
            <w:tcW w:w="1984" w:type="dxa"/>
            <w:vMerge w:val="restart"/>
          </w:tcPr>
          <w:p>
            <w:pPr>
              <w:pStyle w:val="0"/>
            </w:pPr>
            <w:r>
              <w:rPr>
                <w:sz w:val="20"/>
              </w:rPr>
              <w:t xml:space="preserve">92640,00</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92640,00</w:t>
            </w:r>
          </w:p>
        </w:tc>
        <w:tc>
          <w:tcPr>
            <w:tcW w:w="1474" w:type="dxa"/>
          </w:tcPr>
          <w:p>
            <w:pPr>
              <w:pStyle w:val="0"/>
            </w:pPr>
            <w:r>
              <w:rPr>
                <w:sz w:val="20"/>
              </w:rPr>
              <w:t xml:space="preserve">92640,00</w:t>
            </w:r>
          </w:p>
        </w:tc>
        <w:tc>
          <w:tcPr>
            <w:tcW w:w="1644" w:type="dxa"/>
          </w:tcPr>
          <w:p>
            <w:pPr>
              <w:pStyle w:val="0"/>
            </w:pPr>
            <w:r>
              <w:rPr>
                <w:sz w:val="20"/>
              </w:rPr>
              <w:t xml:space="preserve">-</w:t>
            </w:r>
          </w:p>
        </w:tc>
        <w:tc>
          <w:tcPr>
            <w:tcW w:w="1701" w:type="dxa"/>
          </w:tcPr>
          <w:p>
            <w:pPr>
              <w:pStyle w:val="0"/>
            </w:pPr>
            <w:r>
              <w:rPr>
                <w:sz w:val="20"/>
              </w:rPr>
              <w:t xml:space="preserve">-</w:t>
            </w:r>
          </w:p>
        </w:tc>
        <w:tc>
          <w:tcPr>
            <w:vMerge w:val="continue"/>
          </w:tcPr>
          <w:p/>
        </w:tc>
        <w:tc>
          <w:tcPr>
            <w:tcW w:w="1757"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92640,00</w:t>
            </w:r>
          </w:p>
        </w:tc>
        <w:tc>
          <w:tcPr>
            <w:tcW w:w="1474" w:type="dxa"/>
          </w:tcPr>
          <w:p>
            <w:pPr>
              <w:pStyle w:val="0"/>
            </w:pPr>
            <w:r>
              <w:rPr>
                <w:sz w:val="20"/>
              </w:rPr>
              <w:t xml:space="preserve">92640,00</w:t>
            </w:r>
          </w:p>
        </w:tc>
        <w:tc>
          <w:tcPr>
            <w:tcW w:w="1644" w:type="dxa"/>
          </w:tcPr>
          <w:p>
            <w:pPr>
              <w:pStyle w:val="0"/>
            </w:pPr>
            <w:r>
              <w:rPr>
                <w:sz w:val="20"/>
              </w:rPr>
              <w:t xml:space="preserve">-</w:t>
            </w:r>
          </w:p>
        </w:tc>
        <w:tc>
          <w:tcPr>
            <w:tcW w:w="1701" w:type="dxa"/>
          </w:tcPr>
          <w:p>
            <w:pPr>
              <w:pStyle w:val="0"/>
            </w:pPr>
            <w:r>
              <w:rPr>
                <w:sz w:val="20"/>
              </w:rPr>
              <w:t xml:space="preserve">-</w:t>
            </w:r>
          </w:p>
        </w:tc>
        <w:tc>
          <w:tcPr>
            <w:vMerge w:val="continue"/>
          </w:tcPr>
          <w:p/>
        </w:tc>
        <w:tc>
          <w:tcPr>
            <w:tcW w:w="1757" w:type="dxa"/>
          </w:tcPr>
          <w:p>
            <w:pPr>
              <w:pStyle w:val="0"/>
            </w:pPr>
            <w:r>
              <w:rPr>
                <w:sz w:val="20"/>
              </w:rPr>
            </w:r>
          </w:p>
        </w:tc>
      </w:tr>
      <w:tr>
        <w:tc>
          <w:tcPr>
            <w:tcW w:w="794" w:type="dxa"/>
            <w:vMerge w:val="restart"/>
          </w:tcPr>
          <w:p>
            <w:pPr>
              <w:pStyle w:val="0"/>
            </w:pPr>
            <w:r>
              <w:rPr>
                <w:sz w:val="20"/>
              </w:rPr>
              <w:t xml:space="preserve">1.9</w:t>
            </w:r>
          </w:p>
        </w:tc>
        <w:tc>
          <w:tcPr>
            <w:tcW w:w="2438" w:type="dxa"/>
            <w:vMerge w:val="restart"/>
          </w:tcPr>
          <w:p>
            <w:pPr>
              <w:pStyle w:val="0"/>
            </w:pPr>
            <w:r>
              <w:rPr>
                <w:sz w:val="20"/>
              </w:rPr>
              <w:t xml:space="preserve">Строительство 3-й очереди инженерно-транспортной инфраструктуры индустриального парка "Есипово"</w:t>
            </w:r>
          </w:p>
        </w:tc>
        <w:tc>
          <w:tcPr>
            <w:tcW w:w="2438" w:type="dxa"/>
            <w:vMerge w:val="restart"/>
          </w:tcPr>
          <w:p>
            <w:pPr>
              <w:pStyle w:val="0"/>
            </w:pPr>
            <w:r>
              <w:rPr>
                <w:sz w:val="20"/>
              </w:rPr>
              <w:t xml:space="preserve">01.01.2024-15.12.2025</w:t>
            </w:r>
          </w:p>
        </w:tc>
        <w:tc>
          <w:tcPr>
            <w:tcW w:w="1644" w:type="dxa"/>
            <w:vMerge w:val="restart"/>
          </w:tcPr>
          <w:p>
            <w:pPr>
              <w:pStyle w:val="0"/>
            </w:pPr>
            <w:r>
              <w:rPr>
                <w:sz w:val="20"/>
              </w:rPr>
              <w:t xml:space="preserve">15.12.2025</w:t>
            </w:r>
          </w:p>
        </w:tc>
        <w:tc>
          <w:tcPr>
            <w:tcW w:w="1814" w:type="dxa"/>
            <w:vMerge w:val="restart"/>
          </w:tcPr>
          <w:p>
            <w:pPr>
              <w:pStyle w:val="0"/>
            </w:pPr>
            <w:r>
              <w:rPr>
                <w:sz w:val="20"/>
              </w:rPr>
              <w:t xml:space="preserve">Строительство</w:t>
            </w:r>
          </w:p>
        </w:tc>
        <w:tc>
          <w:tcPr>
            <w:tcW w:w="1531" w:type="dxa"/>
            <w:vMerge w:val="restart"/>
          </w:tcPr>
          <w:p>
            <w:pPr>
              <w:pStyle w:val="0"/>
            </w:pPr>
            <w:hyperlink w:history="0" w:anchor="P859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984" w:type="dxa"/>
            <w:vMerge w:val="restart"/>
          </w:tcPr>
          <w:p>
            <w:pPr>
              <w:pStyle w:val="0"/>
            </w:pPr>
            <w:r>
              <w:rPr>
                <w:sz w:val="20"/>
              </w:rPr>
              <w:t xml:space="preserve">1038704,13</w:t>
            </w:r>
          </w:p>
        </w:tc>
        <w:tc>
          <w:tcPr>
            <w:tcW w:w="1587" w:type="dxa"/>
          </w:tcPr>
          <w:p>
            <w:pPr>
              <w:pStyle w:val="0"/>
            </w:pPr>
            <w:r>
              <w:rPr>
                <w:sz w:val="20"/>
              </w:rPr>
              <w:t xml:space="preserve">-</w:t>
            </w:r>
          </w:p>
        </w:tc>
        <w:tc>
          <w:tcPr>
            <w:tcW w:w="1871" w:type="dxa"/>
          </w:tcPr>
          <w:p>
            <w:pPr>
              <w:pStyle w:val="0"/>
            </w:pPr>
            <w:r>
              <w:rPr>
                <w:sz w:val="20"/>
              </w:rPr>
              <w:t xml:space="preserve">Итого по объекту:</w:t>
            </w:r>
          </w:p>
        </w:tc>
        <w:tc>
          <w:tcPr>
            <w:tcW w:w="1701" w:type="dxa"/>
          </w:tcPr>
          <w:p>
            <w:pPr>
              <w:pStyle w:val="0"/>
            </w:pPr>
            <w:r>
              <w:rPr>
                <w:sz w:val="20"/>
              </w:rPr>
              <w:t xml:space="preserve">1038704,13</w:t>
            </w:r>
          </w:p>
        </w:tc>
        <w:tc>
          <w:tcPr>
            <w:tcW w:w="1474" w:type="dxa"/>
          </w:tcPr>
          <w:p>
            <w:pPr>
              <w:pStyle w:val="0"/>
            </w:pPr>
            <w:r>
              <w:rPr>
                <w:sz w:val="20"/>
              </w:rPr>
              <w:t xml:space="preserve">-</w:t>
            </w:r>
          </w:p>
        </w:tc>
        <w:tc>
          <w:tcPr>
            <w:tcW w:w="1644" w:type="dxa"/>
          </w:tcPr>
          <w:p>
            <w:pPr>
              <w:pStyle w:val="0"/>
            </w:pPr>
            <w:r>
              <w:rPr>
                <w:sz w:val="20"/>
              </w:rPr>
              <w:t xml:space="preserve">598841,13</w:t>
            </w:r>
          </w:p>
        </w:tc>
        <w:tc>
          <w:tcPr>
            <w:tcW w:w="1701" w:type="dxa"/>
          </w:tcPr>
          <w:p>
            <w:pPr>
              <w:pStyle w:val="0"/>
            </w:pPr>
            <w:r>
              <w:rPr>
                <w:sz w:val="20"/>
              </w:rPr>
              <w:t xml:space="preserve">439863,00</w:t>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w:t>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1038704,13</w:t>
            </w:r>
          </w:p>
        </w:tc>
        <w:tc>
          <w:tcPr>
            <w:tcW w:w="1474" w:type="dxa"/>
          </w:tcPr>
          <w:p>
            <w:pPr>
              <w:pStyle w:val="0"/>
            </w:pPr>
            <w:r>
              <w:rPr>
                <w:sz w:val="20"/>
              </w:rPr>
              <w:t xml:space="preserve">-</w:t>
            </w:r>
          </w:p>
        </w:tc>
        <w:tc>
          <w:tcPr>
            <w:tcW w:w="1644" w:type="dxa"/>
          </w:tcPr>
          <w:p>
            <w:pPr>
              <w:pStyle w:val="0"/>
            </w:pPr>
            <w:r>
              <w:rPr>
                <w:sz w:val="20"/>
              </w:rPr>
              <w:t xml:space="preserve">598841,13</w:t>
            </w:r>
          </w:p>
        </w:tc>
        <w:tc>
          <w:tcPr>
            <w:tcW w:w="1701" w:type="dxa"/>
          </w:tcPr>
          <w:p>
            <w:pPr>
              <w:pStyle w:val="0"/>
            </w:pPr>
            <w:r>
              <w:rPr>
                <w:sz w:val="20"/>
              </w:rPr>
              <w:t xml:space="preserve">439863,00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758166,72</w:t>
            </w:r>
          </w:p>
        </w:tc>
        <w:tc>
          <w:tcPr>
            <w:tcW w:w="1587" w:type="dxa"/>
          </w:tcPr>
          <w:p>
            <w:pPr>
              <w:pStyle w:val="0"/>
            </w:pPr>
            <w:r>
              <w:rPr>
                <w:sz w:val="20"/>
              </w:rPr>
              <w:t xml:space="preserve">-</w:t>
            </w:r>
          </w:p>
        </w:tc>
        <w:tc>
          <w:tcPr>
            <w:tcW w:w="1871" w:type="dxa"/>
          </w:tcPr>
          <w:p>
            <w:pPr>
              <w:pStyle w:val="0"/>
            </w:pPr>
            <w:r>
              <w:rPr>
                <w:sz w:val="20"/>
              </w:rPr>
              <w:t xml:space="preserve">Итого:</w:t>
            </w:r>
          </w:p>
        </w:tc>
        <w:tc>
          <w:tcPr>
            <w:tcW w:w="1701" w:type="dxa"/>
          </w:tcPr>
          <w:p>
            <w:pPr>
              <w:pStyle w:val="0"/>
            </w:pPr>
            <w:r>
              <w:rPr>
                <w:sz w:val="20"/>
              </w:rPr>
              <w:t xml:space="preserve">758166,72</w:t>
            </w:r>
          </w:p>
        </w:tc>
        <w:tc>
          <w:tcPr>
            <w:tcW w:w="1474" w:type="dxa"/>
          </w:tcPr>
          <w:p>
            <w:pPr>
              <w:pStyle w:val="0"/>
            </w:pPr>
            <w:r>
              <w:rPr>
                <w:sz w:val="20"/>
              </w:rPr>
              <w:t xml:space="preserve">-</w:t>
            </w:r>
          </w:p>
        </w:tc>
        <w:tc>
          <w:tcPr>
            <w:tcW w:w="1644" w:type="dxa"/>
          </w:tcPr>
          <w:p>
            <w:pPr>
              <w:pStyle w:val="0"/>
            </w:pPr>
            <w:r>
              <w:rPr>
                <w:sz w:val="20"/>
              </w:rPr>
              <w:t xml:space="preserve">318303,72</w:t>
            </w:r>
          </w:p>
        </w:tc>
        <w:tc>
          <w:tcPr>
            <w:tcW w:w="1701" w:type="dxa"/>
          </w:tcPr>
          <w:p>
            <w:pPr>
              <w:pStyle w:val="0"/>
            </w:pPr>
            <w:r>
              <w:rPr>
                <w:sz w:val="20"/>
              </w:rPr>
              <w:t xml:space="preserve">439863,00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758166,72</w:t>
            </w:r>
          </w:p>
        </w:tc>
        <w:tc>
          <w:tcPr>
            <w:tcW w:w="1474" w:type="dxa"/>
          </w:tcPr>
          <w:p>
            <w:pPr>
              <w:pStyle w:val="0"/>
            </w:pPr>
            <w:r>
              <w:rPr>
                <w:sz w:val="20"/>
              </w:rPr>
              <w:t xml:space="preserve">-</w:t>
            </w:r>
          </w:p>
        </w:tc>
        <w:tc>
          <w:tcPr>
            <w:tcW w:w="1644" w:type="dxa"/>
          </w:tcPr>
          <w:p>
            <w:pPr>
              <w:pStyle w:val="0"/>
            </w:pPr>
            <w:r>
              <w:rPr>
                <w:sz w:val="20"/>
              </w:rPr>
              <w:t xml:space="preserve">318303,72</w:t>
            </w:r>
          </w:p>
        </w:tc>
        <w:tc>
          <w:tcPr>
            <w:tcW w:w="1701" w:type="dxa"/>
          </w:tcPr>
          <w:p>
            <w:pPr>
              <w:pStyle w:val="0"/>
            </w:pPr>
            <w:r>
              <w:rPr>
                <w:sz w:val="20"/>
              </w:rPr>
              <w:t xml:space="preserve">439863,00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проектные и изыскательские работы</w:t>
            </w:r>
          </w:p>
        </w:tc>
        <w:tc>
          <w:tcPr>
            <w:vMerge w:val="continue"/>
          </w:tcPr>
          <w:p/>
        </w:tc>
        <w:tc>
          <w:tcPr>
            <w:tcW w:w="1984" w:type="dxa"/>
            <w:vMerge w:val="restart"/>
          </w:tcPr>
          <w:p>
            <w:pPr>
              <w:pStyle w:val="0"/>
            </w:pPr>
            <w:r>
              <w:rPr>
                <w:sz w:val="20"/>
              </w:rPr>
              <w:t xml:space="preserve">43346,28</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43346,28</w:t>
            </w:r>
          </w:p>
        </w:tc>
        <w:tc>
          <w:tcPr>
            <w:tcW w:w="1474" w:type="dxa"/>
          </w:tcPr>
          <w:p>
            <w:pPr>
              <w:pStyle w:val="0"/>
            </w:pPr>
            <w:r>
              <w:rPr>
                <w:sz w:val="20"/>
              </w:rPr>
              <w:t xml:space="preserve">-</w:t>
            </w:r>
          </w:p>
        </w:tc>
        <w:tc>
          <w:tcPr>
            <w:tcW w:w="1644" w:type="dxa"/>
          </w:tcPr>
          <w:p>
            <w:pPr>
              <w:pStyle w:val="0"/>
            </w:pPr>
            <w:r>
              <w:rPr>
                <w:sz w:val="20"/>
              </w:rPr>
              <w:t xml:space="preserve">43346,28</w:t>
            </w:r>
          </w:p>
        </w:tc>
        <w:tc>
          <w:tcPr>
            <w:tcW w:w="1701"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43346,28</w:t>
            </w:r>
          </w:p>
        </w:tc>
        <w:tc>
          <w:tcPr>
            <w:tcW w:w="1474" w:type="dxa"/>
          </w:tcPr>
          <w:p>
            <w:pPr>
              <w:pStyle w:val="0"/>
            </w:pPr>
            <w:r>
              <w:rPr>
                <w:sz w:val="20"/>
              </w:rPr>
              <w:t xml:space="preserve">-</w:t>
            </w:r>
          </w:p>
        </w:tc>
        <w:tc>
          <w:tcPr>
            <w:tcW w:w="1644" w:type="dxa"/>
          </w:tcPr>
          <w:p>
            <w:pPr>
              <w:pStyle w:val="0"/>
            </w:pPr>
            <w:r>
              <w:rPr>
                <w:sz w:val="20"/>
              </w:rPr>
              <w:t xml:space="preserve">43346,28</w:t>
            </w:r>
          </w:p>
        </w:tc>
        <w:tc>
          <w:tcPr>
            <w:tcW w:w="1701"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технологическое присоединение к сетям</w:t>
            </w:r>
          </w:p>
        </w:tc>
        <w:tc>
          <w:tcPr>
            <w:vMerge w:val="continue"/>
          </w:tcPr>
          <w:p/>
        </w:tc>
        <w:tc>
          <w:tcPr>
            <w:tcW w:w="1984" w:type="dxa"/>
            <w:vMerge w:val="restart"/>
          </w:tcPr>
          <w:p>
            <w:pPr>
              <w:pStyle w:val="0"/>
            </w:pPr>
            <w:r>
              <w:rPr>
                <w:sz w:val="20"/>
              </w:rPr>
              <w:t xml:space="preserve">237191,13</w:t>
            </w:r>
          </w:p>
        </w:tc>
        <w:tc>
          <w:tcPr>
            <w:tcW w:w="1587" w:type="dxa"/>
          </w:tcPr>
          <w:p>
            <w:pPr>
              <w:pStyle w:val="0"/>
            </w:pPr>
            <w:r>
              <w:rPr>
                <w:sz w:val="20"/>
              </w:rPr>
              <w:t xml:space="preserve">-</w:t>
            </w:r>
          </w:p>
        </w:tc>
        <w:tc>
          <w:tcPr>
            <w:tcW w:w="1871" w:type="dxa"/>
          </w:tcPr>
          <w:p>
            <w:pPr>
              <w:pStyle w:val="0"/>
            </w:pPr>
            <w:r>
              <w:rPr>
                <w:sz w:val="20"/>
              </w:rPr>
              <w:t xml:space="preserve">Итого:</w:t>
            </w:r>
          </w:p>
        </w:tc>
        <w:tc>
          <w:tcPr>
            <w:tcW w:w="1701" w:type="dxa"/>
          </w:tcPr>
          <w:p>
            <w:pPr>
              <w:pStyle w:val="0"/>
            </w:pPr>
            <w:r>
              <w:rPr>
                <w:sz w:val="20"/>
              </w:rPr>
              <w:t xml:space="preserve">237191,13</w:t>
            </w:r>
          </w:p>
        </w:tc>
        <w:tc>
          <w:tcPr>
            <w:tcW w:w="1474" w:type="dxa"/>
          </w:tcPr>
          <w:p>
            <w:pPr>
              <w:pStyle w:val="0"/>
            </w:pPr>
            <w:r>
              <w:rPr>
                <w:sz w:val="20"/>
              </w:rPr>
              <w:t xml:space="preserve">-</w:t>
            </w:r>
          </w:p>
        </w:tc>
        <w:tc>
          <w:tcPr>
            <w:tcW w:w="1644" w:type="dxa"/>
          </w:tcPr>
          <w:p>
            <w:pPr>
              <w:pStyle w:val="0"/>
            </w:pPr>
            <w:r>
              <w:rPr>
                <w:sz w:val="20"/>
              </w:rPr>
              <w:t xml:space="preserve">237191,13</w:t>
            </w:r>
          </w:p>
        </w:tc>
        <w:tc>
          <w:tcPr>
            <w:tcW w:w="1701"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237191,13</w:t>
            </w:r>
          </w:p>
        </w:tc>
        <w:tc>
          <w:tcPr>
            <w:tcW w:w="1474" w:type="dxa"/>
          </w:tcPr>
          <w:p>
            <w:pPr>
              <w:pStyle w:val="0"/>
            </w:pPr>
            <w:r>
              <w:rPr>
                <w:sz w:val="20"/>
              </w:rPr>
              <w:t xml:space="preserve">-</w:t>
            </w:r>
          </w:p>
        </w:tc>
        <w:tc>
          <w:tcPr>
            <w:tcW w:w="1644" w:type="dxa"/>
          </w:tcPr>
          <w:p>
            <w:pPr>
              <w:pStyle w:val="0"/>
            </w:pPr>
            <w:r>
              <w:rPr>
                <w:sz w:val="20"/>
              </w:rPr>
              <w:t xml:space="preserve">237191,13</w:t>
            </w:r>
          </w:p>
        </w:tc>
        <w:tc>
          <w:tcPr>
            <w:tcW w:w="1701" w:type="dxa"/>
          </w:tcPr>
          <w:p>
            <w:pPr>
              <w:pStyle w:val="0"/>
            </w:pPr>
            <w:r>
              <w:rPr>
                <w:sz w:val="20"/>
              </w:rPr>
              <w:t xml:space="preserve">-</w:t>
            </w:r>
          </w:p>
        </w:tc>
        <w:tc>
          <w:tcPr>
            <w:vMerge w:val="continue"/>
          </w:tcPr>
          <w:p/>
        </w:tc>
        <w:tc>
          <w:tcPr>
            <w:vMerge w:val="continue"/>
          </w:tcPr>
          <w:p/>
        </w:tc>
      </w:tr>
      <w:tr>
        <w:tc>
          <w:tcPr>
            <w:tcW w:w="794" w:type="dxa"/>
            <w:vMerge w:val="restart"/>
          </w:tcPr>
          <w:p>
            <w:pPr>
              <w:pStyle w:val="0"/>
            </w:pPr>
            <w:r>
              <w:rPr>
                <w:sz w:val="20"/>
              </w:rPr>
              <w:t xml:space="preserve">1.10</w:t>
            </w:r>
          </w:p>
        </w:tc>
        <w:tc>
          <w:tcPr>
            <w:tcW w:w="2438" w:type="dxa"/>
            <w:vMerge w:val="restart"/>
          </w:tcPr>
          <w:p>
            <w:pPr>
              <w:pStyle w:val="0"/>
            </w:pPr>
            <w:r>
              <w:rPr>
                <w:sz w:val="20"/>
              </w:rPr>
              <w:t xml:space="preserve">Инженерная подготовка территории индустриального парка "Есипово". Обустройство существующих водотоков</w:t>
            </w:r>
          </w:p>
        </w:tc>
        <w:tc>
          <w:tcPr>
            <w:tcW w:w="2438" w:type="dxa"/>
            <w:vMerge w:val="restart"/>
          </w:tcPr>
          <w:p>
            <w:pPr>
              <w:pStyle w:val="0"/>
            </w:pPr>
            <w:r>
              <w:rPr>
                <w:sz w:val="20"/>
              </w:rPr>
              <w:t xml:space="preserve">01.08.2024-01.06.2025</w:t>
            </w:r>
          </w:p>
        </w:tc>
        <w:tc>
          <w:tcPr>
            <w:tcW w:w="1644" w:type="dxa"/>
            <w:vMerge w:val="restart"/>
          </w:tcPr>
          <w:p>
            <w:pPr>
              <w:pStyle w:val="0"/>
            </w:pPr>
            <w:r>
              <w:rPr>
                <w:sz w:val="20"/>
              </w:rPr>
              <w:t xml:space="preserve">01.06.2025</w:t>
            </w:r>
          </w:p>
        </w:tc>
        <w:tc>
          <w:tcPr>
            <w:tcW w:w="1814" w:type="dxa"/>
            <w:vMerge w:val="restart"/>
          </w:tcPr>
          <w:p>
            <w:pPr>
              <w:pStyle w:val="0"/>
            </w:pPr>
            <w:r>
              <w:rPr>
                <w:sz w:val="20"/>
              </w:rPr>
              <w:t xml:space="preserve">Строительство</w:t>
            </w:r>
          </w:p>
        </w:tc>
        <w:tc>
          <w:tcPr>
            <w:tcW w:w="1531" w:type="dxa"/>
            <w:vMerge w:val="restart"/>
          </w:tcPr>
          <w:p>
            <w:pPr>
              <w:pStyle w:val="0"/>
            </w:pPr>
            <w:r>
              <w:rPr>
                <w:sz w:val="20"/>
              </w:rPr>
              <w:t xml:space="preserve">Протяженность - 1730,53 м, 16 камер</w:t>
            </w:r>
          </w:p>
        </w:tc>
        <w:tc>
          <w:tcPr>
            <w:tcW w:w="1984" w:type="dxa"/>
            <w:vMerge w:val="restart"/>
          </w:tcPr>
          <w:p>
            <w:pPr>
              <w:pStyle w:val="0"/>
            </w:pPr>
            <w:r>
              <w:rPr>
                <w:sz w:val="20"/>
              </w:rPr>
              <w:t xml:space="preserve">263761,12</w:t>
            </w:r>
          </w:p>
        </w:tc>
        <w:tc>
          <w:tcPr>
            <w:tcW w:w="1587" w:type="dxa"/>
          </w:tcPr>
          <w:p>
            <w:pPr>
              <w:pStyle w:val="0"/>
            </w:pPr>
            <w:r>
              <w:rPr>
                <w:sz w:val="20"/>
              </w:rPr>
              <w:t xml:space="preserve">6126,20</w:t>
            </w:r>
          </w:p>
        </w:tc>
        <w:tc>
          <w:tcPr>
            <w:tcW w:w="1871" w:type="dxa"/>
          </w:tcPr>
          <w:p>
            <w:pPr>
              <w:pStyle w:val="0"/>
            </w:pPr>
            <w:r>
              <w:rPr>
                <w:sz w:val="20"/>
              </w:rPr>
              <w:t xml:space="preserve">Итого по объекту:</w:t>
            </w:r>
          </w:p>
        </w:tc>
        <w:tc>
          <w:tcPr>
            <w:tcW w:w="1701" w:type="dxa"/>
          </w:tcPr>
          <w:p>
            <w:pPr>
              <w:pStyle w:val="0"/>
            </w:pPr>
            <w:r>
              <w:rPr>
                <w:sz w:val="20"/>
              </w:rPr>
              <w:t xml:space="preserve">279125,44</w:t>
            </w:r>
          </w:p>
        </w:tc>
        <w:tc>
          <w:tcPr>
            <w:tcW w:w="1474" w:type="dxa"/>
          </w:tcPr>
          <w:p>
            <w:pPr>
              <w:pStyle w:val="0"/>
            </w:pPr>
            <w:r>
              <w:rPr>
                <w:sz w:val="20"/>
              </w:rPr>
              <w:t xml:space="preserve">-</w:t>
            </w:r>
          </w:p>
        </w:tc>
        <w:tc>
          <w:tcPr>
            <w:tcW w:w="1644" w:type="dxa"/>
          </w:tcPr>
          <w:p>
            <w:pPr>
              <w:pStyle w:val="0"/>
            </w:pPr>
            <w:r>
              <w:rPr>
                <w:sz w:val="20"/>
              </w:rPr>
              <w:t xml:space="preserve">279125,44</w:t>
            </w:r>
          </w:p>
        </w:tc>
        <w:tc>
          <w:tcPr>
            <w:tcW w:w="1701" w:type="dxa"/>
          </w:tcPr>
          <w:p>
            <w:pPr>
              <w:pStyle w:val="0"/>
            </w:pPr>
            <w:r>
              <w:rPr>
                <w:sz w:val="20"/>
              </w:rPr>
            </w:r>
          </w:p>
        </w:tc>
        <w:tc>
          <w:tcPr>
            <w:tcW w:w="1701" w:type="dxa"/>
            <w:vMerge w:val="restart"/>
          </w:tcPr>
          <w:p>
            <w:pPr>
              <w:pStyle w:val="0"/>
            </w:pPr>
            <w:r>
              <w:rPr>
                <w:sz w:val="20"/>
              </w:rPr>
              <w:t xml:space="preserve">Мининвест Московской области</w:t>
            </w:r>
          </w:p>
        </w:tc>
        <w:tc>
          <w:tcPr>
            <w:tcW w:w="1757"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w:t>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257634,92</w:t>
            </w:r>
          </w:p>
        </w:tc>
        <w:tc>
          <w:tcPr>
            <w:tcW w:w="1474" w:type="dxa"/>
          </w:tcPr>
          <w:p>
            <w:pPr>
              <w:pStyle w:val="0"/>
            </w:pPr>
            <w:r>
              <w:rPr>
                <w:sz w:val="20"/>
              </w:rPr>
              <w:t xml:space="preserve">-</w:t>
            </w:r>
          </w:p>
        </w:tc>
        <w:tc>
          <w:tcPr>
            <w:tcW w:w="1644" w:type="dxa"/>
          </w:tcPr>
          <w:p>
            <w:pPr>
              <w:pStyle w:val="0"/>
            </w:pPr>
            <w:r>
              <w:rPr>
                <w:sz w:val="20"/>
              </w:rPr>
              <w:t xml:space="preserve">257634,92</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6126,20</w:t>
            </w:r>
          </w:p>
        </w:tc>
        <w:tc>
          <w:tcPr>
            <w:tcW w:w="1871" w:type="dxa"/>
          </w:tcPr>
          <w:p>
            <w:pPr>
              <w:pStyle w:val="0"/>
            </w:pPr>
            <w:r>
              <w:rPr>
                <w:sz w:val="20"/>
              </w:rPr>
              <w:t xml:space="preserve">Внебюджетные средства</w:t>
            </w:r>
          </w:p>
        </w:tc>
        <w:tc>
          <w:tcPr>
            <w:tcW w:w="1701" w:type="dxa"/>
          </w:tcPr>
          <w:p>
            <w:pPr>
              <w:pStyle w:val="0"/>
            </w:pPr>
            <w:r>
              <w:rPr>
                <w:sz w:val="20"/>
              </w:rPr>
              <w:t xml:space="preserve">21490,52</w:t>
            </w:r>
          </w:p>
        </w:tc>
        <w:tc>
          <w:tcPr>
            <w:tcW w:w="1474" w:type="dxa"/>
          </w:tcPr>
          <w:p>
            <w:pPr>
              <w:pStyle w:val="0"/>
            </w:pPr>
            <w:r>
              <w:rPr>
                <w:sz w:val="20"/>
              </w:rPr>
              <w:t xml:space="preserve">-</w:t>
            </w:r>
          </w:p>
        </w:tc>
        <w:tc>
          <w:tcPr>
            <w:tcW w:w="1644" w:type="dxa"/>
          </w:tcPr>
          <w:p>
            <w:pPr>
              <w:pStyle w:val="0"/>
            </w:pPr>
            <w:r>
              <w:rPr>
                <w:sz w:val="20"/>
              </w:rPr>
              <w:t xml:space="preserve">21490,52</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проектные и изыскательские работы</w:t>
            </w:r>
          </w:p>
        </w:tc>
        <w:tc>
          <w:tcPr>
            <w:vMerge w:val="continue"/>
          </w:tcPr>
          <w:p/>
        </w:tc>
        <w:tc>
          <w:tcPr>
            <w:tcW w:w="1984" w:type="dxa"/>
            <w:vMerge w:val="restart"/>
          </w:tcPr>
          <w:p>
            <w:pPr>
              <w:pStyle w:val="0"/>
            </w:pPr>
            <w:r>
              <w:rPr>
                <w:sz w:val="20"/>
              </w:rPr>
              <w:t xml:space="preserve">6126,20</w:t>
            </w:r>
          </w:p>
        </w:tc>
        <w:tc>
          <w:tcPr>
            <w:tcW w:w="1587" w:type="dxa"/>
          </w:tcPr>
          <w:p>
            <w:pPr>
              <w:pStyle w:val="0"/>
            </w:pPr>
            <w:r>
              <w:rPr>
                <w:sz w:val="20"/>
              </w:rPr>
              <w:t xml:space="preserve">6126,20</w:t>
            </w:r>
          </w:p>
        </w:tc>
        <w:tc>
          <w:tcPr>
            <w:tcW w:w="1871" w:type="dxa"/>
          </w:tcPr>
          <w:p>
            <w:pPr>
              <w:pStyle w:val="0"/>
            </w:pPr>
            <w:r>
              <w:rPr>
                <w:sz w:val="20"/>
              </w:rPr>
              <w:t xml:space="preserve">Итого:</w:t>
            </w:r>
          </w:p>
        </w:tc>
        <w:tc>
          <w:tcPr>
            <w:tcW w:w="1701" w:type="dxa"/>
          </w:tcPr>
          <w:p>
            <w:pPr>
              <w:pStyle w:val="0"/>
            </w:pPr>
            <w:r>
              <w:rPr>
                <w:sz w:val="20"/>
              </w:rPr>
              <w:t xml:space="preserve">-</w:t>
            </w:r>
          </w:p>
        </w:tc>
        <w:tc>
          <w:tcPr>
            <w:tcW w:w="1474" w:type="dxa"/>
          </w:tcPr>
          <w:p>
            <w:pPr>
              <w:pStyle w:val="0"/>
            </w:pPr>
            <w:r>
              <w:rPr>
                <w:sz w:val="20"/>
              </w:rPr>
              <w:t xml:space="preserve">-</w:t>
            </w:r>
          </w:p>
        </w:tc>
        <w:tc>
          <w:tcPr>
            <w:tcW w:w="1644" w:type="dxa"/>
          </w:tcPr>
          <w:p>
            <w:pPr>
              <w:pStyle w:val="0"/>
            </w:pPr>
            <w:r>
              <w:rPr>
                <w:sz w:val="20"/>
              </w:rPr>
              <w:t xml:space="preserve">-</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t xml:space="preserve">6126,20</w:t>
            </w:r>
          </w:p>
        </w:tc>
        <w:tc>
          <w:tcPr>
            <w:tcW w:w="1871" w:type="dxa"/>
          </w:tcPr>
          <w:p>
            <w:pPr>
              <w:pStyle w:val="0"/>
            </w:pPr>
            <w:r>
              <w:rPr>
                <w:sz w:val="20"/>
              </w:rPr>
              <w:t xml:space="preserve">Внебюджетные средства</w:t>
            </w:r>
          </w:p>
        </w:tc>
        <w:tc>
          <w:tcPr>
            <w:tcW w:w="1701" w:type="dxa"/>
          </w:tcPr>
          <w:p>
            <w:pPr>
              <w:pStyle w:val="0"/>
            </w:pPr>
            <w:r>
              <w:rPr>
                <w:sz w:val="20"/>
              </w:rPr>
              <w:t xml:space="preserve">-</w:t>
            </w:r>
          </w:p>
        </w:tc>
        <w:tc>
          <w:tcPr>
            <w:tcW w:w="1474" w:type="dxa"/>
          </w:tcPr>
          <w:p>
            <w:pPr>
              <w:pStyle w:val="0"/>
            </w:pPr>
            <w:r>
              <w:rPr>
                <w:sz w:val="20"/>
              </w:rPr>
              <w:t xml:space="preserve">-</w:t>
            </w:r>
          </w:p>
        </w:tc>
        <w:tc>
          <w:tcPr>
            <w:tcW w:w="1644" w:type="dxa"/>
          </w:tcPr>
          <w:p>
            <w:pPr>
              <w:pStyle w:val="0"/>
            </w:pPr>
            <w:r>
              <w:rPr>
                <w:sz w:val="20"/>
              </w:rPr>
              <w:t xml:space="preserve">-</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строительные работы</w:t>
            </w:r>
          </w:p>
        </w:tc>
        <w:tc>
          <w:tcPr>
            <w:vMerge w:val="continue"/>
          </w:tcPr>
          <w:p/>
        </w:tc>
        <w:tc>
          <w:tcPr>
            <w:tcW w:w="1984" w:type="dxa"/>
            <w:vMerge w:val="restart"/>
          </w:tcPr>
          <w:p>
            <w:pPr>
              <w:pStyle w:val="0"/>
            </w:pPr>
            <w:r>
              <w:rPr>
                <w:sz w:val="20"/>
              </w:rPr>
              <w:t xml:space="preserve">251975,58</w:t>
            </w:r>
          </w:p>
        </w:tc>
        <w:tc>
          <w:tcPr>
            <w:tcW w:w="1587" w:type="dxa"/>
          </w:tcPr>
          <w:p>
            <w:pPr>
              <w:pStyle w:val="0"/>
            </w:pPr>
            <w:r>
              <w:rPr>
                <w:sz w:val="20"/>
              </w:rPr>
              <w:t xml:space="preserve">-</w:t>
            </w:r>
          </w:p>
        </w:tc>
        <w:tc>
          <w:tcPr>
            <w:tcW w:w="1871" w:type="dxa"/>
          </w:tcPr>
          <w:p>
            <w:pPr>
              <w:pStyle w:val="0"/>
            </w:pPr>
            <w:r>
              <w:rPr>
                <w:sz w:val="20"/>
              </w:rPr>
              <w:t xml:space="preserve">Итого:</w:t>
            </w:r>
          </w:p>
        </w:tc>
        <w:tc>
          <w:tcPr>
            <w:tcW w:w="1701" w:type="dxa"/>
          </w:tcPr>
          <w:p>
            <w:pPr>
              <w:pStyle w:val="0"/>
            </w:pPr>
            <w:r>
              <w:rPr>
                <w:sz w:val="20"/>
              </w:rPr>
              <w:t xml:space="preserve">273466,10</w:t>
            </w:r>
          </w:p>
        </w:tc>
        <w:tc>
          <w:tcPr>
            <w:tcW w:w="1474" w:type="dxa"/>
          </w:tcPr>
          <w:p>
            <w:pPr>
              <w:pStyle w:val="0"/>
            </w:pPr>
            <w:r>
              <w:rPr>
                <w:sz w:val="20"/>
              </w:rPr>
              <w:t xml:space="preserve">-</w:t>
            </w:r>
          </w:p>
        </w:tc>
        <w:tc>
          <w:tcPr>
            <w:tcW w:w="1644" w:type="dxa"/>
          </w:tcPr>
          <w:p>
            <w:pPr>
              <w:pStyle w:val="0"/>
            </w:pPr>
            <w:r>
              <w:rPr>
                <w:sz w:val="20"/>
              </w:rPr>
              <w:t xml:space="preserve">273466,10</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251975,58</w:t>
            </w:r>
          </w:p>
        </w:tc>
        <w:tc>
          <w:tcPr>
            <w:tcW w:w="1474" w:type="dxa"/>
          </w:tcPr>
          <w:p>
            <w:pPr>
              <w:pStyle w:val="0"/>
            </w:pPr>
            <w:r>
              <w:rPr>
                <w:sz w:val="20"/>
              </w:rPr>
              <w:t xml:space="preserve">-</w:t>
            </w:r>
          </w:p>
        </w:tc>
        <w:tc>
          <w:tcPr>
            <w:tcW w:w="1644" w:type="dxa"/>
          </w:tcPr>
          <w:p>
            <w:pPr>
              <w:pStyle w:val="0"/>
            </w:pPr>
            <w:r>
              <w:rPr>
                <w:sz w:val="20"/>
              </w:rPr>
              <w:t xml:space="preserve">251975,58</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Внебюджетные средства</w:t>
            </w:r>
          </w:p>
        </w:tc>
        <w:tc>
          <w:tcPr>
            <w:tcW w:w="1701" w:type="dxa"/>
          </w:tcPr>
          <w:p>
            <w:pPr>
              <w:pStyle w:val="0"/>
            </w:pPr>
            <w:r>
              <w:rPr>
                <w:sz w:val="20"/>
              </w:rPr>
              <w:t xml:space="preserve">21490,52</w:t>
            </w:r>
          </w:p>
        </w:tc>
        <w:tc>
          <w:tcPr>
            <w:tcW w:w="1474" w:type="dxa"/>
          </w:tcPr>
          <w:p>
            <w:pPr>
              <w:pStyle w:val="0"/>
            </w:pPr>
            <w:r>
              <w:rPr>
                <w:sz w:val="20"/>
              </w:rPr>
              <w:t xml:space="preserve">-</w:t>
            </w:r>
          </w:p>
        </w:tc>
        <w:tc>
          <w:tcPr>
            <w:tcW w:w="1644" w:type="dxa"/>
          </w:tcPr>
          <w:p>
            <w:pPr>
              <w:pStyle w:val="0"/>
            </w:pPr>
            <w:r>
              <w:rPr>
                <w:sz w:val="20"/>
              </w:rPr>
              <w:t xml:space="preserve">21490,52</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984" w:type="dxa"/>
            <w:vMerge w:val="restart"/>
          </w:tcPr>
          <w:p>
            <w:pPr>
              <w:pStyle w:val="0"/>
            </w:pPr>
            <w:r>
              <w:rPr>
                <w:sz w:val="20"/>
              </w:rPr>
              <w:t xml:space="preserve">5659,34</w:t>
            </w:r>
          </w:p>
        </w:tc>
        <w:tc>
          <w:tcPr>
            <w:tcW w:w="1587" w:type="dxa"/>
          </w:tcPr>
          <w:p>
            <w:pPr>
              <w:pStyle w:val="0"/>
            </w:pPr>
            <w:r>
              <w:rPr>
                <w:sz w:val="20"/>
              </w:rPr>
            </w:r>
          </w:p>
        </w:tc>
        <w:tc>
          <w:tcPr>
            <w:tcW w:w="1871" w:type="dxa"/>
          </w:tcPr>
          <w:p>
            <w:pPr>
              <w:pStyle w:val="0"/>
            </w:pPr>
            <w:r>
              <w:rPr>
                <w:sz w:val="20"/>
              </w:rPr>
              <w:t xml:space="preserve">Итого:</w:t>
            </w:r>
          </w:p>
        </w:tc>
        <w:tc>
          <w:tcPr>
            <w:tcW w:w="1701" w:type="dxa"/>
          </w:tcPr>
          <w:p>
            <w:pPr>
              <w:pStyle w:val="0"/>
            </w:pPr>
            <w:r>
              <w:rPr>
                <w:sz w:val="20"/>
              </w:rPr>
              <w:t xml:space="preserve">5659,34</w:t>
            </w:r>
          </w:p>
        </w:tc>
        <w:tc>
          <w:tcPr>
            <w:tcW w:w="1474" w:type="dxa"/>
          </w:tcPr>
          <w:p>
            <w:pPr>
              <w:pStyle w:val="0"/>
            </w:pPr>
            <w:r>
              <w:rPr>
                <w:sz w:val="20"/>
              </w:rPr>
              <w:t xml:space="preserve">-</w:t>
            </w:r>
          </w:p>
        </w:tc>
        <w:tc>
          <w:tcPr>
            <w:tcW w:w="1644" w:type="dxa"/>
          </w:tcPr>
          <w:p>
            <w:pPr>
              <w:pStyle w:val="0"/>
            </w:pPr>
            <w:r>
              <w:rPr>
                <w:sz w:val="20"/>
              </w:rPr>
              <w:t xml:space="preserve">5659,34</w:t>
            </w:r>
          </w:p>
        </w:tc>
        <w:tc>
          <w:tcPr>
            <w:tcW w:w="1701"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pPr>
            <w:r>
              <w:rPr>
                <w:sz w:val="20"/>
              </w:rPr>
            </w: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5659,34</w:t>
            </w:r>
          </w:p>
        </w:tc>
        <w:tc>
          <w:tcPr>
            <w:tcW w:w="1474" w:type="dxa"/>
          </w:tcPr>
          <w:p>
            <w:pPr>
              <w:pStyle w:val="0"/>
            </w:pPr>
            <w:r>
              <w:rPr>
                <w:sz w:val="20"/>
              </w:rPr>
              <w:t xml:space="preserve">-</w:t>
            </w:r>
          </w:p>
        </w:tc>
        <w:tc>
          <w:tcPr>
            <w:tcW w:w="1644" w:type="dxa"/>
          </w:tcPr>
          <w:p>
            <w:pPr>
              <w:pStyle w:val="0"/>
            </w:pPr>
            <w:r>
              <w:rPr>
                <w:sz w:val="20"/>
              </w:rPr>
              <w:t xml:space="preserve">5659,34</w:t>
            </w:r>
          </w:p>
        </w:tc>
        <w:tc>
          <w:tcPr>
            <w:tcW w:w="1701" w:type="dxa"/>
          </w:tcPr>
          <w:p>
            <w:pPr>
              <w:pStyle w:val="0"/>
            </w:pPr>
            <w:r>
              <w:rPr>
                <w:sz w:val="20"/>
              </w:rPr>
            </w:r>
          </w:p>
        </w:tc>
        <w:tc>
          <w:tcPr>
            <w:vMerge w:val="continue"/>
          </w:tcPr>
          <w:p/>
        </w:tc>
        <w:tc>
          <w:tcPr>
            <w:vMerge w:val="continue"/>
          </w:tcPr>
          <w:p/>
        </w:tc>
      </w:tr>
      <w:tr>
        <w:tc>
          <w:tcPr>
            <w:gridSpan w:val="8"/>
            <w:tcW w:w="14230" w:type="dxa"/>
            <w:vMerge w:val="restart"/>
          </w:tcPr>
          <w:p>
            <w:pPr>
              <w:pStyle w:val="0"/>
            </w:pPr>
            <w:r>
              <w:rPr>
                <w:sz w:val="20"/>
              </w:rPr>
              <w:t xml:space="preserve">Нераспределенный остаток</w:t>
            </w:r>
          </w:p>
        </w:tc>
        <w:tc>
          <w:tcPr>
            <w:tcW w:w="1871" w:type="dxa"/>
          </w:tcPr>
          <w:p>
            <w:pPr>
              <w:pStyle w:val="0"/>
            </w:pPr>
            <w:r>
              <w:rPr>
                <w:sz w:val="20"/>
              </w:rPr>
              <w:t xml:space="preserve">Всего</w:t>
            </w:r>
          </w:p>
        </w:tc>
        <w:tc>
          <w:tcPr>
            <w:tcW w:w="1701" w:type="dxa"/>
          </w:tcPr>
          <w:p>
            <w:pPr>
              <w:pStyle w:val="0"/>
            </w:pPr>
            <w:r>
              <w:rPr>
                <w:sz w:val="20"/>
              </w:rPr>
              <w:t xml:space="preserve">0,97</w:t>
            </w:r>
          </w:p>
        </w:tc>
        <w:tc>
          <w:tcPr>
            <w:tcW w:w="1474" w:type="dxa"/>
          </w:tcPr>
          <w:p>
            <w:pPr>
              <w:pStyle w:val="0"/>
            </w:pPr>
            <w:r>
              <w:rPr>
                <w:sz w:val="20"/>
              </w:rPr>
              <w:t xml:space="preserve">-</w:t>
            </w:r>
          </w:p>
        </w:tc>
        <w:tc>
          <w:tcPr>
            <w:tcW w:w="1644" w:type="dxa"/>
          </w:tcPr>
          <w:p>
            <w:pPr>
              <w:pStyle w:val="0"/>
            </w:pPr>
            <w:r>
              <w:rPr>
                <w:sz w:val="20"/>
              </w:rPr>
              <w:t xml:space="preserve">0,95</w:t>
            </w:r>
          </w:p>
        </w:tc>
        <w:tc>
          <w:tcPr>
            <w:tcW w:w="1701" w:type="dxa"/>
          </w:tcPr>
          <w:p>
            <w:pPr>
              <w:pStyle w:val="0"/>
            </w:pPr>
            <w:r>
              <w:rPr>
                <w:sz w:val="20"/>
              </w:rPr>
              <w:t xml:space="preserve">0,02</w:t>
            </w:r>
          </w:p>
        </w:tc>
        <w:tc>
          <w:tcPr>
            <w:tcW w:w="1701" w:type="dxa"/>
            <w:vMerge w:val="restart"/>
          </w:tcPr>
          <w:p>
            <w:pPr>
              <w:pStyle w:val="0"/>
            </w:pPr>
            <w:r>
              <w:rPr>
                <w:sz w:val="20"/>
              </w:rPr>
              <w:t xml:space="preserve">Х</w:t>
            </w:r>
          </w:p>
        </w:tc>
        <w:tc>
          <w:tcPr>
            <w:tcW w:w="1757" w:type="dxa"/>
            <w:vMerge w:val="restart"/>
          </w:tcPr>
          <w:p>
            <w:pPr>
              <w:pStyle w:val="0"/>
            </w:pPr>
            <w:r>
              <w:rPr>
                <w:sz w:val="20"/>
              </w:rPr>
              <w:t xml:space="preserve">Х</w:t>
            </w:r>
          </w:p>
        </w:tc>
      </w:tr>
      <w:tr>
        <w:tc>
          <w:tcPr>
            <w:gridSpan w:val="8"/>
            <w:vMerge w:val="continue"/>
          </w:tcP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0,97</w:t>
            </w:r>
          </w:p>
        </w:tc>
        <w:tc>
          <w:tcPr>
            <w:tcW w:w="1474" w:type="dxa"/>
          </w:tcPr>
          <w:p>
            <w:pPr>
              <w:pStyle w:val="0"/>
            </w:pPr>
            <w:r>
              <w:rPr>
                <w:sz w:val="20"/>
              </w:rPr>
              <w:t xml:space="preserve">-</w:t>
            </w:r>
          </w:p>
        </w:tc>
        <w:tc>
          <w:tcPr>
            <w:tcW w:w="1644" w:type="dxa"/>
          </w:tcPr>
          <w:p>
            <w:pPr>
              <w:pStyle w:val="0"/>
            </w:pPr>
            <w:r>
              <w:rPr>
                <w:sz w:val="20"/>
              </w:rPr>
              <w:t xml:space="preserve">0,95</w:t>
            </w:r>
          </w:p>
        </w:tc>
        <w:tc>
          <w:tcPr>
            <w:tcW w:w="1701" w:type="dxa"/>
          </w:tcPr>
          <w:p>
            <w:pPr>
              <w:pStyle w:val="0"/>
            </w:pPr>
            <w:r>
              <w:rPr>
                <w:sz w:val="20"/>
              </w:rPr>
              <w:t xml:space="preserve">0,02</w:t>
            </w:r>
          </w:p>
        </w:tc>
        <w:tc>
          <w:tcPr>
            <w:vMerge w:val="continue"/>
          </w:tcPr>
          <w:p/>
        </w:tc>
        <w:tc>
          <w:tcPr>
            <w:vMerge w:val="continue"/>
          </w:tcPr>
          <w:p/>
        </w:tc>
      </w:tr>
      <w:tr>
        <w:tc>
          <w:tcPr>
            <w:gridSpan w:val="8"/>
            <w:tcW w:w="14230" w:type="dxa"/>
            <w:vMerge w:val="restart"/>
          </w:tcPr>
          <w:p>
            <w:pPr>
              <w:pStyle w:val="0"/>
            </w:pPr>
            <w:r>
              <w:rPr>
                <w:sz w:val="20"/>
              </w:rPr>
              <w:t xml:space="preserve">Всего по мероприятию</w:t>
            </w:r>
          </w:p>
        </w:tc>
        <w:tc>
          <w:tcPr>
            <w:tcW w:w="1871" w:type="dxa"/>
          </w:tcPr>
          <w:p>
            <w:pPr>
              <w:pStyle w:val="0"/>
            </w:pPr>
            <w:r>
              <w:rPr>
                <w:sz w:val="20"/>
              </w:rPr>
              <w:t xml:space="preserve">Всего</w:t>
            </w:r>
          </w:p>
        </w:tc>
        <w:tc>
          <w:tcPr>
            <w:tcW w:w="1701" w:type="dxa"/>
          </w:tcPr>
          <w:p>
            <w:pPr>
              <w:pStyle w:val="0"/>
            </w:pPr>
            <w:r>
              <w:rPr>
                <w:sz w:val="20"/>
              </w:rPr>
              <w:t xml:space="preserve">4779443,52</w:t>
            </w:r>
          </w:p>
        </w:tc>
        <w:tc>
          <w:tcPr>
            <w:tcW w:w="1474" w:type="dxa"/>
          </w:tcPr>
          <w:p>
            <w:pPr>
              <w:pStyle w:val="0"/>
            </w:pPr>
            <w:r>
              <w:rPr>
                <w:sz w:val="20"/>
              </w:rPr>
              <w:t xml:space="preserve">844414,00</w:t>
            </w:r>
          </w:p>
        </w:tc>
        <w:tc>
          <w:tcPr>
            <w:tcW w:w="1644" w:type="dxa"/>
          </w:tcPr>
          <w:p>
            <w:pPr>
              <w:pStyle w:val="0"/>
            </w:pPr>
            <w:r>
              <w:rPr>
                <w:sz w:val="20"/>
              </w:rPr>
              <w:t xml:space="preserve">2597166,52</w:t>
            </w:r>
          </w:p>
        </w:tc>
        <w:tc>
          <w:tcPr>
            <w:tcW w:w="1701" w:type="dxa"/>
          </w:tcPr>
          <w:p>
            <w:pPr>
              <w:pStyle w:val="0"/>
            </w:pPr>
            <w:r>
              <w:rPr>
                <w:sz w:val="20"/>
              </w:rPr>
              <w:t xml:space="preserve">1337863,00</w:t>
            </w:r>
          </w:p>
        </w:tc>
        <w:tc>
          <w:tcPr>
            <w:tcW w:w="1701" w:type="dxa"/>
            <w:vMerge w:val="restart"/>
          </w:tcPr>
          <w:p>
            <w:pPr>
              <w:pStyle w:val="0"/>
            </w:pPr>
            <w:r>
              <w:rPr>
                <w:sz w:val="20"/>
              </w:rPr>
              <w:t xml:space="preserve">Х</w:t>
            </w:r>
          </w:p>
        </w:tc>
        <w:tc>
          <w:tcPr>
            <w:tcW w:w="1757" w:type="dxa"/>
            <w:vMerge w:val="restart"/>
          </w:tcPr>
          <w:p>
            <w:pPr>
              <w:pStyle w:val="0"/>
            </w:pPr>
            <w:r>
              <w:rPr>
                <w:sz w:val="20"/>
              </w:rPr>
              <w:t xml:space="preserve">Х</w:t>
            </w:r>
          </w:p>
        </w:tc>
      </w:tr>
      <w:tr>
        <w:tc>
          <w:tcPr>
            <w:gridSpan w:val="8"/>
            <w:vMerge w:val="continue"/>
          </w:tcPr>
          <w:p/>
        </w:tc>
        <w:tc>
          <w:tcPr>
            <w:tcW w:w="1871" w:type="dxa"/>
          </w:tcPr>
          <w:p>
            <w:pPr>
              <w:pStyle w:val="0"/>
            </w:pPr>
            <w:r>
              <w:rPr>
                <w:sz w:val="20"/>
              </w:rPr>
              <w:t xml:space="preserve">Средства бюджета Московской области</w:t>
            </w:r>
          </w:p>
        </w:tc>
        <w:tc>
          <w:tcPr>
            <w:tcW w:w="1701" w:type="dxa"/>
          </w:tcPr>
          <w:p>
            <w:pPr>
              <w:pStyle w:val="0"/>
            </w:pPr>
            <w:r>
              <w:rPr>
                <w:sz w:val="20"/>
              </w:rPr>
              <w:t xml:space="preserve">4757953,00</w:t>
            </w:r>
          </w:p>
        </w:tc>
        <w:tc>
          <w:tcPr>
            <w:tcW w:w="1474" w:type="dxa"/>
          </w:tcPr>
          <w:p>
            <w:pPr>
              <w:pStyle w:val="0"/>
            </w:pPr>
            <w:r>
              <w:rPr>
                <w:sz w:val="20"/>
              </w:rPr>
              <w:t xml:space="preserve">844414,00</w:t>
            </w:r>
          </w:p>
        </w:tc>
        <w:tc>
          <w:tcPr>
            <w:tcW w:w="1644" w:type="dxa"/>
          </w:tcPr>
          <w:p>
            <w:pPr>
              <w:pStyle w:val="0"/>
            </w:pPr>
            <w:r>
              <w:rPr>
                <w:sz w:val="20"/>
              </w:rPr>
              <w:t xml:space="preserve">2575676,00</w:t>
            </w:r>
          </w:p>
        </w:tc>
        <w:tc>
          <w:tcPr>
            <w:tcW w:w="1701" w:type="dxa"/>
          </w:tcPr>
          <w:p>
            <w:pPr>
              <w:pStyle w:val="0"/>
            </w:pPr>
            <w:r>
              <w:rPr>
                <w:sz w:val="20"/>
              </w:rPr>
              <w:t xml:space="preserve">1337863,00</w:t>
            </w:r>
          </w:p>
        </w:tc>
        <w:tc>
          <w:tcPr>
            <w:vMerge w:val="continue"/>
          </w:tcPr>
          <w:p/>
        </w:tc>
        <w:tc>
          <w:tcPr>
            <w:vMerge w:val="continue"/>
          </w:tcPr>
          <w:p/>
        </w:tc>
      </w:tr>
      <w:tr>
        <w:tc>
          <w:tcPr>
            <w:gridSpan w:val="8"/>
            <w:vMerge w:val="continue"/>
          </w:tcPr>
          <w:p/>
        </w:tc>
        <w:tc>
          <w:tcPr>
            <w:tcW w:w="1871" w:type="dxa"/>
          </w:tcPr>
          <w:p>
            <w:pPr>
              <w:pStyle w:val="0"/>
            </w:pPr>
            <w:r>
              <w:rPr>
                <w:sz w:val="20"/>
              </w:rPr>
              <w:t xml:space="preserve">Внебюджетные средства</w:t>
            </w:r>
          </w:p>
        </w:tc>
        <w:tc>
          <w:tcPr>
            <w:tcW w:w="1701" w:type="dxa"/>
          </w:tcPr>
          <w:p>
            <w:pPr>
              <w:pStyle w:val="0"/>
            </w:pPr>
            <w:r>
              <w:rPr>
                <w:sz w:val="20"/>
              </w:rPr>
              <w:t xml:space="preserve">21490,52</w:t>
            </w:r>
          </w:p>
        </w:tc>
        <w:tc>
          <w:tcPr>
            <w:tcW w:w="1474" w:type="dxa"/>
          </w:tcPr>
          <w:p>
            <w:pPr>
              <w:pStyle w:val="0"/>
            </w:pPr>
            <w:r>
              <w:rPr>
                <w:sz w:val="20"/>
              </w:rPr>
              <w:t xml:space="preserve">-</w:t>
            </w:r>
          </w:p>
        </w:tc>
        <w:tc>
          <w:tcPr>
            <w:tcW w:w="1644" w:type="dxa"/>
          </w:tcPr>
          <w:p>
            <w:pPr>
              <w:pStyle w:val="0"/>
            </w:pPr>
            <w:r>
              <w:rPr>
                <w:sz w:val="20"/>
              </w:rPr>
              <w:t xml:space="preserve">21490,52</w:t>
            </w:r>
          </w:p>
        </w:tc>
        <w:tc>
          <w:tcPr>
            <w:tcW w:w="1701" w:type="dxa"/>
          </w:tcPr>
          <w:p>
            <w:pPr>
              <w:pStyle w:val="0"/>
            </w:pPr>
            <w:r>
              <w:rPr>
                <w:sz w:val="20"/>
              </w:rPr>
              <w:t xml:space="preserve">-</w:t>
            </w:r>
          </w:p>
        </w:tc>
        <w:tc>
          <w:tcPr>
            <w:vMerge w:val="continue"/>
          </w:tcP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591" w:name="P8591"/>
    <w:bookmarkEnd w:id="8591"/>
    <w:p>
      <w:pPr>
        <w:pStyle w:val="0"/>
        <w:spacing w:before="200" w:line-rule="auto"/>
        <w:ind w:firstLine="540"/>
        <w:jc w:val="both"/>
      </w:pPr>
      <w:r>
        <w:rPr>
          <w:sz w:val="20"/>
        </w:rPr>
        <w:t xml:space="preserve">&lt;*&gt; </w:t>
      </w:r>
      <w:hyperlink w:history="0" w:anchor="P8065" w:tooltip="6">
        <w:r>
          <w:rPr>
            <w:sz w:val="20"/>
            <w:color w:val="0000ff"/>
          </w:rPr>
          <w:t xml:space="preserve">Графа 6</w:t>
        </w:r>
      </w:hyperlink>
      <w:r>
        <w:rPr>
          <w:sz w:val="20"/>
        </w:rPr>
        <w:t xml:space="preserve"> "Мощность/прирост мощности объекта" будет скорректирована после подготовки проектно-сметной документации.</w:t>
      </w:r>
    </w:p>
    <w:p>
      <w:pPr>
        <w:pStyle w:val="0"/>
        <w:jc w:val="both"/>
      </w:pPr>
      <w:r>
        <w:rPr>
          <w:sz w:val="20"/>
        </w:rPr>
      </w:r>
    </w:p>
    <w:p>
      <w:pPr>
        <w:pStyle w:val="0"/>
        <w:ind w:firstLine="540"/>
        <w:jc w:val="both"/>
      </w:pPr>
      <w:r>
        <w:rPr>
          <w:sz w:val="20"/>
        </w:rPr>
        <w:t xml:space="preserve">Справочная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1701"/>
        <w:gridCol w:w="1191"/>
        <w:gridCol w:w="1300"/>
        <w:gridCol w:w="960"/>
      </w:tblGrid>
      <w:tr>
        <w:tc>
          <w:tcPr>
            <w:tcW w:w="1871" w:type="dxa"/>
          </w:tcPr>
          <w:p>
            <w:pPr>
              <w:pStyle w:val="0"/>
              <w:jc w:val="center"/>
            </w:pPr>
            <w:r>
              <w:rPr>
                <w:sz w:val="20"/>
              </w:rPr>
              <w:t xml:space="preserve">Количество объектов</w:t>
            </w:r>
          </w:p>
        </w:tc>
        <w:tc>
          <w:tcPr>
            <w:tcW w:w="1701" w:type="dxa"/>
          </w:tcPr>
          <w:p>
            <w:pPr>
              <w:pStyle w:val="0"/>
              <w:jc w:val="center"/>
            </w:pPr>
            <w:r>
              <w:rPr>
                <w:sz w:val="20"/>
              </w:rPr>
              <w:t xml:space="preserve">Всего, в том числе по годам реализации:</w:t>
            </w:r>
          </w:p>
        </w:tc>
        <w:tc>
          <w:tcPr>
            <w:tcW w:w="1191" w:type="dxa"/>
          </w:tcPr>
          <w:p>
            <w:pPr>
              <w:pStyle w:val="0"/>
              <w:jc w:val="center"/>
            </w:pPr>
            <w:r>
              <w:rPr>
                <w:sz w:val="20"/>
              </w:rPr>
              <w:t xml:space="preserve">2023 год</w:t>
            </w:r>
          </w:p>
        </w:tc>
        <w:tc>
          <w:tcPr>
            <w:tcW w:w="1300" w:type="dxa"/>
          </w:tcPr>
          <w:p>
            <w:pPr>
              <w:pStyle w:val="0"/>
              <w:jc w:val="center"/>
            </w:pPr>
            <w:r>
              <w:rPr>
                <w:sz w:val="20"/>
              </w:rPr>
              <w:t xml:space="preserve">2024 год</w:t>
            </w:r>
          </w:p>
        </w:tc>
        <w:tc>
          <w:tcPr>
            <w:tcW w:w="960" w:type="dxa"/>
          </w:tcPr>
          <w:p>
            <w:pPr>
              <w:pStyle w:val="0"/>
              <w:jc w:val="center"/>
            </w:pPr>
            <w:r>
              <w:rPr>
                <w:sz w:val="20"/>
              </w:rPr>
              <w:t xml:space="preserve">2025 год</w:t>
            </w:r>
          </w:p>
        </w:tc>
      </w:tr>
      <w:tr>
        <w:tc>
          <w:tcPr>
            <w:tcW w:w="1871" w:type="dxa"/>
          </w:tcPr>
          <w:p>
            <w:pPr>
              <w:pStyle w:val="0"/>
            </w:pPr>
            <w:r>
              <w:rPr>
                <w:sz w:val="20"/>
              </w:rPr>
              <w:t xml:space="preserve">вводимых</w:t>
            </w:r>
          </w:p>
        </w:tc>
        <w:tc>
          <w:tcPr>
            <w:tcW w:w="1701" w:type="dxa"/>
          </w:tcPr>
          <w:p>
            <w:pPr>
              <w:pStyle w:val="0"/>
            </w:pPr>
            <w:r>
              <w:rPr>
                <w:sz w:val="20"/>
              </w:rPr>
              <w:t xml:space="preserve">10</w:t>
            </w:r>
          </w:p>
        </w:tc>
        <w:tc>
          <w:tcPr>
            <w:tcW w:w="1191" w:type="dxa"/>
          </w:tcPr>
          <w:p>
            <w:pPr>
              <w:pStyle w:val="0"/>
            </w:pPr>
            <w:r>
              <w:rPr>
                <w:sz w:val="20"/>
              </w:rPr>
              <w:t xml:space="preserve">-</w:t>
            </w:r>
          </w:p>
        </w:tc>
        <w:tc>
          <w:tcPr>
            <w:tcW w:w="1300" w:type="dxa"/>
          </w:tcPr>
          <w:p>
            <w:pPr>
              <w:pStyle w:val="0"/>
            </w:pPr>
            <w:r>
              <w:rPr>
                <w:sz w:val="20"/>
              </w:rPr>
              <w:t xml:space="preserve">-</w:t>
            </w:r>
          </w:p>
        </w:tc>
        <w:tc>
          <w:tcPr>
            <w:tcW w:w="960" w:type="dxa"/>
          </w:tcPr>
          <w:p>
            <w:pPr>
              <w:pStyle w:val="0"/>
            </w:pPr>
            <w:r>
              <w:rPr>
                <w:sz w:val="20"/>
              </w:rPr>
              <w:t xml:space="preserve">10</w:t>
            </w:r>
          </w:p>
        </w:tc>
      </w:tr>
      <w:tr>
        <w:tc>
          <w:tcPr>
            <w:tcW w:w="1871" w:type="dxa"/>
          </w:tcPr>
          <w:p>
            <w:pPr>
              <w:pStyle w:val="0"/>
            </w:pPr>
            <w:r>
              <w:rPr>
                <w:sz w:val="20"/>
              </w:rPr>
              <w:t xml:space="preserve">открываемых</w:t>
            </w:r>
          </w:p>
        </w:tc>
        <w:tc>
          <w:tcPr>
            <w:tcW w:w="1701" w:type="dxa"/>
          </w:tcPr>
          <w:p>
            <w:pPr>
              <w:pStyle w:val="0"/>
            </w:pPr>
            <w:r>
              <w:rPr>
                <w:sz w:val="20"/>
              </w:rPr>
              <w:t xml:space="preserve">10</w:t>
            </w:r>
          </w:p>
        </w:tc>
        <w:tc>
          <w:tcPr>
            <w:tcW w:w="1191" w:type="dxa"/>
          </w:tcPr>
          <w:p>
            <w:pPr>
              <w:pStyle w:val="0"/>
            </w:pPr>
            <w:r>
              <w:rPr>
                <w:sz w:val="20"/>
              </w:rPr>
              <w:t xml:space="preserve">-</w:t>
            </w:r>
          </w:p>
        </w:tc>
        <w:tc>
          <w:tcPr>
            <w:tcW w:w="1300" w:type="dxa"/>
          </w:tcPr>
          <w:p>
            <w:pPr>
              <w:pStyle w:val="0"/>
            </w:pPr>
            <w:r>
              <w:rPr>
                <w:sz w:val="20"/>
              </w:rPr>
              <w:t xml:space="preserve">-</w:t>
            </w:r>
          </w:p>
        </w:tc>
        <w:tc>
          <w:tcPr>
            <w:tcW w:w="960" w:type="dxa"/>
          </w:tcPr>
          <w:p>
            <w:pPr>
              <w:pStyle w:val="0"/>
            </w:pPr>
            <w:r>
              <w:rPr>
                <w:sz w:val="20"/>
              </w:rPr>
              <w:t xml:space="preserve">10</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МО от 08.10.2024 </w:t>
            </w:r>
            <w:hyperlink w:history="0" r:id="rId552"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и от 25.12.2024 </w:t>
            </w:r>
            <w:hyperlink w:history="0" r:id="rId55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 в подразд. 5.7.2 одновременно внесены изменения. Редакция подразд. 5.7.2 с изменениями, внесенными </w:t>
            </w:r>
            <w:hyperlink w:history="0" r:id="rId554"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color w:val="392c69"/>
              </w:rPr>
              <w:t xml:space="preserve"> 25.12.2024 N 1684-ПП,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12" w:name="P8612"/>
    <w:bookmarkEnd w:id="8612"/>
    <w:p>
      <w:pPr>
        <w:pStyle w:val="2"/>
        <w:spacing w:before="260" w:line-rule="auto"/>
        <w:outlineLvl w:val="3"/>
        <w:jc w:val="center"/>
      </w:pPr>
      <w:r>
        <w:rPr>
          <w:sz w:val="20"/>
        </w:rPr>
        <w:t xml:space="preserve">5.7.2. Адресный перечень объектов строительства</w:t>
      </w:r>
    </w:p>
    <w:p>
      <w:pPr>
        <w:pStyle w:val="2"/>
        <w:jc w:val="center"/>
      </w:pPr>
      <w:r>
        <w:rPr>
          <w:sz w:val="20"/>
        </w:rPr>
        <w:t xml:space="preserve">(реконструкции) частной собственности на строительство</w:t>
      </w:r>
    </w:p>
    <w:p>
      <w:pPr>
        <w:pStyle w:val="2"/>
        <w:jc w:val="center"/>
      </w:pPr>
      <w:r>
        <w:rPr>
          <w:sz w:val="20"/>
        </w:rPr>
        <w:t xml:space="preserve">(реконструкцию), которых предоставляется субсидия</w:t>
      </w:r>
    </w:p>
    <w:p>
      <w:pPr>
        <w:pStyle w:val="2"/>
        <w:jc w:val="center"/>
      </w:pPr>
      <w:r>
        <w:rPr>
          <w:sz w:val="20"/>
        </w:rPr>
        <w:t xml:space="preserve">юридическому лицу, предусмотренная мероприятием 02.04</w:t>
      </w:r>
    </w:p>
    <w:p>
      <w:pPr>
        <w:pStyle w:val="2"/>
        <w:jc w:val="center"/>
      </w:pPr>
      <w:r>
        <w:rPr>
          <w:sz w:val="20"/>
        </w:rPr>
        <w:t xml:space="preserve">подпрограммы 1 "Инвестиции в Подмосковье"</w:t>
      </w:r>
    </w:p>
    <w:p>
      <w:pPr>
        <w:pStyle w:val="0"/>
        <w:jc w:val="center"/>
      </w:pPr>
      <w:r>
        <w:rPr>
          <w:sz w:val="20"/>
        </w:rPr>
      </w:r>
    </w:p>
    <w:p>
      <w:pPr>
        <w:pStyle w:val="0"/>
        <w:jc w:val="center"/>
      </w:pPr>
      <w:r>
        <w:rPr>
          <w:sz w:val="20"/>
        </w:rPr>
        <w:t xml:space="preserve">(в ред. </w:t>
      </w:r>
      <w:hyperlink w:history="0" r:id="rId55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608"/>
        <w:gridCol w:w="2438"/>
        <w:gridCol w:w="1531"/>
        <w:gridCol w:w="2608"/>
        <w:gridCol w:w="2268"/>
        <w:gridCol w:w="1701"/>
        <w:gridCol w:w="1644"/>
        <w:gridCol w:w="1814"/>
        <w:gridCol w:w="1587"/>
        <w:gridCol w:w="1587"/>
        <w:gridCol w:w="1587"/>
        <w:gridCol w:w="1701"/>
        <w:gridCol w:w="1587"/>
        <w:gridCol w:w="1701"/>
        <w:gridCol w:w="1644"/>
      </w:tblGrid>
      <w:tr>
        <w:tc>
          <w:tcPr>
            <w:tcW w:w="907"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Наименование юридического лица - получателя субсидии/наименование объекта</w:t>
            </w:r>
          </w:p>
        </w:tc>
        <w:tc>
          <w:tcPr>
            <w:tcW w:w="2438" w:type="dxa"/>
            <w:vMerge w:val="restart"/>
          </w:tcPr>
          <w:p>
            <w:pPr>
              <w:pStyle w:val="0"/>
              <w:jc w:val="center"/>
            </w:pPr>
            <w:r>
              <w:rPr>
                <w:sz w:val="20"/>
              </w:rPr>
              <w:t xml:space="preserve">Срок проведения работ, завершающийся датой ввода в эксплуатацию объекта</w:t>
            </w:r>
          </w:p>
        </w:tc>
        <w:tc>
          <w:tcPr>
            <w:tcW w:w="1531" w:type="dxa"/>
            <w:vMerge w:val="restart"/>
          </w:tcPr>
          <w:p>
            <w:pPr>
              <w:pStyle w:val="0"/>
              <w:jc w:val="center"/>
            </w:pPr>
            <w:r>
              <w:rPr>
                <w:sz w:val="20"/>
              </w:rPr>
              <w:t xml:space="preserve">Открытие объекта</w:t>
            </w:r>
          </w:p>
        </w:tc>
        <w:tc>
          <w:tcPr>
            <w:tcW w:w="2608" w:type="dxa"/>
            <w:vMerge w:val="restart"/>
          </w:tcPr>
          <w:p>
            <w:pPr>
              <w:pStyle w:val="0"/>
              <w:jc w:val="center"/>
            </w:pPr>
            <w:r>
              <w:rPr>
                <w:sz w:val="20"/>
              </w:rPr>
              <w:t xml:space="preserve">Направление инвестирования</w:t>
            </w:r>
          </w:p>
        </w:tc>
        <w:tc>
          <w:tcPr>
            <w:tcW w:w="2268" w:type="dxa"/>
            <w:vMerge w:val="restart"/>
          </w:tcPr>
          <w:p>
            <w:pPr>
              <w:pStyle w:val="0"/>
              <w:jc w:val="center"/>
            </w:pPr>
            <w:r>
              <w:rPr>
                <w:sz w:val="20"/>
              </w:rPr>
              <w:t xml:space="preserve">Мощность/прирост мощности объекта</w:t>
            </w:r>
          </w:p>
        </w:tc>
        <w:tc>
          <w:tcPr>
            <w:tcW w:w="1701" w:type="dxa"/>
            <w:vMerge w:val="restart"/>
          </w:tcPr>
          <w:p>
            <w:pPr>
              <w:pStyle w:val="0"/>
              <w:jc w:val="center"/>
            </w:pPr>
            <w:r>
              <w:rPr>
                <w:sz w:val="20"/>
              </w:rPr>
              <w:t xml:space="preserve">Сметная стоимость/предельная стоимость строительства (реконструкции) (тыс. руб.)</w:t>
            </w:r>
          </w:p>
        </w:tc>
        <w:tc>
          <w:tcPr>
            <w:tcW w:w="1644" w:type="dxa"/>
            <w:vMerge w:val="restart"/>
          </w:tcPr>
          <w:p>
            <w:pPr>
              <w:pStyle w:val="0"/>
              <w:jc w:val="center"/>
            </w:pPr>
            <w:r>
              <w:rPr>
                <w:sz w:val="20"/>
              </w:rPr>
              <w:t xml:space="preserve">Профинансировано на 01.01.2023 (тыс. руб.)</w:t>
            </w:r>
          </w:p>
        </w:tc>
        <w:tc>
          <w:tcPr>
            <w:tcW w:w="1814" w:type="dxa"/>
            <w:vMerge w:val="restart"/>
          </w:tcPr>
          <w:p>
            <w:pPr>
              <w:pStyle w:val="0"/>
              <w:jc w:val="center"/>
            </w:pPr>
            <w:r>
              <w:rPr>
                <w:sz w:val="20"/>
              </w:rPr>
              <w:t xml:space="preserve">Источники финансирования</w:t>
            </w:r>
          </w:p>
        </w:tc>
        <w:tc>
          <w:tcPr>
            <w:gridSpan w:val="5"/>
            <w:tcW w:w="8049" w:type="dxa"/>
          </w:tcPr>
          <w:p>
            <w:pPr>
              <w:pStyle w:val="0"/>
              <w:jc w:val="center"/>
            </w:pPr>
            <w:r>
              <w:rPr>
                <w:sz w:val="20"/>
              </w:rPr>
              <w:t xml:space="preserve">Финансирование, в том числе распределение предельного размера субсидии из бюджета Московской области (тыс. руб.)</w:t>
            </w:r>
          </w:p>
        </w:tc>
        <w:tc>
          <w:tcPr>
            <w:tcW w:w="1701" w:type="dxa"/>
            <w:vMerge w:val="restart"/>
          </w:tcPr>
          <w:p>
            <w:pPr>
              <w:pStyle w:val="0"/>
              <w:jc w:val="center"/>
            </w:pPr>
            <w:r>
              <w:rPr>
                <w:sz w:val="20"/>
              </w:rPr>
              <w:t xml:space="preserve">Наименование главного распорядителя средств бюджета Московской области</w:t>
            </w:r>
          </w:p>
        </w:tc>
        <w:tc>
          <w:tcPr>
            <w:tcW w:w="1644" w:type="dxa"/>
            <w:vMerge w:val="restart"/>
          </w:tcPr>
          <w:p>
            <w:pPr>
              <w:pStyle w:val="0"/>
              <w:jc w:val="center"/>
            </w:pPr>
            <w:r>
              <w:rPr>
                <w:sz w:val="20"/>
              </w:rPr>
              <w:t xml:space="preserve">Числовое значение интегральной оценки инвестиционного проекта, %</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Всего</w:t>
            </w:r>
          </w:p>
        </w:tc>
        <w:tc>
          <w:tcPr>
            <w:tcW w:w="1587" w:type="dxa"/>
          </w:tcPr>
          <w:p>
            <w:pPr>
              <w:pStyle w:val="0"/>
              <w:jc w:val="center"/>
            </w:pPr>
            <w:r>
              <w:rPr>
                <w:sz w:val="20"/>
              </w:rPr>
              <w:t xml:space="preserve">2023 год</w:t>
            </w:r>
          </w:p>
        </w:tc>
        <w:tc>
          <w:tcPr>
            <w:tcW w:w="1587"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587" w:type="dxa"/>
          </w:tcPr>
          <w:p>
            <w:pPr>
              <w:pStyle w:val="0"/>
              <w:jc w:val="center"/>
            </w:pPr>
            <w:r>
              <w:rPr>
                <w:sz w:val="20"/>
              </w:rPr>
              <w:t xml:space="preserve">2026 год</w:t>
            </w:r>
          </w:p>
        </w:tc>
        <w:tc>
          <w:tcPr>
            <w:vMerge w:val="continue"/>
          </w:tcPr>
          <w:p/>
        </w:tc>
        <w:tc>
          <w:tcPr>
            <w:vMerge w:val="continue"/>
          </w:tcPr>
          <w:p/>
        </w:tc>
      </w:tr>
      <w:tr>
        <w:tc>
          <w:tcPr>
            <w:tcW w:w="907" w:type="dxa"/>
          </w:tcPr>
          <w:p>
            <w:pPr>
              <w:pStyle w:val="0"/>
              <w:jc w:val="center"/>
            </w:pPr>
            <w:r>
              <w:rPr>
                <w:sz w:val="20"/>
              </w:rPr>
              <w:t xml:space="preserve">1</w:t>
            </w:r>
          </w:p>
        </w:tc>
        <w:tc>
          <w:tcPr>
            <w:tcW w:w="2608" w:type="dxa"/>
          </w:tcPr>
          <w:p>
            <w:pPr>
              <w:pStyle w:val="0"/>
              <w:jc w:val="center"/>
            </w:pPr>
            <w:r>
              <w:rPr>
                <w:sz w:val="20"/>
              </w:rPr>
              <w:t xml:space="preserve">2</w:t>
            </w:r>
          </w:p>
        </w:tc>
        <w:tc>
          <w:tcPr>
            <w:tcW w:w="2438" w:type="dxa"/>
          </w:tcPr>
          <w:p>
            <w:pPr>
              <w:pStyle w:val="0"/>
              <w:jc w:val="center"/>
            </w:pPr>
            <w:r>
              <w:rPr>
                <w:sz w:val="20"/>
              </w:rPr>
              <w:t xml:space="preserve">3</w:t>
            </w:r>
          </w:p>
        </w:tc>
        <w:tc>
          <w:tcPr>
            <w:tcW w:w="1531" w:type="dxa"/>
          </w:tcPr>
          <w:p>
            <w:pPr>
              <w:pStyle w:val="0"/>
              <w:jc w:val="center"/>
            </w:pPr>
            <w:r>
              <w:rPr>
                <w:sz w:val="20"/>
              </w:rPr>
              <w:t xml:space="preserve">4</w:t>
            </w:r>
          </w:p>
        </w:tc>
        <w:tc>
          <w:tcPr>
            <w:tcW w:w="2608" w:type="dxa"/>
          </w:tcPr>
          <w:p>
            <w:pPr>
              <w:pStyle w:val="0"/>
              <w:jc w:val="center"/>
            </w:pPr>
            <w:r>
              <w:rPr>
                <w:sz w:val="20"/>
              </w:rPr>
              <w:t xml:space="preserve">5</w:t>
            </w:r>
          </w:p>
        </w:tc>
        <w:tc>
          <w:tcPr>
            <w:tcW w:w="2268" w:type="dxa"/>
          </w:tcPr>
          <w:bookmarkStart w:id="8643" w:name="P8643"/>
          <w:bookmarkEnd w:id="8643"/>
          <w:p>
            <w:pPr>
              <w:pStyle w:val="0"/>
              <w:jc w:val="center"/>
            </w:pPr>
            <w:r>
              <w:rPr>
                <w:sz w:val="20"/>
              </w:rPr>
              <w:t xml:space="preserve">6</w:t>
            </w:r>
          </w:p>
        </w:tc>
        <w:tc>
          <w:tcPr>
            <w:tcW w:w="1701" w:type="dxa"/>
          </w:tcPr>
          <w:p>
            <w:pPr>
              <w:pStyle w:val="0"/>
              <w:jc w:val="center"/>
            </w:pPr>
            <w:r>
              <w:rPr>
                <w:sz w:val="20"/>
              </w:rPr>
              <w:t xml:space="preserve">7</w:t>
            </w:r>
          </w:p>
        </w:tc>
        <w:tc>
          <w:tcPr>
            <w:tcW w:w="1644" w:type="dxa"/>
          </w:tcPr>
          <w:p>
            <w:pPr>
              <w:pStyle w:val="0"/>
              <w:jc w:val="center"/>
            </w:pPr>
            <w:r>
              <w:rPr>
                <w:sz w:val="20"/>
              </w:rPr>
              <w:t xml:space="preserve">8</w:t>
            </w:r>
          </w:p>
        </w:tc>
        <w:tc>
          <w:tcPr>
            <w:tcW w:w="1814" w:type="dxa"/>
          </w:tcPr>
          <w:p>
            <w:pPr>
              <w:pStyle w:val="0"/>
              <w:jc w:val="center"/>
            </w:pPr>
            <w:r>
              <w:rPr>
                <w:sz w:val="20"/>
              </w:rPr>
              <w:t xml:space="preserve">9</w:t>
            </w:r>
          </w:p>
        </w:tc>
        <w:tc>
          <w:tcPr>
            <w:tcW w:w="1587" w:type="dxa"/>
          </w:tcPr>
          <w:p>
            <w:pPr>
              <w:pStyle w:val="0"/>
              <w:jc w:val="center"/>
            </w:pPr>
            <w:r>
              <w:rPr>
                <w:sz w:val="20"/>
              </w:rPr>
              <w:t xml:space="preserve">10</w:t>
            </w:r>
          </w:p>
        </w:tc>
        <w:tc>
          <w:tcPr>
            <w:tcW w:w="1587" w:type="dxa"/>
          </w:tcPr>
          <w:p>
            <w:pPr>
              <w:pStyle w:val="0"/>
              <w:jc w:val="center"/>
            </w:pPr>
            <w:r>
              <w:rPr>
                <w:sz w:val="20"/>
              </w:rPr>
              <w:t xml:space="preserve">11</w:t>
            </w:r>
          </w:p>
        </w:tc>
        <w:tc>
          <w:tcPr>
            <w:tcW w:w="1587" w:type="dxa"/>
          </w:tcPr>
          <w:p>
            <w:pPr>
              <w:pStyle w:val="0"/>
              <w:jc w:val="center"/>
            </w:pPr>
            <w:r>
              <w:rPr>
                <w:sz w:val="20"/>
              </w:rPr>
              <w:t xml:space="preserve">12</w:t>
            </w:r>
          </w:p>
        </w:tc>
        <w:tc>
          <w:tcPr>
            <w:tcW w:w="1701" w:type="dxa"/>
          </w:tcPr>
          <w:p>
            <w:pPr>
              <w:pStyle w:val="0"/>
              <w:jc w:val="center"/>
            </w:pPr>
            <w:r>
              <w:rPr>
                <w:sz w:val="20"/>
              </w:rPr>
              <w:t xml:space="preserve">13</w:t>
            </w:r>
          </w:p>
        </w:tc>
        <w:tc>
          <w:tcPr>
            <w:tcW w:w="1587" w:type="dxa"/>
          </w:tcPr>
          <w:p>
            <w:pPr>
              <w:pStyle w:val="0"/>
              <w:jc w:val="center"/>
            </w:pPr>
            <w:r>
              <w:rPr>
                <w:sz w:val="20"/>
              </w:rPr>
              <w:t xml:space="preserve">14</w:t>
            </w:r>
          </w:p>
        </w:tc>
        <w:tc>
          <w:tcPr>
            <w:tcW w:w="1701" w:type="dxa"/>
          </w:tcPr>
          <w:p>
            <w:pPr>
              <w:pStyle w:val="0"/>
              <w:jc w:val="center"/>
            </w:pPr>
            <w:r>
              <w:rPr>
                <w:sz w:val="20"/>
              </w:rPr>
              <w:t xml:space="preserve">15</w:t>
            </w:r>
          </w:p>
        </w:tc>
        <w:tc>
          <w:tcPr>
            <w:tcW w:w="1644" w:type="dxa"/>
          </w:tcPr>
          <w:p>
            <w:pPr>
              <w:pStyle w:val="0"/>
              <w:jc w:val="center"/>
            </w:pPr>
            <w:r>
              <w:rPr>
                <w:sz w:val="20"/>
              </w:rPr>
              <w:t xml:space="preserve">16</w:t>
            </w:r>
          </w:p>
        </w:tc>
      </w:tr>
      <w:tr>
        <w:tc>
          <w:tcPr>
            <w:tcW w:w="907" w:type="dxa"/>
            <w:vMerge w:val="restart"/>
          </w:tcPr>
          <w:p>
            <w:pPr>
              <w:pStyle w:val="0"/>
            </w:pPr>
            <w:r>
              <w:rPr>
                <w:sz w:val="20"/>
              </w:rPr>
              <w:t xml:space="preserve">1</w:t>
            </w:r>
          </w:p>
        </w:tc>
        <w:tc>
          <w:tcPr>
            <w:tcW w:w="2608" w:type="dxa"/>
            <w:vMerge w:val="restart"/>
          </w:tcPr>
          <w:p>
            <w:pPr>
              <w:pStyle w:val="0"/>
            </w:pPr>
            <w:r>
              <w:rPr>
                <w:sz w:val="20"/>
              </w:rPr>
              <w:t xml:space="preserve">АО "Особая экономическая зона технико-внедренческого типа "Дубна"</w:t>
            </w:r>
          </w:p>
        </w:tc>
        <w:tc>
          <w:tcPr>
            <w:tcW w:w="2438" w:type="dxa"/>
            <w:vMerge w:val="restart"/>
          </w:tcPr>
          <w:p>
            <w:pPr>
              <w:pStyle w:val="0"/>
            </w:pPr>
            <w:r>
              <w:rPr>
                <w:sz w:val="20"/>
              </w:rPr>
              <w:t xml:space="preserve">Х</w:t>
            </w:r>
          </w:p>
        </w:tc>
        <w:tc>
          <w:tcPr>
            <w:tcW w:w="1531" w:type="dxa"/>
            <w:vMerge w:val="restart"/>
          </w:tcPr>
          <w:p>
            <w:pPr>
              <w:pStyle w:val="0"/>
            </w:pPr>
            <w:r>
              <w:rPr>
                <w:sz w:val="20"/>
              </w:rPr>
              <w:t xml:space="preserve">Х</w:t>
            </w:r>
          </w:p>
        </w:tc>
        <w:tc>
          <w:tcPr>
            <w:tcW w:w="2608" w:type="dxa"/>
            <w:vMerge w:val="restart"/>
          </w:tcPr>
          <w:p>
            <w:pPr>
              <w:pStyle w:val="0"/>
            </w:pPr>
            <w:r>
              <w:rPr>
                <w:sz w:val="20"/>
              </w:rPr>
              <w:t xml:space="preserve">Х</w:t>
            </w:r>
          </w:p>
        </w:tc>
        <w:tc>
          <w:tcPr>
            <w:tcW w:w="2268"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644" w:type="dxa"/>
          </w:tcPr>
          <w:p>
            <w:pPr>
              <w:pStyle w:val="0"/>
            </w:pPr>
            <w:r>
              <w:rPr>
                <w:sz w:val="20"/>
              </w:rPr>
              <w:t xml:space="preserve">462687,87</w:t>
            </w:r>
          </w:p>
        </w:tc>
        <w:tc>
          <w:tcPr>
            <w:tcW w:w="1814" w:type="dxa"/>
          </w:tcPr>
          <w:p>
            <w:pPr>
              <w:pStyle w:val="0"/>
            </w:pPr>
            <w:r>
              <w:rPr>
                <w:sz w:val="20"/>
              </w:rPr>
              <w:t xml:space="preserve">Итого:</w:t>
            </w:r>
          </w:p>
        </w:tc>
        <w:tc>
          <w:tcPr>
            <w:tcW w:w="1587" w:type="dxa"/>
          </w:tcPr>
          <w:p>
            <w:pPr>
              <w:pStyle w:val="0"/>
            </w:pPr>
            <w:r>
              <w:rPr>
                <w:sz w:val="20"/>
              </w:rPr>
              <w:t xml:space="preserve">6442356,83</w:t>
            </w:r>
          </w:p>
        </w:tc>
        <w:tc>
          <w:tcPr>
            <w:tcW w:w="1587" w:type="dxa"/>
          </w:tcPr>
          <w:p>
            <w:pPr>
              <w:pStyle w:val="0"/>
            </w:pPr>
            <w:r>
              <w:rPr>
                <w:sz w:val="20"/>
              </w:rPr>
              <w:t xml:space="preserve">2184170,23</w:t>
            </w:r>
          </w:p>
        </w:tc>
        <w:tc>
          <w:tcPr>
            <w:tcW w:w="1587" w:type="dxa"/>
          </w:tcPr>
          <w:p>
            <w:pPr>
              <w:pStyle w:val="0"/>
            </w:pPr>
            <w:r>
              <w:rPr>
                <w:sz w:val="20"/>
              </w:rPr>
              <w:t xml:space="preserve">473183,42</w:t>
            </w:r>
          </w:p>
        </w:tc>
        <w:tc>
          <w:tcPr>
            <w:tcW w:w="1701" w:type="dxa"/>
          </w:tcPr>
          <w:p>
            <w:pPr>
              <w:pStyle w:val="0"/>
            </w:pPr>
            <w:r>
              <w:rPr>
                <w:sz w:val="20"/>
              </w:rPr>
              <w:t xml:space="preserve">2947691,42</w:t>
            </w:r>
          </w:p>
        </w:tc>
        <w:tc>
          <w:tcPr>
            <w:tcW w:w="1587" w:type="dxa"/>
          </w:tcPr>
          <w:p>
            <w:pPr>
              <w:pStyle w:val="0"/>
            </w:pPr>
            <w:r>
              <w:rPr>
                <w:sz w:val="20"/>
              </w:rPr>
              <w:t xml:space="preserve">837311,76</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241845,00</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6396565,47</w:t>
            </w:r>
          </w:p>
        </w:tc>
        <w:tc>
          <w:tcPr>
            <w:tcW w:w="1587" w:type="dxa"/>
          </w:tcPr>
          <w:p>
            <w:pPr>
              <w:pStyle w:val="0"/>
            </w:pPr>
            <w:r>
              <w:rPr>
                <w:sz w:val="20"/>
              </w:rPr>
              <w:t xml:space="preserve">2142259,72</w:t>
            </w:r>
          </w:p>
        </w:tc>
        <w:tc>
          <w:tcPr>
            <w:tcW w:w="1587" w:type="dxa"/>
          </w:tcPr>
          <w:p>
            <w:pPr>
              <w:pStyle w:val="0"/>
            </w:pPr>
            <w:r>
              <w:rPr>
                <w:sz w:val="20"/>
              </w:rPr>
              <w:t xml:space="preserve">469302,57</w:t>
            </w:r>
          </w:p>
        </w:tc>
        <w:tc>
          <w:tcPr>
            <w:tcW w:w="1701" w:type="dxa"/>
          </w:tcPr>
          <w:p>
            <w:pPr>
              <w:pStyle w:val="0"/>
            </w:pPr>
            <w:r>
              <w:rPr>
                <w:sz w:val="20"/>
              </w:rPr>
              <w:t xml:space="preserve">2947691,42</w:t>
            </w:r>
          </w:p>
        </w:tc>
        <w:tc>
          <w:tcPr>
            <w:tcW w:w="1587" w:type="dxa"/>
          </w:tcPr>
          <w:p>
            <w:pPr>
              <w:pStyle w:val="0"/>
            </w:pPr>
            <w:r>
              <w:rPr>
                <w:sz w:val="20"/>
              </w:rPr>
              <w:t xml:space="preserve">837311,76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220842,87</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45791,36</w:t>
            </w:r>
          </w:p>
        </w:tc>
        <w:tc>
          <w:tcPr>
            <w:tcW w:w="1587" w:type="dxa"/>
          </w:tcPr>
          <w:p>
            <w:pPr>
              <w:pStyle w:val="0"/>
            </w:pPr>
            <w:r>
              <w:rPr>
                <w:sz w:val="20"/>
              </w:rPr>
              <w:t xml:space="preserve">41910,51</w:t>
            </w:r>
          </w:p>
        </w:tc>
        <w:tc>
          <w:tcPr>
            <w:tcW w:w="1587" w:type="dxa"/>
          </w:tcPr>
          <w:p>
            <w:pPr>
              <w:pStyle w:val="0"/>
            </w:pPr>
            <w:r>
              <w:rPr>
                <w:sz w:val="20"/>
              </w:rPr>
              <w:t xml:space="preserve">3880,85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w:t>
            </w:r>
          </w:p>
        </w:tc>
        <w:tc>
          <w:tcPr>
            <w:tcW w:w="2608" w:type="dxa"/>
            <w:vMerge w:val="restart"/>
          </w:tcPr>
          <w:p>
            <w:pPr>
              <w:pStyle w:val="0"/>
            </w:pPr>
            <w:r>
              <w:rPr>
                <w:sz w:val="20"/>
              </w:rPr>
              <w:t xml:space="preserve">Газопровод района Российского центра программирования в г. Дубне Московской области (4-я очередь)</w:t>
            </w:r>
          </w:p>
        </w:tc>
        <w:tc>
          <w:tcPr>
            <w:tcW w:w="2438" w:type="dxa"/>
            <w:vMerge w:val="restart"/>
          </w:tcPr>
          <w:p>
            <w:pPr>
              <w:pStyle w:val="0"/>
            </w:pPr>
            <w:r>
              <w:rPr>
                <w:sz w:val="20"/>
              </w:rPr>
              <w:t xml:space="preserve">28.06.2022-15.12.2025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1248 м</w:t>
            </w:r>
          </w:p>
        </w:tc>
        <w:tc>
          <w:tcPr>
            <w:tcW w:w="1701" w:type="dxa"/>
            <w:vMerge w:val="restart"/>
          </w:tcPr>
          <w:p>
            <w:pPr>
              <w:pStyle w:val="0"/>
            </w:pPr>
            <w:r>
              <w:rPr>
                <w:sz w:val="20"/>
              </w:rPr>
              <w:t xml:space="preserve">12276,88</w:t>
            </w:r>
          </w:p>
        </w:tc>
        <w:tc>
          <w:tcPr>
            <w:tcW w:w="1644" w:type="dxa"/>
          </w:tcPr>
          <w:p>
            <w:pPr>
              <w:pStyle w:val="0"/>
            </w:pPr>
            <w:r>
              <w:rPr>
                <w:sz w:val="20"/>
              </w:rPr>
              <w:t xml:space="preserve">2999,05</w:t>
            </w:r>
          </w:p>
        </w:tc>
        <w:tc>
          <w:tcPr>
            <w:tcW w:w="1814" w:type="dxa"/>
          </w:tcPr>
          <w:p>
            <w:pPr>
              <w:pStyle w:val="0"/>
            </w:pPr>
            <w:r>
              <w:rPr>
                <w:sz w:val="20"/>
              </w:rPr>
              <w:t xml:space="preserve">Итого по объекту:</w:t>
            </w:r>
          </w:p>
        </w:tc>
        <w:tc>
          <w:tcPr>
            <w:tcW w:w="1587" w:type="dxa"/>
          </w:tcPr>
          <w:p>
            <w:pPr>
              <w:pStyle w:val="0"/>
            </w:pPr>
            <w:r>
              <w:rPr>
                <w:sz w:val="20"/>
              </w:rPr>
              <w:t xml:space="preserve">9277,83</w:t>
            </w:r>
          </w:p>
        </w:tc>
        <w:tc>
          <w:tcPr>
            <w:tcW w:w="1587" w:type="dxa"/>
          </w:tcPr>
          <w:p>
            <w:pPr>
              <w:pStyle w:val="0"/>
            </w:pPr>
            <w:r>
              <w:rPr>
                <w:sz w:val="20"/>
              </w:rPr>
              <w:t xml:space="preserve">663,78</w:t>
            </w:r>
          </w:p>
        </w:tc>
        <w:tc>
          <w:tcPr>
            <w:tcW w:w="1587" w:type="dxa"/>
          </w:tcPr>
          <w:p>
            <w:pPr>
              <w:pStyle w:val="0"/>
            </w:pPr>
            <w:r>
              <w:rPr>
                <w:sz w:val="20"/>
              </w:rPr>
              <w:t xml:space="preserve">8614,05</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9244,91</w:t>
            </w:r>
          </w:p>
        </w:tc>
        <w:tc>
          <w:tcPr>
            <w:tcW w:w="1587" w:type="dxa"/>
          </w:tcPr>
          <w:p>
            <w:pPr>
              <w:pStyle w:val="0"/>
            </w:pPr>
            <w:r>
              <w:rPr>
                <w:sz w:val="20"/>
              </w:rPr>
              <w:t xml:space="preserve">630,86</w:t>
            </w:r>
          </w:p>
        </w:tc>
        <w:tc>
          <w:tcPr>
            <w:tcW w:w="1587" w:type="dxa"/>
          </w:tcPr>
          <w:p>
            <w:pPr>
              <w:pStyle w:val="0"/>
            </w:pPr>
            <w:r>
              <w:rPr>
                <w:sz w:val="20"/>
              </w:rPr>
              <w:t xml:space="preserve">8614,05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2999,05</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32,92</w:t>
            </w:r>
          </w:p>
        </w:tc>
        <w:tc>
          <w:tcPr>
            <w:tcW w:w="1587" w:type="dxa"/>
          </w:tcPr>
          <w:p>
            <w:pPr>
              <w:pStyle w:val="0"/>
            </w:pPr>
            <w:r>
              <w:rPr>
                <w:sz w:val="20"/>
              </w:rPr>
              <w:t xml:space="preserve">32,92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3031,97</w:t>
            </w:r>
          </w:p>
        </w:tc>
        <w:tc>
          <w:tcPr>
            <w:tcW w:w="1644" w:type="dxa"/>
          </w:tcPr>
          <w:p>
            <w:pPr>
              <w:pStyle w:val="0"/>
            </w:pPr>
            <w:r>
              <w:rPr>
                <w:sz w:val="20"/>
              </w:rPr>
              <w:t xml:space="preserve">2999,05</w:t>
            </w:r>
          </w:p>
        </w:tc>
        <w:tc>
          <w:tcPr>
            <w:tcW w:w="1814" w:type="dxa"/>
          </w:tcPr>
          <w:p>
            <w:pPr>
              <w:pStyle w:val="0"/>
            </w:pPr>
            <w:r>
              <w:rPr>
                <w:sz w:val="20"/>
              </w:rPr>
              <w:t xml:space="preserve">Итого:</w:t>
            </w:r>
          </w:p>
        </w:tc>
        <w:tc>
          <w:tcPr>
            <w:tcW w:w="1587" w:type="dxa"/>
          </w:tcPr>
          <w:p>
            <w:pPr>
              <w:pStyle w:val="0"/>
            </w:pPr>
            <w:r>
              <w:rPr>
                <w:sz w:val="20"/>
              </w:rPr>
              <w:t xml:space="preserve">32,92</w:t>
            </w:r>
          </w:p>
        </w:tc>
        <w:tc>
          <w:tcPr>
            <w:tcW w:w="1587" w:type="dxa"/>
          </w:tcPr>
          <w:p>
            <w:pPr>
              <w:pStyle w:val="0"/>
            </w:pPr>
            <w:r>
              <w:rPr>
                <w:sz w:val="20"/>
              </w:rPr>
              <w:t xml:space="preserve">32,92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2999,05</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32,92</w:t>
            </w:r>
          </w:p>
        </w:tc>
        <w:tc>
          <w:tcPr>
            <w:tcW w:w="1587" w:type="dxa"/>
          </w:tcPr>
          <w:p>
            <w:pPr>
              <w:pStyle w:val="0"/>
            </w:pPr>
            <w:r>
              <w:rPr>
                <w:sz w:val="20"/>
              </w:rPr>
              <w:t xml:space="preserve">32,92</w:t>
            </w:r>
          </w:p>
        </w:tc>
        <w:tc>
          <w:tcPr>
            <w:tcW w:w="1587" w:type="dxa"/>
          </w:tcPr>
          <w:p>
            <w:pPr>
              <w:pStyle w:val="0"/>
            </w:pPr>
            <w:r>
              <w:rPr>
                <w:sz w:val="20"/>
              </w:rPr>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9039,30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9039,30</w:t>
            </w:r>
          </w:p>
        </w:tc>
        <w:tc>
          <w:tcPr>
            <w:tcW w:w="1587" w:type="dxa"/>
          </w:tcPr>
          <w:p>
            <w:pPr>
              <w:pStyle w:val="0"/>
            </w:pPr>
            <w:r>
              <w:rPr>
                <w:sz w:val="20"/>
              </w:rPr>
              <w:t xml:space="preserve">630,86</w:t>
            </w:r>
          </w:p>
        </w:tc>
        <w:tc>
          <w:tcPr>
            <w:tcW w:w="1587" w:type="dxa"/>
          </w:tcPr>
          <w:p>
            <w:pPr>
              <w:pStyle w:val="0"/>
            </w:pPr>
            <w:r>
              <w:rPr>
                <w:sz w:val="20"/>
              </w:rPr>
              <w:t xml:space="preserve">8408,44</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9039,30</w:t>
            </w:r>
          </w:p>
        </w:tc>
        <w:tc>
          <w:tcPr>
            <w:tcW w:w="1587" w:type="dxa"/>
          </w:tcPr>
          <w:p>
            <w:pPr>
              <w:pStyle w:val="0"/>
            </w:pPr>
            <w:r>
              <w:rPr>
                <w:sz w:val="20"/>
              </w:rPr>
              <w:t xml:space="preserve">630,86</w:t>
            </w:r>
          </w:p>
        </w:tc>
        <w:tc>
          <w:tcPr>
            <w:tcW w:w="1587" w:type="dxa"/>
          </w:tcPr>
          <w:p>
            <w:pPr>
              <w:pStyle w:val="0"/>
            </w:pPr>
            <w:r>
              <w:rPr>
                <w:sz w:val="20"/>
              </w:rPr>
              <w:t xml:space="preserve">8408,44</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205,61</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205,61</w:t>
            </w:r>
          </w:p>
        </w:tc>
        <w:tc>
          <w:tcPr>
            <w:tcW w:w="1587" w:type="dxa"/>
          </w:tcPr>
          <w:p>
            <w:pPr>
              <w:pStyle w:val="0"/>
            </w:pPr>
            <w:r>
              <w:rPr>
                <w:sz w:val="20"/>
              </w:rPr>
              <w:t xml:space="preserve">-</w:t>
            </w:r>
          </w:p>
        </w:tc>
        <w:tc>
          <w:tcPr>
            <w:tcW w:w="1587" w:type="dxa"/>
          </w:tcPr>
          <w:p>
            <w:pPr>
              <w:pStyle w:val="0"/>
            </w:pPr>
            <w:r>
              <w:rPr>
                <w:sz w:val="20"/>
              </w:rPr>
              <w:t xml:space="preserve">205,61</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205,61</w:t>
            </w:r>
          </w:p>
        </w:tc>
        <w:tc>
          <w:tcPr>
            <w:tcW w:w="1587" w:type="dxa"/>
          </w:tcPr>
          <w:p>
            <w:pPr>
              <w:pStyle w:val="0"/>
            </w:pPr>
            <w:r>
              <w:rPr>
                <w:sz w:val="20"/>
              </w:rPr>
              <w:t xml:space="preserve">-</w:t>
            </w:r>
          </w:p>
        </w:tc>
        <w:tc>
          <w:tcPr>
            <w:tcW w:w="1587" w:type="dxa"/>
          </w:tcPr>
          <w:p>
            <w:pPr>
              <w:pStyle w:val="0"/>
            </w:pPr>
            <w:r>
              <w:rPr>
                <w:sz w:val="20"/>
              </w:rPr>
              <w:t xml:space="preserve">205,61</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1.2</w:t>
            </w:r>
          </w:p>
        </w:tc>
        <w:tc>
          <w:tcPr>
            <w:tcW w:w="2608" w:type="dxa"/>
            <w:vMerge w:val="restart"/>
          </w:tcPr>
          <w:p>
            <w:pPr>
              <w:pStyle w:val="0"/>
            </w:pPr>
            <w:r>
              <w:rPr>
                <w:sz w:val="20"/>
              </w:rPr>
              <w:t xml:space="preserve">Центральные распределительные подстанции N 4 и N 5 с периферийным сооружением и кабельными линиями района Российского центра программирования в г. Дубне Московской области</w:t>
            </w:r>
          </w:p>
        </w:tc>
        <w:tc>
          <w:tcPr>
            <w:tcW w:w="2438" w:type="dxa"/>
            <w:vMerge w:val="restart"/>
          </w:tcPr>
          <w:p>
            <w:pPr>
              <w:pStyle w:val="0"/>
            </w:pPr>
            <w:r>
              <w:rPr>
                <w:sz w:val="20"/>
              </w:rPr>
              <w:t xml:space="preserve">28.06.2022-15.12.2025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Площадь застройки 263,9 кв. м, протяженность кабельных линий 5530 м</w:t>
            </w:r>
          </w:p>
        </w:tc>
        <w:tc>
          <w:tcPr>
            <w:tcW w:w="1701" w:type="dxa"/>
            <w:vMerge w:val="restart"/>
          </w:tcPr>
          <w:p>
            <w:pPr>
              <w:pStyle w:val="0"/>
            </w:pPr>
            <w:r>
              <w:rPr>
                <w:sz w:val="20"/>
              </w:rPr>
              <w:t xml:space="preserve">348654,41</w:t>
            </w:r>
          </w:p>
        </w:tc>
        <w:tc>
          <w:tcPr>
            <w:tcW w:w="1644" w:type="dxa"/>
          </w:tcPr>
          <w:p>
            <w:pPr>
              <w:pStyle w:val="0"/>
            </w:pPr>
            <w:r>
              <w:rPr>
                <w:sz w:val="20"/>
              </w:rPr>
              <w:t xml:space="preserve">5110,18</w:t>
            </w:r>
          </w:p>
        </w:tc>
        <w:tc>
          <w:tcPr>
            <w:tcW w:w="1814" w:type="dxa"/>
          </w:tcPr>
          <w:p>
            <w:pPr>
              <w:pStyle w:val="0"/>
            </w:pPr>
            <w:r>
              <w:rPr>
                <w:sz w:val="20"/>
              </w:rPr>
              <w:t xml:space="preserve">Итого по объекту:</w:t>
            </w:r>
          </w:p>
        </w:tc>
        <w:tc>
          <w:tcPr>
            <w:tcW w:w="1587" w:type="dxa"/>
          </w:tcPr>
          <w:p>
            <w:pPr>
              <w:pStyle w:val="0"/>
            </w:pPr>
            <w:r>
              <w:rPr>
                <w:sz w:val="20"/>
              </w:rPr>
              <w:t xml:space="preserve">343544,23</w:t>
            </w:r>
          </w:p>
        </w:tc>
        <w:tc>
          <w:tcPr>
            <w:tcW w:w="1587" w:type="dxa"/>
          </w:tcPr>
          <w:p>
            <w:pPr>
              <w:pStyle w:val="0"/>
            </w:pPr>
            <w:r>
              <w:rPr>
                <w:sz w:val="20"/>
              </w:rPr>
              <w:t xml:space="preserve">251345,05</w:t>
            </w:r>
          </w:p>
        </w:tc>
        <w:tc>
          <w:tcPr>
            <w:tcW w:w="1587" w:type="dxa"/>
          </w:tcPr>
          <w:p>
            <w:pPr>
              <w:pStyle w:val="0"/>
            </w:pPr>
            <w:r>
              <w:rPr>
                <w:sz w:val="20"/>
              </w:rPr>
              <w:t xml:space="preserve">92199,18</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343544,23</w:t>
            </w:r>
          </w:p>
        </w:tc>
        <w:tc>
          <w:tcPr>
            <w:tcW w:w="1587" w:type="dxa"/>
          </w:tcPr>
          <w:p>
            <w:pPr>
              <w:pStyle w:val="0"/>
            </w:pPr>
            <w:r>
              <w:rPr>
                <w:sz w:val="20"/>
              </w:rPr>
              <w:t xml:space="preserve">251345,05</w:t>
            </w:r>
          </w:p>
        </w:tc>
        <w:tc>
          <w:tcPr>
            <w:tcW w:w="1587" w:type="dxa"/>
          </w:tcPr>
          <w:p>
            <w:pPr>
              <w:pStyle w:val="0"/>
            </w:pPr>
            <w:r>
              <w:rPr>
                <w:sz w:val="20"/>
              </w:rPr>
              <w:t xml:space="preserve">92199,18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5110,18</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5110,18</w:t>
            </w:r>
          </w:p>
        </w:tc>
        <w:tc>
          <w:tcPr>
            <w:tcW w:w="1644" w:type="dxa"/>
          </w:tcPr>
          <w:p>
            <w:pPr>
              <w:pStyle w:val="0"/>
            </w:pPr>
            <w:r>
              <w:rPr>
                <w:sz w:val="20"/>
              </w:rPr>
              <w:t xml:space="preserve">5110,18</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5110,18</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336522,31</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336522,31</w:t>
            </w:r>
          </w:p>
        </w:tc>
        <w:tc>
          <w:tcPr>
            <w:tcW w:w="1587" w:type="dxa"/>
          </w:tcPr>
          <w:p>
            <w:pPr>
              <w:pStyle w:val="0"/>
            </w:pPr>
            <w:r>
              <w:rPr>
                <w:sz w:val="20"/>
              </w:rPr>
              <w:t xml:space="preserve">246207,59</w:t>
            </w:r>
          </w:p>
        </w:tc>
        <w:tc>
          <w:tcPr>
            <w:tcW w:w="1587" w:type="dxa"/>
          </w:tcPr>
          <w:p>
            <w:pPr>
              <w:pStyle w:val="0"/>
            </w:pPr>
            <w:r>
              <w:rPr>
                <w:sz w:val="20"/>
              </w:rPr>
              <w:t xml:space="preserve">90314,72</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336522,31</w:t>
            </w:r>
          </w:p>
        </w:tc>
        <w:tc>
          <w:tcPr>
            <w:tcW w:w="1587" w:type="dxa"/>
          </w:tcPr>
          <w:p>
            <w:pPr>
              <w:pStyle w:val="0"/>
            </w:pPr>
            <w:r>
              <w:rPr>
                <w:sz w:val="20"/>
              </w:rPr>
              <w:t xml:space="preserve">246207,59</w:t>
            </w:r>
          </w:p>
        </w:tc>
        <w:tc>
          <w:tcPr>
            <w:tcW w:w="1587" w:type="dxa"/>
          </w:tcPr>
          <w:p>
            <w:pPr>
              <w:pStyle w:val="0"/>
            </w:pPr>
            <w:r>
              <w:rPr>
                <w:sz w:val="20"/>
              </w:rPr>
              <w:t xml:space="preserve">90314,72</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7021,92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7021,92</w:t>
            </w:r>
          </w:p>
        </w:tc>
        <w:tc>
          <w:tcPr>
            <w:tcW w:w="1587" w:type="dxa"/>
          </w:tcPr>
          <w:p>
            <w:pPr>
              <w:pStyle w:val="0"/>
            </w:pPr>
            <w:r>
              <w:rPr>
                <w:sz w:val="20"/>
              </w:rPr>
              <w:t xml:space="preserve">5137,46</w:t>
            </w:r>
          </w:p>
        </w:tc>
        <w:tc>
          <w:tcPr>
            <w:tcW w:w="1587" w:type="dxa"/>
          </w:tcPr>
          <w:p>
            <w:pPr>
              <w:pStyle w:val="0"/>
            </w:pPr>
            <w:r>
              <w:rPr>
                <w:sz w:val="20"/>
              </w:rPr>
              <w:t xml:space="preserve">1884,46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7021,92</w:t>
            </w:r>
          </w:p>
        </w:tc>
        <w:tc>
          <w:tcPr>
            <w:tcW w:w="1587" w:type="dxa"/>
          </w:tcPr>
          <w:p>
            <w:pPr>
              <w:pStyle w:val="0"/>
            </w:pPr>
            <w:r>
              <w:rPr>
                <w:sz w:val="20"/>
              </w:rPr>
              <w:t xml:space="preserve">5137,46</w:t>
            </w:r>
          </w:p>
        </w:tc>
        <w:tc>
          <w:tcPr>
            <w:tcW w:w="1587" w:type="dxa"/>
          </w:tcPr>
          <w:p>
            <w:pPr>
              <w:pStyle w:val="0"/>
            </w:pPr>
            <w:r>
              <w:rPr>
                <w:sz w:val="20"/>
              </w:rPr>
              <w:t xml:space="preserve">1884,46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1.3</w:t>
            </w:r>
          </w:p>
        </w:tc>
        <w:tc>
          <w:tcPr>
            <w:tcW w:w="2608" w:type="dxa"/>
            <w:vMerge w:val="restart"/>
          </w:tcPr>
          <w:p>
            <w:pPr>
              <w:pStyle w:val="0"/>
            </w:pPr>
            <w:r>
              <w:rPr>
                <w:sz w:val="20"/>
              </w:rPr>
              <w:t xml:space="preserve">Водопроводные сети и канализационные коллекторы; прокладка сетей телекоммуникаций, информационно-вычислительных сетей района Российского центра программирования в г. Дубна Московской области (4-я очередь)</w:t>
            </w:r>
          </w:p>
        </w:tc>
        <w:tc>
          <w:tcPr>
            <w:tcW w:w="2438" w:type="dxa"/>
            <w:vMerge w:val="restart"/>
          </w:tcPr>
          <w:p>
            <w:pPr>
              <w:pStyle w:val="0"/>
            </w:pPr>
            <w:r>
              <w:rPr>
                <w:sz w:val="20"/>
              </w:rPr>
              <w:t xml:space="preserve">28.06.2022-15.12.2025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Протяженность водопроводных сетей - 2407 м, самотечных сетей бытовой канализации - 1467,5 м, напорных сетей бытовой канализации - 1622,4 м, самотечных сетей дождевой канализации - 1379,9 м, напорных сетей дождевой канализации - 2739 м, электрических сетей 0,4 кВ - 244 м, сетей телефонной канализации - 1783,0 м, кабельной линии волоконно-оптического кабеля - 6447,2 м, КНС бытовых стоков - 156 куб. м/час, ЛНС дождевых стоков - 907 л/с</w:t>
            </w:r>
          </w:p>
        </w:tc>
        <w:tc>
          <w:tcPr>
            <w:tcW w:w="1701" w:type="dxa"/>
            <w:vMerge w:val="restart"/>
          </w:tcPr>
          <w:p>
            <w:pPr>
              <w:pStyle w:val="0"/>
            </w:pPr>
            <w:r>
              <w:rPr>
                <w:sz w:val="20"/>
              </w:rPr>
              <w:t xml:space="preserve">803724,22</w:t>
            </w:r>
          </w:p>
        </w:tc>
        <w:tc>
          <w:tcPr>
            <w:tcW w:w="1644" w:type="dxa"/>
          </w:tcPr>
          <w:p>
            <w:pPr>
              <w:pStyle w:val="0"/>
            </w:pPr>
            <w:r>
              <w:rPr>
                <w:sz w:val="20"/>
              </w:rPr>
              <w:t xml:space="preserve">128788,98</w:t>
            </w:r>
          </w:p>
        </w:tc>
        <w:tc>
          <w:tcPr>
            <w:tcW w:w="1814" w:type="dxa"/>
          </w:tcPr>
          <w:p>
            <w:pPr>
              <w:pStyle w:val="0"/>
            </w:pPr>
            <w:r>
              <w:rPr>
                <w:sz w:val="20"/>
              </w:rPr>
              <w:t xml:space="preserve">Итого по объекту:</w:t>
            </w:r>
          </w:p>
        </w:tc>
        <w:tc>
          <w:tcPr>
            <w:tcW w:w="1587" w:type="dxa"/>
          </w:tcPr>
          <w:p>
            <w:pPr>
              <w:pStyle w:val="0"/>
            </w:pPr>
            <w:r>
              <w:rPr>
                <w:sz w:val="20"/>
              </w:rPr>
              <w:t xml:space="preserve">674935,24</w:t>
            </w:r>
          </w:p>
        </w:tc>
        <w:tc>
          <w:tcPr>
            <w:tcW w:w="1587" w:type="dxa"/>
          </w:tcPr>
          <w:p>
            <w:pPr>
              <w:pStyle w:val="0"/>
            </w:pPr>
            <w:r>
              <w:rPr>
                <w:sz w:val="20"/>
              </w:rPr>
              <w:t xml:space="preserve">554468,33</w:t>
            </w:r>
          </w:p>
        </w:tc>
        <w:tc>
          <w:tcPr>
            <w:tcW w:w="1587" w:type="dxa"/>
          </w:tcPr>
          <w:p>
            <w:pPr>
              <w:pStyle w:val="0"/>
            </w:pPr>
            <w:r>
              <w:rPr>
                <w:sz w:val="20"/>
              </w:rPr>
              <w:t xml:space="preserve">120466,91</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111165,68</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674358,07</w:t>
            </w:r>
          </w:p>
        </w:tc>
        <w:tc>
          <w:tcPr>
            <w:tcW w:w="1587" w:type="dxa"/>
          </w:tcPr>
          <w:p>
            <w:pPr>
              <w:pStyle w:val="0"/>
            </w:pPr>
            <w:r>
              <w:rPr>
                <w:sz w:val="20"/>
              </w:rPr>
              <w:t xml:space="preserve">553891,16</w:t>
            </w:r>
          </w:p>
        </w:tc>
        <w:tc>
          <w:tcPr>
            <w:tcW w:w="1587" w:type="dxa"/>
          </w:tcPr>
          <w:p>
            <w:pPr>
              <w:pStyle w:val="0"/>
            </w:pPr>
            <w:r>
              <w:rPr>
                <w:sz w:val="20"/>
              </w:rPr>
              <w:t xml:space="preserve">120466,91</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17623,30</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577,17</w:t>
            </w:r>
          </w:p>
        </w:tc>
        <w:tc>
          <w:tcPr>
            <w:tcW w:w="1587" w:type="dxa"/>
          </w:tcPr>
          <w:p>
            <w:pPr>
              <w:pStyle w:val="0"/>
            </w:pPr>
            <w:r>
              <w:rPr>
                <w:sz w:val="20"/>
              </w:rPr>
              <w:t xml:space="preserve">577,17</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18200,47</w:t>
            </w:r>
          </w:p>
        </w:tc>
        <w:tc>
          <w:tcPr>
            <w:tcW w:w="1644" w:type="dxa"/>
          </w:tcPr>
          <w:p>
            <w:pPr>
              <w:pStyle w:val="0"/>
            </w:pPr>
            <w:r>
              <w:rPr>
                <w:sz w:val="20"/>
              </w:rPr>
              <w:t xml:space="preserve">17623,30</w:t>
            </w:r>
          </w:p>
        </w:tc>
        <w:tc>
          <w:tcPr>
            <w:tcW w:w="1814" w:type="dxa"/>
          </w:tcPr>
          <w:p>
            <w:pPr>
              <w:pStyle w:val="0"/>
            </w:pPr>
            <w:r>
              <w:rPr>
                <w:sz w:val="20"/>
              </w:rPr>
              <w:t xml:space="preserve">Итого:</w:t>
            </w:r>
          </w:p>
        </w:tc>
        <w:tc>
          <w:tcPr>
            <w:tcW w:w="1587" w:type="dxa"/>
          </w:tcPr>
          <w:p>
            <w:pPr>
              <w:pStyle w:val="0"/>
            </w:pPr>
            <w:r>
              <w:rPr>
                <w:sz w:val="20"/>
              </w:rPr>
              <w:t xml:space="preserve">577,17</w:t>
            </w:r>
          </w:p>
        </w:tc>
        <w:tc>
          <w:tcPr>
            <w:tcW w:w="1587" w:type="dxa"/>
          </w:tcPr>
          <w:p>
            <w:pPr>
              <w:pStyle w:val="0"/>
            </w:pPr>
            <w:r>
              <w:rPr>
                <w:sz w:val="20"/>
              </w:rPr>
              <w:t xml:space="preserve">577,17</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17623,30</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577,17</w:t>
            </w:r>
          </w:p>
        </w:tc>
        <w:tc>
          <w:tcPr>
            <w:tcW w:w="1587" w:type="dxa"/>
          </w:tcPr>
          <w:p>
            <w:pPr>
              <w:pStyle w:val="0"/>
            </w:pPr>
            <w:r>
              <w:rPr>
                <w:sz w:val="20"/>
              </w:rPr>
              <w:t xml:space="preserve">577,17</w:t>
            </w:r>
          </w:p>
        </w:tc>
        <w:tc>
          <w:tcPr>
            <w:tcW w:w="1587" w:type="dxa"/>
          </w:tcPr>
          <w:p>
            <w:pPr>
              <w:pStyle w:val="0"/>
            </w:pPr>
            <w:r>
              <w:rPr>
                <w:sz w:val="20"/>
              </w:rPr>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vMerge w:val="continue"/>
          </w:tcPr>
          <w:p/>
        </w:tc>
        <w:tc>
          <w:tcPr>
            <w:tcW w:w="1701" w:type="dxa"/>
            <w:vMerge w:val="restart"/>
          </w:tcPr>
          <w:p>
            <w:pPr>
              <w:pStyle w:val="0"/>
            </w:pPr>
            <w:r>
              <w:rPr>
                <w:sz w:val="20"/>
              </w:rPr>
              <w:t xml:space="preserve">732,91</w:t>
            </w:r>
          </w:p>
        </w:tc>
        <w:tc>
          <w:tcPr>
            <w:tcW w:w="1644" w:type="dxa"/>
          </w:tcPr>
          <w:p>
            <w:pPr>
              <w:pStyle w:val="0"/>
            </w:pPr>
            <w:r>
              <w:rPr>
                <w:sz w:val="20"/>
              </w:rPr>
              <w:t xml:space="preserve">732,91</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732,91</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761134,48</w:t>
            </w:r>
          </w:p>
        </w:tc>
        <w:tc>
          <w:tcPr>
            <w:tcW w:w="1644" w:type="dxa"/>
          </w:tcPr>
          <w:p>
            <w:pPr>
              <w:pStyle w:val="0"/>
            </w:pPr>
            <w:r>
              <w:rPr>
                <w:sz w:val="20"/>
              </w:rPr>
              <w:t xml:space="preserve">99742,81</w:t>
            </w:r>
          </w:p>
        </w:tc>
        <w:tc>
          <w:tcPr>
            <w:tcW w:w="1814" w:type="dxa"/>
          </w:tcPr>
          <w:p>
            <w:pPr>
              <w:pStyle w:val="0"/>
            </w:pPr>
            <w:r>
              <w:rPr>
                <w:sz w:val="20"/>
              </w:rPr>
              <w:t xml:space="preserve">Итого:</w:t>
            </w:r>
          </w:p>
        </w:tc>
        <w:tc>
          <w:tcPr>
            <w:tcW w:w="1587" w:type="dxa"/>
          </w:tcPr>
          <w:p>
            <w:pPr>
              <w:pStyle w:val="0"/>
            </w:pPr>
            <w:r>
              <w:rPr>
                <w:sz w:val="20"/>
              </w:rPr>
              <w:t xml:space="preserve">661391,67</w:t>
            </w:r>
          </w:p>
        </w:tc>
        <w:tc>
          <w:tcPr>
            <w:tcW w:w="1587" w:type="dxa"/>
          </w:tcPr>
          <w:p>
            <w:pPr>
              <w:pStyle w:val="0"/>
            </w:pPr>
            <w:r>
              <w:rPr>
                <w:sz w:val="20"/>
              </w:rPr>
              <w:t xml:space="preserve">542046,82</w:t>
            </w:r>
          </w:p>
        </w:tc>
        <w:tc>
          <w:tcPr>
            <w:tcW w:w="1587" w:type="dxa"/>
          </w:tcPr>
          <w:p>
            <w:pPr>
              <w:pStyle w:val="0"/>
            </w:pPr>
            <w:r>
              <w:rPr>
                <w:sz w:val="20"/>
              </w:rPr>
              <w:t xml:space="preserve">119344,85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99742,81</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661391,67</w:t>
            </w:r>
          </w:p>
        </w:tc>
        <w:tc>
          <w:tcPr>
            <w:tcW w:w="1587" w:type="dxa"/>
          </w:tcPr>
          <w:p>
            <w:pPr>
              <w:pStyle w:val="0"/>
            </w:pPr>
            <w:r>
              <w:rPr>
                <w:sz w:val="20"/>
              </w:rPr>
              <w:t xml:space="preserve">542046,82</w:t>
            </w:r>
          </w:p>
        </w:tc>
        <w:tc>
          <w:tcPr>
            <w:tcW w:w="1587" w:type="dxa"/>
          </w:tcPr>
          <w:p>
            <w:pPr>
              <w:pStyle w:val="0"/>
            </w:pPr>
            <w:r>
              <w:rPr>
                <w:sz w:val="20"/>
              </w:rPr>
              <w:t xml:space="preserve">119344,85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01" w:type="dxa"/>
            <w:vMerge w:val="restart"/>
          </w:tcPr>
          <w:p>
            <w:pPr>
              <w:pStyle w:val="0"/>
            </w:pPr>
            <w:r>
              <w:rPr>
                <w:sz w:val="20"/>
              </w:rPr>
              <w:t xml:space="preserve">8657,46</w:t>
            </w:r>
          </w:p>
        </w:tc>
        <w:tc>
          <w:tcPr>
            <w:tcW w:w="1644" w:type="dxa"/>
          </w:tcPr>
          <w:p>
            <w:pPr>
              <w:pStyle w:val="0"/>
            </w:pPr>
            <w:r>
              <w:rPr>
                <w:sz w:val="20"/>
              </w:rPr>
              <w:t xml:space="preserve">8657,46</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8657,46</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14998,90</w:t>
            </w:r>
          </w:p>
        </w:tc>
        <w:tc>
          <w:tcPr>
            <w:tcW w:w="1644" w:type="dxa"/>
          </w:tcPr>
          <w:p>
            <w:pPr>
              <w:pStyle w:val="0"/>
            </w:pPr>
            <w:r>
              <w:rPr>
                <w:sz w:val="20"/>
              </w:rPr>
              <w:t xml:space="preserve">2032,50</w:t>
            </w:r>
          </w:p>
        </w:tc>
        <w:tc>
          <w:tcPr>
            <w:tcW w:w="1814" w:type="dxa"/>
          </w:tcPr>
          <w:p>
            <w:pPr>
              <w:pStyle w:val="0"/>
            </w:pPr>
            <w:r>
              <w:rPr>
                <w:sz w:val="20"/>
              </w:rPr>
              <w:t xml:space="preserve">Итого:</w:t>
            </w:r>
          </w:p>
        </w:tc>
        <w:tc>
          <w:tcPr>
            <w:tcW w:w="1587" w:type="dxa"/>
          </w:tcPr>
          <w:p>
            <w:pPr>
              <w:pStyle w:val="0"/>
            </w:pPr>
            <w:r>
              <w:rPr>
                <w:sz w:val="20"/>
              </w:rPr>
              <w:t xml:space="preserve">12966,40</w:t>
            </w:r>
          </w:p>
        </w:tc>
        <w:tc>
          <w:tcPr>
            <w:tcW w:w="1587" w:type="dxa"/>
          </w:tcPr>
          <w:p>
            <w:pPr>
              <w:pStyle w:val="0"/>
            </w:pPr>
            <w:r>
              <w:rPr>
                <w:sz w:val="20"/>
              </w:rPr>
              <w:t xml:space="preserve">11844,34</w:t>
            </w:r>
          </w:p>
        </w:tc>
        <w:tc>
          <w:tcPr>
            <w:tcW w:w="1587" w:type="dxa"/>
          </w:tcPr>
          <w:p>
            <w:pPr>
              <w:pStyle w:val="0"/>
            </w:pPr>
            <w:r>
              <w:rPr>
                <w:sz w:val="20"/>
              </w:rPr>
              <w:t xml:space="preserve">1122,06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2032,50</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12966,40</w:t>
            </w:r>
          </w:p>
        </w:tc>
        <w:tc>
          <w:tcPr>
            <w:tcW w:w="1587" w:type="dxa"/>
          </w:tcPr>
          <w:p>
            <w:pPr>
              <w:pStyle w:val="0"/>
            </w:pPr>
            <w:r>
              <w:rPr>
                <w:sz w:val="20"/>
              </w:rPr>
              <w:t xml:space="preserve">11844,34</w:t>
            </w:r>
          </w:p>
        </w:tc>
        <w:tc>
          <w:tcPr>
            <w:tcW w:w="1587" w:type="dxa"/>
          </w:tcPr>
          <w:p>
            <w:pPr>
              <w:pStyle w:val="0"/>
            </w:pPr>
            <w:r>
              <w:rPr>
                <w:sz w:val="20"/>
              </w:rPr>
              <w:t xml:space="preserve">1122,06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1.4</w:t>
            </w:r>
          </w:p>
        </w:tc>
        <w:tc>
          <w:tcPr>
            <w:tcW w:w="2608" w:type="dxa"/>
            <w:vMerge w:val="restart"/>
          </w:tcPr>
          <w:p>
            <w:pPr>
              <w:pStyle w:val="0"/>
            </w:pPr>
            <w:r>
              <w:rPr>
                <w:sz w:val="20"/>
              </w:rPr>
              <w:t xml:space="preserve">Объекты таможенной инфраструктуры Особой экономической зоны в городе Дубне Московской области на площадке РЦП (Участок N 1) (4-я очередь). Инженерные сети КПП</w:t>
            </w:r>
          </w:p>
        </w:tc>
        <w:tc>
          <w:tcPr>
            <w:tcW w:w="2438" w:type="dxa"/>
            <w:vMerge w:val="restart"/>
          </w:tcPr>
          <w:p>
            <w:pPr>
              <w:pStyle w:val="0"/>
            </w:pPr>
            <w:r>
              <w:rPr>
                <w:sz w:val="20"/>
              </w:rPr>
              <w:t xml:space="preserve">28.06.2022-15.12.2025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r>
              <w:rPr>
                <w:sz w:val="20"/>
              </w:rPr>
              <w:t xml:space="preserve">Длина таможенного ограждения - 3125 м, площадь застройки - 420,6 кв. м</w:t>
            </w:r>
          </w:p>
        </w:tc>
        <w:tc>
          <w:tcPr>
            <w:tcW w:w="1701" w:type="dxa"/>
            <w:vMerge w:val="restart"/>
          </w:tcPr>
          <w:p>
            <w:pPr>
              <w:pStyle w:val="0"/>
            </w:pPr>
            <w:r>
              <w:rPr>
                <w:sz w:val="20"/>
              </w:rPr>
              <w:t xml:space="preserve">399982,41</w:t>
            </w:r>
          </w:p>
        </w:tc>
        <w:tc>
          <w:tcPr>
            <w:tcW w:w="1644" w:type="dxa"/>
          </w:tcPr>
          <w:p>
            <w:pPr>
              <w:pStyle w:val="0"/>
            </w:pPr>
            <w:r>
              <w:rPr>
                <w:sz w:val="20"/>
              </w:rPr>
              <w:t xml:space="preserve">5935,81</w:t>
            </w:r>
          </w:p>
        </w:tc>
        <w:tc>
          <w:tcPr>
            <w:tcW w:w="1814" w:type="dxa"/>
          </w:tcPr>
          <w:p>
            <w:pPr>
              <w:pStyle w:val="0"/>
            </w:pPr>
            <w:r>
              <w:rPr>
                <w:sz w:val="20"/>
              </w:rPr>
              <w:t xml:space="preserve">Итого по объекту:</w:t>
            </w:r>
          </w:p>
        </w:tc>
        <w:tc>
          <w:tcPr>
            <w:tcW w:w="1587" w:type="dxa"/>
          </w:tcPr>
          <w:p>
            <w:pPr>
              <w:pStyle w:val="0"/>
            </w:pPr>
            <w:r>
              <w:rPr>
                <w:sz w:val="20"/>
              </w:rPr>
              <w:t xml:space="preserve">394046,60</w:t>
            </w:r>
          </w:p>
        </w:tc>
        <w:tc>
          <w:tcPr>
            <w:tcW w:w="1587" w:type="dxa"/>
          </w:tcPr>
          <w:p>
            <w:pPr>
              <w:pStyle w:val="0"/>
            </w:pPr>
            <w:r>
              <w:rPr>
                <w:sz w:val="20"/>
              </w:rPr>
              <w:t xml:space="preserve">161501,70</w:t>
            </w:r>
          </w:p>
        </w:tc>
        <w:tc>
          <w:tcPr>
            <w:tcW w:w="1587" w:type="dxa"/>
          </w:tcPr>
          <w:p>
            <w:pPr>
              <w:pStyle w:val="0"/>
            </w:pPr>
            <w:r>
              <w:rPr>
                <w:sz w:val="20"/>
              </w:rPr>
              <w:t xml:space="preserve">232544,90</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394046,60</w:t>
            </w:r>
          </w:p>
        </w:tc>
        <w:tc>
          <w:tcPr>
            <w:tcW w:w="1587" w:type="dxa"/>
          </w:tcPr>
          <w:p>
            <w:pPr>
              <w:pStyle w:val="0"/>
            </w:pPr>
            <w:r>
              <w:rPr>
                <w:sz w:val="20"/>
              </w:rPr>
              <w:t xml:space="preserve">161501,70</w:t>
            </w:r>
          </w:p>
        </w:tc>
        <w:tc>
          <w:tcPr>
            <w:tcW w:w="1587" w:type="dxa"/>
          </w:tcPr>
          <w:p>
            <w:pPr>
              <w:pStyle w:val="0"/>
            </w:pPr>
            <w:r>
              <w:rPr>
                <w:sz w:val="20"/>
              </w:rPr>
              <w:t xml:space="preserve">232544,90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5935,81</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10555,11</w:t>
            </w:r>
          </w:p>
        </w:tc>
        <w:tc>
          <w:tcPr>
            <w:tcW w:w="1644" w:type="dxa"/>
          </w:tcPr>
          <w:p>
            <w:pPr>
              <w:pStyle w:val="0"/>
            </w:pPr>
            <w:r>
              <w:rPr>
                <w:sz w:val="20"/>
              </w:rPr>
              <w:t xml:space="preserve">5935,81</w:t>
            </w:r>
          </w:p>
        </w:tc>
        <w:tc>
          <w:tcPr>
            <w:tcW w:w="1814" w:type="dxa"/>
          </w:tcPr>
          <w:p>
            <w:pPr>
              <w:pStyle w:val="0"/>
            </w:pPr>
            <w:r>
              <w:rPr>
                <w:sz w:val="20"/>
              </w:rPr>
              <w:t xml:space="preserve">Итого:</w:t>
            </w:r>
          </w:p>
        </w:tc>
        <w:tc>
          <w:tcPr>
            <w:tcW w:w="1587" w:type="dxa"/>
          </w:tcPr>
          <w:p>
            <w:pPr>
              <w:pStyle w:val="0"/>
            </w:pPr>
            <w:r>
              <w:rPr>
                <w:sz w:val="20"/>
              </w:rPr>
              <w:t xml:space="preserve">4619,30</w:t>
            </w:r>
          </w:p>
        </w:tc>
        <w:tc>
          <w:tcPr>
            <w:tcW w:w="1587" w:type="dxa"/>
          </w:tcPr>
          <w:p>
            <w:pPr>
              <w:pStyle w:val="0"/>
            </w:pPr>
            <w:r>
              <w:rPr>
                <w:sz w:val="20"/>
              </w:rPr>
              <w:t xml:space="preserve">4619,30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4619,30</w:t>
            </w:r>
          </w:p>
        </w:tc>
        <w:tc>
          <w:tcPr>
            <w:tcW w:w="1587" w:type="dxa"/>
          </w:tcPr>
          <w:p>
            <w:pPr>
              <w:pStyle w:val="0"/>
            </w:pPr>
            <w:r>
              <w:rPr>
                <w:sz w:val="20"/>
              </w:rPr>
              <w:t xml:space="preserve">4619,30</w:t>
            </w:r>
          </w:p>
        </w:tc>
        <w:tc>
          <w:tcPr>
            <w:tcW w:w="1587" w:type="dxa"/>
          </w:tcPr>
          <w:p>
            <w:pPr>
              <w:pStyle w:val="0"/>
            </w:pPr>
            <w:r>
              <w:rPr>
                <w:sz w:val="20"/>
              </w:rPr>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5935,81</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381143,72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381143,72</w:t>
            </w:r>
          </w:p>
        </w:tc>
        <w:tc>
          <w:tcPr>
            <w:tcW w:w="1587" w:type="dxa"/>
          </w:tcPr>
          <w:p>
            <w:pPr>
              <w:pStyle w:val="0"/>
            </w:pPr>
            <w:r>
              <w:rPr>
                <w:sz w:val="20"/>
              </w:rPr>
              <w:t xml:space="preserve">154557,72</w:t>
            </w:r>
          </w:p>
        </w:tc>
        <w:tc>
          <w:tcPr>
            <w:tcW w:w="1587" w:type="dxa"/>
          </w:tcPr>
          <w:p>
            <w:pPr>
              <w:pStyle w:val="0"/>
            </w:pPr>
            <w:r>
              <w:rPr>
                <w:sz w:val="20"/>
              </w:rPr>
              <w:t xml:space="preserve">226586,00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381143,72</w:t>
            </w:r>
          </w:p>
        </w:tc>
        <w:tc>
          <w:tcPr>
            <w:tcW w:w="1587" w:type="dxa"/>
          </w:tcPr>
          <w:p>
            <w:pPr>
              <w:pStyle w:val="0"/>
            </w:pPr>
            <w:r>
              <w:rPr>
                <w:sz w:val="20"/>
              </w:rPr>
              <w:t xml:space="preserve">154557,72</w:t>
            </w:r>
          </w:p>
        </w:tc>
        <w:tc>
          <w:tcPr>
            <w:tcW w:w="1587" w:type="dxa"/>
          </w:tcPr>
          <w:p>
            <w:pPr>
              <w:pStyle w:val="0"/>
            </w:pPr>
            <w:r>
              <w:rPr>
                <w:sz w:val="20"/>
              </w:rPr>
              <w:t xml:space="preserve">226586,00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компенсация за выполнение мероприятий по подготовке территории</w:t>
            </w:r>
          </w:p>
        </w:tc>
        <w:tc>
          <w:tcPr>
            <w:vMerge w:val="continue"/>
          </w:tcPr>
          <w:p/>
        </w:tc>
        <w:tc>
          <w:tcPr>
            <w:tcW w:w="1701" w:type="dxa"/>
            <w:vMerge w:val="restart"/>
          </w:tcPr>
          <w:p>
            <w:pPr>
              <w:pStyle w:val="0"/>
            </w:pPr>
            <w:r>
              <w:rPr>
                <w:sz w:val="20"/>
              </w:rPr>
              <w:t xml:space="preserve">326,12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326,12</w:t>
            </w:r>
          </w:p>
        </w:tc>
        <w:tc>
          <w:tcPr>
            <w:tcW w:w="1587" w:type="dxa"/>
          </w:tcPr>
          <w:p>
            <w:pPr>
              <w:pStyle w:val="0"/>
            </w:pPr>
            <w:r>
              <w:rPr>
                <w:sz w:val="20"/>
              </w:rPr>
              <w:t xml:space="preserve">326,12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326,12</w:t>
            </w:r>
          </w:p>
        </w:tc>
        <w:tc>
          <w:tcPr>
            <w:tcW w:w="1587" w:type="dxa"/>
          </w:tcPr>
          <w:p>
            <w:pPr>
              <w:pStyle w:val="0"/>
            </w:pPr>
            <w:r>
              <w:rPr>
                <w:sz w:val="20"/>
              </w:rPr>
              <w:t xml:space="preserve">326,12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7957,46</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7957,46</w:t>
            </w:r>
          </w:p>
        </w:tc>
        <w:tc>
          <w:tcPr>
            <w:tcW w:w="1587" w:type="dxa"/>
          </w:tcPr>
          <w:p>
            <w:pPr>
              <w:pStyle w:val="0"/>
            </w:pPr>
            <w:r>
              <w:rPr>
                <w:sz w:val="20"/>
              </w:rPr>
              <w:t xml:space="preserve">1998,56</w:t>
            </w:r>
          </w:p>
        </w:tc>
        <w:tc>
          <w:tcPr>
            <w:tcW w:w="1587" w:type="dxa"/>
          </w:tcPr>
          <w:p>
            <w:pPr>
              <w:pStyle w:val="0"/>
            </w:pPr>
            <w:r>
              <w:rPr>
                <w:sz w:val="20"/>
              </w:rPr>
              <w:t xml:space="preserve">5958,90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7957,46</w:t>
            </w:r>
          </w:p>
        </w:tc>
        <w:tc>
          <w:tcPr>
            <w:tcW w:w="1587" w:type="dxa"/>
          </w:tcPr>
          <w:p>
            <w:pPr>
              <w:pStyle w:val="0"/>
            </w:pPr>
            <w:r>
              <w:rPr>
                <w:sz w:val="20"/>
              </w:rPr>
              <w:t xml:space="preserve">1998,56</w:t>
            </w:r>
          </w:p>
        </w:tc>
        <w:tc>
          <w:tcPr>
            <w:tcW w:w="1587" w:type="dxa"/>
          </w:tcPr>
          <w:p>
            <w:pPr>
              <w:pStyle w:val="0"/>
            </w:pPr>
            <w:r>
              <w:rPr>
                <w:sz w:val="20"/>
              </w:rPr>
              <w:t xml:space="preserve">5958,90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1.5</w:t>
            </w:r>
          </w:p>
        </w:tc>
        <w:tc>
          <w:tcPr>
            <w:tcW w:w="2608" w:type="dxa"/>
            <w:vMerge w:val="restart"/>
          </w:tcPr>
          <w:p>
            <w:pPr>
              <w:pStyle w:val="0"/>
            </w:pPr>
            <w:r>
              <w:rPr>
                <w:sz w:val="20"/>
              </w:rPr>
              <w:t xml:space="preserve">Объекты таможенной инфраструктуры особой экономической зоны в городе Дубне Московской области на площадке НПЗ (Участок N 2) (2-я очередь). Инженерные сети КПП</w:t>
            </w:r>
          </w:p>
        </w:tc>
        <w:tc>
          <w:tcPr>
            <w:tcW w:w="2438" w:type="dxa"/>
            <w:vMerge w:val="restart"/>
          </w:tcPr>
          <w:p>
            <w:pPr>
              <w:pStyle w:val="0"/>
            </w:pPr>
            <w:r>
              <w:rPr>
                <w:sz w:val="20"/>
              </w:rPr>
              <w:t xml:space="preserve">28.06.2022-13.07.2024</w:t>
            </w:r>
          </w:p>
        </w:tc>
        <w:tc>
          <w:tcPr>
            <w:tcW w:w="1531" w:type="dxa"/>
            <w:vMerge w:val="restart"/>
          </w:tcPr>
          <w:p>
            <w:pPr>
              <w:pStyle w:val="0"/>
            </w:pPr>
            <w:r>
              <w:rPr>
                <w:sz w:val="20"/>
              </w:rPr>
              <w:t xml:space="preserve">13.07.2024</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Длина сетей видеонаблюдения и контроля доступа, смонтированных на конструкциях ограждения - 3626,37 м, площадь застройки - 152,32 кв. м</w:t>
            </w:r>
          </w:p>
        </w:tc>
        <w:tc>
          <w:tcPr>
            <w:tcW w:w="1701" w:type="dxa"/>
            <w:vMerge w:val="restart"/>
          </w:tcPr>
          <w:p>
            <w:pPr>
              <w:pStyle w:val="0"/>
            </w:pPr>
            <w:r>
              <w:rPr>
                <w:sz w:val="20"/>
              </w:rPr>
              <w:t xml:space="preserve">260479,24</w:t>
            </w:r>
          </w:p>
        </w:tc>
        <w:tc>
          <w:tcPr>
            <w:tcW w:w="1644" w:type="dxa"/>
          </w:tcPr>
          <w:p>
            <w:pPr>
              <w:pStyle w:val="0"/>
            </w:pPr>
            <w:r>
              <w:rPr>
                <w:sz w:val="20"/>
              </w:rPr>
              <w:t xml:space="preserve">182778,36</w:t>
            </w:r>
          </w:p>
        </w:tc>
        <w:tc>
          <w:tcPr>
            <w:tcW w:w="1814" w:type="dxa"/>
          </w:tcPr>
          <w:p>
            <w:pPr>
              <w:pStyle w:val="0"/>
            </w:pPr>
            <w:r>
              <w:rPr>
                <w:sz w:val="20"/>
              </w:rPr>
              <w:t xml:space="preserve">Итого по объекту:</w:t>
            </w:r>
          </w:p>
        </w:tc>
        <w:tc>
          <w:tcPr>
            <w:tcW w:w="1587" w:type="dxa"/>
          </w:tcPr>
          <w:p>
            <w:pPr>
              <w:pStyle w:val="0"/>
            </w:pPr>
            <w:r>
              <w:rPr>
                <w:sz w:val="20"/>
              </w:rPr>
              <w:t xml:space="preserve">77700,88</w:t>
            </w:r>
          </w:p>
        </w:tc>
        <w:tc>
          <w:tcPr>
            <w:tcW w:w="1587" w:type="dxa"/>
          </w:tcPr>
          <w:p>
            <w:pPr>
              <w:pStyle w:val="0"/>
            </w:pPr>
            <w:r>
              <w:rPr>
                <w:sz w:val="20"/>
              </w:rPr>
              <w:t xml:space="preserve">77700,88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73248,83</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77700,88</w:t>
            </w:r>
          </w:p>
        </w:tc>
        <w:tc>
          <w:tcPr>
            <w:tcW w:w="1587" w:type="dxa"/>
          </w:tcPr>
          <w:p>
            <w:pPr>
              <w:pStyle w:val="0"/>
            </w:pPr>
            <w:r>
              <w:rPr>
                <w:sz w:val="20"/>
              </w:rPr>
              <w:t xml:space="preserve">77700,88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109529,53</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5705,96</w:t>
            </w:r>
          </w:p>
        </w:tc>
        <w:tc>
          <w:tcPr>
            <w:tcW w:w="1644" w:type="dxa"/>
          </w:tcPr>
          <w:p>
            <w:pPr>
              <w:pStyle w:val="0"/>
            </w:pPr>
            <w:r>
              <w:rPr>
                <w:sz w:val="20"/>
              </w:rPr>
              <w:t xml:space="preserve">5705,96</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5705,96</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vMerge w:val="continue"/>
          </w:tcPr>
          <w:p/>
        </w:tc>
        <w:tc>
          <w:tcPr>
            <w:tcW w:w="1701" w:type="dxa"/>
            <w:vMerge w:val="restart"/>
          </w:tcPr>
          <w:p>
            <w:pPr>
              <w:pStyle w:val="0"/>
            </w:pPr>
            <w:r>
              <w:rPr>
                <w:sz w:val="20"/>
              </w:rPr>
              <w:t xml:space="preserve">6098,53</w:t>
            </w:r>
          </w:p>
        </w:tc>
        <w:tc>
          <w:tcPr>
            <w:tcW w:w="1644" w:type="dxa"/>
          </w:tcPr>
          <w:p>
            <w:pPr>
              <w:pStyle w:val="0"/>
            </w:pPr>
            <w:r>
              <w:rPr>
                <w:sz w:val="20"/>
              </w:rPr>
              <w:t xml:space="preserve">6098,53</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6098,53</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245262,10</w:t>
            </w:r>
          </w:p>
        </w:tc>
        <w:tc>
          <w:tcPr>
            <w:tcW w:w="1644" w:type="dxa"/>
          </w:tcPr>
          <w:p>
            <w:pPr>
              <w:pStyle w:val="0"/>
            </w:pPr>
            <w:r>
              <w:rPr>
                <w:sz w:val="20"/>
              </w:rPr>
              <w:t xml:space="preserve">169374,62</w:t>
            </w:r>
          </w:p>
        </w:tc>
        <w:tc>
          <w:tcPr>
            <w:tcW w:w="1814" w:type="dxa"/>
          </w:tcPr>
          <w:p>
            <w:pPr>
              <w:pStyle w:val="0"/>
            </w:pPr>
            <w:r>
              <w:rPr>
                <w:sz w:val="20"/>
              </w:rPr>
              <w:t xml:space="preserve">Итого:</w:t>
            </w:r>
          </w:p>
        </w:tc>
        <w:tc>
          <w:tcPr>
            <w:tcW w:w="1587" w:type="dxa"/>
          </w:tcPr>
          <w:p>
            <w:pPr>
              <w:pStyle w:val="0"/>
            </w:pPr>
            <w:r>
              <w:rPr>
                <w:sz w:val="20"/>
              </w:rPr>
              <w:t xml:space="preserve">75887,48</w:t>
            </w:r>
          </w:p>
        </w:tc>
        <w:tc>
          <w:tcPr>
            <w:tcW w:w="1587" w:type="dxa"/>
          </w:tcPr>
          <w:p>
            <w:pPr>
              <w:pStyle w:val="0"/>
            </w:pPr>
            <w:r>
              <w:rPr>
                <w:sz w:val="20"/>
              </w:rPr>
              <w:t xml:space="preserve">75887,48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65551,05</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75887,48</w:t>
            </w:r>
          </w:p>
        </w:tc>
        <w:tc>
          <w:tcPr>
            <w:tcW w:w="1587" w:type="dxa"/>
          </w:tcPr>
          <w:p>
            <w:pPr>
              <w:pStyle w:val="0"/>
            </w:pPr>
            <w:r>
              <w:rPr>
                <w:sz w:val="20"/>
              </w:rPr>
              <w:t xml:space="preserve">75887,48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103823,57</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3412,65</w:t>
            </w:r>
          </w:p>
        </w:tc>
        <w:tc>
          <w:tcPr>
            <w:tcW w:w="1644" w:type="dxa"/>
          </w:tcPr>
          <w:p>
            <w:pPr>
              <w:pStyle w:val="0"/>
            </w:pPr>
            <w:r>
              <w:rPr>
                <w:sz w:val="20"/>
              </w:rPr>
              <w:t xml:space="preserve">1599,25</w:t>
            </w:r>
          </w:p>
        </w:tc>
        <w:tc>
          <w:tcPr>
            <w:tcW w:w="1814" w:type="dxa"/>
          </w:tcPr>
          <w:p>
            <w:pPr>
              <w:pStyle w:val="0"/>
            </w:pPr>
            <w:r>
              <w:rPr>
                <w:sz w:val="20"/>
              </w:rPr>
              <w:t xml:space="preserve">Итого:</w:t>
            </w:r>
          </w:p>
        </w:tc>
        <w:tc>
          <w:tcPr>
            <w:tcW w:w="1587" w:type="dxa"/>
          </w:tcPr>
          <w:p>
            <w:pPr>
              <w:pStyle w:val="0"/>
            </w:pPr>
            <w:r>
              <w:rPr>
                <w:sz w:val="20"/>
              </w:rPr>
              <w:t xml:space="preserve">1813,40</w:t>
            </w:r>
          </w:p>
        </w:tc>
        <w:tc>
          <w:tcPr>
            <w:tcW w:w="1587" w:type="dxa"/>
          </w:tcPr>
          <w:p>
            <w:pPr>
              <w:pStyle w:val="0"/>
            </w:pPr>
            <w:r>
              <w:rPr>
                <w:sz w:val="20"/>
              </w:rPr>
              <w:t xml:space="preserve">1813,40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1599,25</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1813,40</w:t>
            </w:r>
          </w:p>
        </w:tc>
        <w:tc>
          <w:tcPr>
            <w:tcW w:w="1587" w:type="dxa"/>
          </w:tcPr>
          <w:p>
            <w:pPr>
              <w:pStyle w:val="0"/>
            </w:pPr>
            <w:r>
              <w:rPr>
                <w:sz w:val="20"/>
              </w:rPr>
              <w:t xml:space="preserve">1813,40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1.6</w:t>
            </w:r>
          </w:p>
        </w:tc>
        <w:tc>
          <w:tcPr>
            <w:tcW w:w="2608" w:type="dxa"/>
            <w:vMerge w:val="restart"/>
          </w:tcPr>
          <w:p>
            <w:pPr>
              <w:pStyle w:val="0"/>
            </w:pPr>
            <w:r>
              <w:rPr>
                <w:sz w:val="20"/>
              </w:rPr>
              <w:t xml:space="preserve">Проект на завершение строительства комплекса зданий по объекту: "Объекты таможенной инфраструктуры Особой экономической зоны в городе Дубне Московской области на площадке НПЗ (Участок N 2)"</w:t>
            </w:r>
          </w:p>
        </w:tc>
        <w:tc>
          <w:tcPr>
            <w:tcW w:w="2438" w:type="dxa"/>
            <w:vMerge w:val="restart"/>
          </w:tcPr>
          <w:p>
            <w:pPr>
              <w:pStyle w:val="0"/>
            </w:pPr>
            <w:r>
              <w:rPr>
                <w:sz w:val="20"/>
              </w:rPr>
              <w:t xml:space="preserve">28.06.2022-15.07.2024</w:t>
            </w:r>
          </w:p>
        </w:tc>
        <w:tc>
          <w:tcPr>
            <w:tcW w:w="1531" w:type="dxa"/>
            <w:vMerge w:val="restart"/>
          </w:tcPr>
          <w:p>
            <w:pPr>
              <w:pStyle w:val="0"/>
            </w:pPr>
            <w:r>
              <w:rPr>
                <w:sz w:val="20"/>
              </w:rPr>
              <w:t xml:space="preserve">15.07.2024</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Площадь участка в границах проектирования - 14698,63 кв. м, площадь застройки - 1095,69 кв. м</w:t>
            </w:r>
          </w:p>
        </w:tc>
        <w:tc>
          <w:tcPr>
            <w:tcW w:w="1701" w:type="dxa"/>
            <w:vMerge w:val="restart"/>
          </w:tcPr>
          <w:p>
            <w:pPr>
              <w:pStyle w:val="0"/>
            </w:pPr>
            <w:r>
              <w:rPr>
                <w:sz w:val="20"/>
              </w:rPr>
              <w:t xml:space="preserve">167366,86</w:t>
            </w:r>
          </w:p>
        </w:tc>
        <w:tc>
          <w:tcPr>
            <w:tcW w:w="1644" w:type="dxa"/>
          </w:tcPr>
          <w:p>
            <w:pPr>
              <w:pStyle w:val="0"/>
            </w:pPr>
            <w:r>
              <w:rPr>
                <w:sz w:val="20"/>
              </w:rPr>
              <w:t xml:space="preserve">93679,14</w:t>
            </w:r>
          </w:p>
        </w:tc>
        <w:tc>
          <w:tcPr>
            <w:tcW w:w="1814" w:type="dxa"/>
          </w:tcPr>
          <w:p>
            <w:pPr>
              <w:pStyle w:val="0"/>
            </w:pPr>
            <w:r>
              <w:rPr>
                <w:sz w:val="20"/>
              </w:rPr>
              <w:t xml:space="preserve">Итого по объекту:</w:t>
            </w:r>
          </w:p>
        </w:tc>
        <w:tc>
          <w:tcPr>
            <w:tcW w:w="1587" w:type="dxa"/>
          </w:tcPr>
          <w:p>
            <w:pPr>
              <w:pStyle w:val="0"/>
            </w:pPr>
            <w:r>
              <w:rPr>
                <w:sz w:val="20"/>
              </w:rPr>
              <w:t xml:space="preserve">73687,72</w:t>
            </w:r>
          </w:p>
        </w:tc>
        <w:tc>
          <w:tcPr>
            <w:tcW w:w="1587" w:type="dxa"/>
          </w:tcPr>
          <w:p>
            <w:pPr>
              <w:pStyle w:val="0"/>
            </w:pPr>
            <w:r>
              <w:rPr>
                <w:sz w:val="20"/>
              </w:rPr>
              <w:t xml:space="preserve">73687,72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41462,61</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39639,03</w:t>
            </w:r>
          </w:p>
        </w:tc>
        <w:tc>
          <w:tcPr>
            <w:tcW w:w="1587" w:type="dxa"/>
          </w:tcPr>
          <w:p>
            <w:pPr>
              <w:pStyle w:val="0"/>
            </w:pPr>
            <w:r>
              <w:rPr>
                <w:sz w:val="20"/>
              </w:rPr>
              <w:t xml:space="preserve">39639,03</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52216,53</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34048,69</w:t>
            </w:r>
          </w:p>
        </w:tc>
        <w:tc>
          <w:tcPr>
            <w:tcW w:w="1587" w:type="dxa"/>
          </w:tcPr>
          <w:p>
            <w:pPr>
              <w:pStyle w:val="0"/>
            </w:pPr>
            <w:r>
              <w:rPr>
                <w:sz w:val="20"/>
              </w:rPr>
              <w:t xml:space="preserve">34048,69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3407,54</w:t>
            </w:r>
          </w:p>
        </w:tc>
        <w:tc>
          <w:tcPr>
            <w:tcW w:w="1644" w:type="dxa"/>
          </w:tcPr>
          <w:p>
            <w:pPr>
              <w:pStyle w:val="0"/>
            </w:pPr>
            <w:r>
              <w:rPr>
                <w:sz w:val="20"/>
              </w:rPr>
              <w:t xml:space="preserve">3407,54</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3407,54</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r>
          </w:p>
        </w:tc>
        <w:tc>
          <w:tcPr>
            <w:tcW w:w="1587" w:type="dxa"/>
          </w:tcPr>
          <w:p>
            <w:pPr>
              <w:pStyle w:val="0"/>
            </w:pPr>
            <w:r>
              <w:rPr>
                <w:sz w:val="20"/>
              </w:rPr>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149769,45</w:t>
            </w:r>
          </w:p>
        </w:tc>
        <w:tc>
          <w:tcPr>
            <w:tcW w:w="1644" w:type="dxa"/>
          </w:tcPr>
          <w:p>
            <w:pPr>
              <w:pStyle w:val="0"/>
            </w:pPr>
            <w:r>
              <w:rPr>
                <w:sz w:val="20"/>
              </w:rPr>
              <w:t xml:space="preserve">77333,22</w:t>
            </w:r>
          </w:p>
        </w:tc>
        <w:tc>
          <w:tcPr>
            <w:tcW w:w="1814" w:type="dxa"/>
          </w:tcPr>
          <w:p>
            <w:pPr>
              <w:pStyle w:val="0"/>
            </w:pPr>
            <w:r>
              <w:rPr>
                <w:sz w:val="20"/>
              </w:rPr>
              <w:t xml:space="preserve">Итого:</w:t>
            </w:r>
          </w:p>
        </w:tc>
        <w:tc>
          <w:tcPr>
            <w:tcW w:w="1587" w:type="dxa"/>
          </w:tcPr>
          <w:p>
            <w:pPr>
              <w:pStyle w:val="0"/>
            </w:pPr>
            <w:r>
              <w:rPr>
                <w:sz w:val="20"/>
              </w:rPr>
              <w:t xml:space="preserve">72436,23</w:t>
            </w:r>
          </w:p>
        </w:tc>
        <w:tc>
          <w:tcPr>
            <w:tcW w:w="1587" w:type="dxa"/>
          </w:tcPr>
          <w:p>
            <w:pPr>
              <w:pStyle w:val="0"/>
            </w:pPr>
            <w:r>
              <w:rPr>
                <w:sz w:val="20"/>
              </w:rPr>
              <w:t xml:space="preserve">72436,23</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41025,95</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38387,54</w:t>
            </w:r>
          </w:p>
        </w:tc>
        <w:tc>
          <w:tcPr>
            <w:tcW w:w="1587" w:type="dxa"/>
          </w:tcPr>
          <w:p>
            <w:pPr>
              <w:pStyle w:val="0"/>
            </w:pPr>
            <w:r>
              <w:rPr>
                <w:sz w:val="20"/>
              </w:rPr>
              <w:t xml:space="preserve">38387,54</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36307,27</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34048,69</w:t>
            </w:r>
          </w:p>
        </w:tc>
        <w:tc>
          <w:tcPr>
            <w:tcW w:w="1587" w:type="dxa"/>
          </w:tcPr>
          <w:p>
            <w:pPr>
              <w:pStyle w:val="0"/>
            </w:pPr>
            <w:r>
              <w:rPr>
                <w:sz w:val="20"/>
              </w:rPr>
              <w:t xml:space="preserve">34048,69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поставка оборудования</w:t>
            </w:r>
          </w:p>
        </w:tc>
        <w:tc>
          <w:tcPr>
            <w:vMerge w:val="continue"/>
          </w:tcPr>
          <w:p/>
        </w:tc>
        <w:tc>
          <w:tcPr>
            <w:tcW w:w="1701" w:type="dxa"/>
            <w:vMerge w:val="restart"/>
          </w:tcPr>
          <w:p>
            <w:pPr>
              <w:pStyle w:val="0"/>
            </w:pPr>
            <w:r>
              <w:rPr>
                <w:sz w:val="20"/>
              </w:rPr>
              <w:t xml:space="preserve">10807,19</w:t>
            </w:r>
          </w:p>
        </w:tc>
        <w:tc>
          <w:tcPr>
            <w:tcW w:w="1644" w:type="dxa"/>
          </w:tcPr>
          <w:p>
            <w:pPr>
              <w:pStyle w:val="0"/>
            </w:pPr>
            <w:r>
              <w:rPr>
                <w:sz w:val="20"/>
              </w:rPr>
              <w:t xml:space="preserve">10807,19</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10807,19</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3382,68</w:t>
            </w:r>
          </w:p>
        </w:tc>
        <w:tc>
          <w:tcPr>
            <w:tcW w:w="1644" w:type="dxa"/>
          </w:tcPr>
          <w:p>
            <w:pPr>
              <w:pStyle w:val="0"/>
            </w:pPr>
            <w:r>
              <w:rPr>
                <w:sz w:val="20"/>
              </w:rPr>
              <w:t xml:space="preserve">2131,19</w:t>
            </w:r>
          </w:p>
        </w:tc>
        <w:tc>
          <w:tcPr>
            <w:tcW w:w="1814" w:type="dxa"/>
          </w:tcPr>
          <w:p>
            <w:pPr>
              <w:pStyle w:val="0"/>
            </w:pPr>
            <w:r>
              <w:rPr>
                <w:sz w:val="20"/>
              </w:rPr>
              <w:t xml:space="preserve">Итого:</w:t>
            </w:r>
          </w:p>
        </w:tc>
        <w:tc>
          <w:tcPr>
            <w:tcW w:w="1587" w:type="dxa"/>
          </w:tcPr>
          <w:p>
            <w:pPr>
              <w:pStyle w:val="0"/>
            </w:pPr>
            <w:r>
              <w:rPr>
                <w:sz w:val="20"/>
              </w:rPr>
              <w:t xml:space="preserve">1251,49</w:t>
            </w:r>
          </w:p>
        </w:tc>
        <w:tc>
          <w:tcPr>
            <w:tcW w:w="1587" w:type="dxa"/>
          </w:tcPr>
          <w:p>
            <w:pPr>
              <w:pStyle w:val="0"/>
            </w:pPr>
            <w:r>
              <w:rPr>
                <w:sz w:val="20"/>
              </w:rPr>
              <w:t xml:space="preserve">1251,49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436,66</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1251,49</w:t>
            </w:r>
          </w:p>
        </w:tc>
        <w:tc>
          <w:tcPr>
            <w:tcW w:w="1587" w:type="dxa"/>
          </w:tcPr>
          <w:p>
            <w:pPr>
              <w:pStyle w:val="0"/>
            </w:pPr>
            <w:r>
              <w:rPr>
                <w:sz w:val="20"/>
              </w:rPr>
              <w:t xml:space="preserve">1251,49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1694,53</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1.7</w:t>
            </w:r>
          </w:p>
        </w:tc>
        <w:tc>
          <w:tcPr>
            <w:tcW w:w="2608" w:type="dxa"/>
            <w:vMerge w:val="restart"/>
          </w:tcPr>
          <w:p>
            <w:pPr>
              <w:pStyle w:val="0"/>
            </w:pPr>
            <w:r>
              <w:rPr>
                <w:sz w:val="20"/>
              </w:rPr>
              <w:t xml:space="preserve">КПП с инженерными сетями для прохода физических лиц на территорию 2-й очереди РЦП ОЭЗ ТВТ "Дубна" с учетом проезда автомобильного транспорта</w:t>
            </w:r>
          </w:p>
        </w:tc>
        <w:tc>
          <w:tcPr>
            <w:tcW w:w="2438" w:type="dxa"/>
            <w:vMerge w:val="restart"/>
          </w:tcPr>
          <w:p>
            <w:pPr>
              <w:pStyle w:val="0"/>
            </w:pPr>
            <w:r>
              <w:rPr>
                <w:sz w:val="20"/>
              </w:rPr>
              <w:t xml:space="preserve">28.06.2022-16.07.2024</w:t>
            </w:r>
          </w:p>
        </w:tc>
        <w:tc>
          <w:tcPr>
            <w:tcW w:w="1531" w:type="dxa"/>
            <w:vMerge w:val="restart"/>
          </w:tcPr>
          <w:p>
            <w:pPr>
              <w:pStyle w:val="0"/>
            </w:pPr>
            <w:r>
              <w:rPr>
                <w:sz w:val="20"/>
              </w:rPr>
              <w:t xml:space="preserve">16.07.2024</w:t>
            </w:r>
          </w:p>
        </w:tc>
        <w:tc>
          <w:tcPr>
            <w:tcW w:w="2608" w:type="dxa"/>
            <w:vMerge w:val="restart"/>
          </w:tcPr>
          <w:p>
            <w:pPr>
              <w:pStyle w:val="0"/>
            </w:pPr>
            <w:r>
              <w:rPr>
                <w:sz w:val="20"/>
              </w:rPr>
              <w:t xml:space="preserve">Строительство</w:t>
            </w:r>
          </w:p>
        </w:tc>
        <w:tc>
          <w:tcPr>
            <w:tcW w:w="2268" w:type="dxa"/>
            <w:vMerge w:val="restart"/>
          </w:tcPr>
          <w:p>
            <w:pPr>
              <w:pStyle w:val="0"/>
            </w:pPr>
            <w:r>
              <w:rPr>
                <w:sz w:val="20"/>
              </w:rPr>
              <w:t xml:space="preserve">Площадь участка в границах проектирования (благоустройства) 518,0 кв. м, площадь застройки - 80,0 кв. м</w:t>
            </w:r>
          </w:p>
        </w:tc>
        <w:tc>
          <w:tcPr>
            <w:tcW w:w="1701" w:type="dxa"/>
            <w:vMerge w:val="restart"/>
          </w:tcPr>
          <w:p>
            <w:pPr>
              <w:pStyle w:val="0"/>
            </w:pPr>
            <w:r>
              <w:rPr>
                <w:sz w:val="20"/>
              </w:rPr>
              <w:t xml:space="preserve">32406,33</w:t>
            </w:r>
          </w:p>
        </w:tc>
        <w:tc>
          <w:tcPr>
            <w:tcW w:w="1644" w:type="dxa"/>
          </w:tcPr>
          <w:p>
            <w:pPr>
              <w:pStyle w:val="0"/>
            </w:pPr>
            <w:r>
              <w:rPr>
                <w:sz w:val="20"/>
              </w:rPr>
              <w:t xml:space="preserve">19702,13</w:t>
            </w:r>
          </w:p>
        </w:tc>
        <w:tc>
          <w:tcPr>
            <w:tcW w:w="1814" w:type="dxa"/>
          </w:tcPr>
          <w:p>
            <w:pPr>
              <w:pStyle w:val="0"/>
            </w:pPr>
            <w:r>
              <w:rPr>
                <w:sz w:val="20"/>
              </w:rPr>
              <w:t xml:space="preserve">Итого по объекту:</w:t>
            </w:r>
          </w:p>
        </w:tc>
        <w:tc>
          <w:tcPr>
            <w:tcW w:w="1587" w:type="dxa"/>
          </w:tcPr>
          <w:p>
            <w:pPr>
              <w:pStyle w:val="0"/>
            </w:pPr>
            <w:r>
              <w:rPr>
                <w:sz w:val="20"/>
              </w:rPr>
              <w:t xml:space="preserve">12704,20</w:t>
            </w:r>
          </w:p>
        </w:tc>
        <w:tc>
          <w:tcPr>
            <w:tcW w:w="1587" w:type="dxa"/>
          </w:tcPr>
          <w:p>
            <w:pPr>
              <w:pStyle w:val="0"/>
            </w:pPr>
            <w:r>
              <w:rPr>
                <w:sz w:val="20"/>
              </w:rPr>
              <w:t xml:space="preserve">12704,20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15967,88</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12704,20</w:t>
            </w:r>
          </w:p>
        </w:tc>
        <w:tc>
          <w:tcPr>
            <w:tcW w:w="1587" w:type="dxa"/>
          </w:tcPr>
          <w:p>
            <w:pPr>
              <w:pStyle w:val="0"/>
            </w:pPr>
            <w:r>
              <w:rPr>
                <w:sz w:val="20"/>
              </w:rPr>
              <w:t xml:space="preserve">12704,20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3734,25</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3734,25</w:t>
            </w:r>
          </w:p>
        </w:tc>
        <w:tc>
          <w:tcPr>
            <w:tcW w:w="1644" w:type="dxa"/>
          </w:tcPr>
          <w:p>
            <w:pPr>
              <w:pStyle w:val="0"/>
            </w:pPr>
            <w:r>
              <w:rPr>
                <w:sz w:val="20"/>
              </w:rPr>
              <w:t xml:space="preserve">3734,25</w:t>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3734,25</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28031,30</w:t>
            </w:r>
          </w:p>
        </w:tc>
        <w:tc>
          <w:tcPr>
            <w:tcW w:w="1644" w:type="dxa"/>
          </w:tcPr>
          <w:p>
            <w:pPr>
              <w:pStyle w:val="0"/>
            </w:pPr>
            <w:r>
              <w:rPr>
                <w:sz w:val="20"/>
              </w:rPr>
              <w:t xml:space="preserve">15611,02</w:t>
            </w:r>
          </w:p>
        </w:tc>
        <w:tc>
          <w:tcPr>
            <w:tcW w:w="1814" w:type="dxa"/>
          </w:tcPr>
          <w:p>
            <w:pPr>
              <w:pStyle w:val="0"/>
            </w:pPr>
            <w:r>
              <w:rPr>
                <w:sz w:val="20"/>
              </w:rPr>
              <w:t xml:space="preserve">Итого:</w:t>
            </w:r>
          </w:p>
        </w:tc>
        <w:tc>
          <w:tcPr>
            <w:tcW w:w="1587" w:type="dxa"/>
          </w:tcPr>
          <w:p>
            <w:pPr>
              <w:pStyle w:val="0"/>
            </w:pPr>
            <w:r>
              <w:rPr>
                <w:sz w:val="20"/>
              </w:rPr>
              <w:t xml:space="preserve">12420,28</w:t>
            </w:r>
          </w:p>
        </w:tc>
        <w:tc>
          <w:tcPr>
            <w:tcW w:w="1587" w:type="dxa"/>
          </w:tcPr>
          <w:p>
            <w:pPr>
              <w:pStyle w:val="0"/>
            </w:pPr>
            <w:r>
              <w:rPr>
                <w:sz w:val="20"/>
              </w:rPr>
              <w:t xml:space="preserve">12420,28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15611,02</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12420,28</w:t>
            </w:r>
          </w:p>
        </w:tc>
        <w:tc>
          <w:tcPr>
            <w:tcW w:w="1587" w:type="dxa"/>
          </w:tcPr>
          <w:p>
            <w:pPr>
              <w:pStyle w:val="0"/>
            </w:pPr>
            <w:r>
              <w:rPr>
                <w:sz w:val="20"/>
              </w:rPr>
              <w:t xml:space="preserve">12420,28</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640,78</w:t>
            </w:r>
          </w:p>
        </w:tc>
        <w:tc>
          <w:tcPr>
            <w:tcW w:w="1644" w:type="dxa"/>
          </w:tcPr>
          <w:p>
            <w:pPr>
              <w:pStyle w:val="0"/>
            </w:pPr>
            <w:r>
              <w:rPr>
                <w:sz w:val="20"/>
              </w:rPr>
              <w:t xml:space="preserve">356,86</w:t>
            </w:r>
          </w:p>
        </w:tc>
        <w:tc>
          <w:tcPr>
            <w:tcW w:w="1814" w:type="dxa"/>
          </w:tcPr>
          <w:p>
            <w:pPr>
              <w:pStyle w:val="0"/>
            </w:pPr>
            <w:r>
              <w:rPr>
                <w:sz w:val="20"/>
              </w:rPr>
              <w:t xml:space="preserve">Итого:</w:t>
            </w:r>
          </w:p>
        </w:tc>
        <w:tc>
          <w:tcPr>
            <w:tcW w:w="1587" w:type="dxa"/>
          </w:tcPr>
          <w:p>
            <w:pPr>
              <w:pStyle w:val="0"/>
            </w:pPr>
            <w:r>
              <w:rPr>
                <w:sz w:val="20"/>
              </w:rPr>
              <w:t xml:space="preserve">283,92</w:t>
            </w:r>
          </w:p>
        </w:tc>
        <w:tc>
          <w:tcPr>
            <w:tcW w:w="1587" w:type="dxa"/>
          </w:tcPr>
          <w:p>
            <w:pPr>
              <w:pStyle w:val="0"/>
            </w:pPr>
            <w:r>
              <w:rPr>
                <w:sz w:val="20"/>
              </w:rPr>
              <w:t xml:space="preserve">283,92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356,86</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283,92</w:t>
            </w:r>
          </w:p>
        </w:tc>
        <w:tc>
          <w:tcPr>
            <w:tcW w:w="1587" w:type="dxa"/>
          </w:tcPr>
          <w:p>
            <w:pPr>
              <w:pStyle w:val="0"/>
            </w:pPr>
            <w:r>
              <w:rPr>
                <w:sz w:val="20"/>
              </w:rPr>
              <w:t xml:space="preserve">283,92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1.8</w:t>
            </w:r>
          </w:p>
        </w:tc>
        <w:tc>
          <w:tcPr>
            <w:tcW w:w="2608" w:type="dxa"/>
            <w:vMerge w:val="restart"/>
          </w:tcPr>
          <w:p>
            <w:pPr>
              <w:pStyle w:val="0"/>
            </w:pPr>
            <w:r>
              <w:rPr>
                <w:sz w:val="20"/>
              </w:rPr>
              <w:t xml:space="preserve">Строительство улично-дорожной сети района Российского центра программирования в г. Дубне Московской области (4-я очередь)</w:t>
            </w:r>
          </w:p>
        </w:tc>
        <w:tc>
          <w:tcPr>
            <w:tcW w:w="2438" w:type="dxa"/>
            <w:vMerge w:val="restart"/>
          </w:tcPr>
          <w:p>
            <w:pPr>
              <w:pStyle w:val="0"/>
            </w:pPr>
            <w:r>
              <w:rPr>
                <w:sz w:val="20"/>
              </w:rPr>
              <w:t xml:space="preserve">01.11.2023-15.12.2025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r>
              <w:rPr>
                <w:sz w:val="20"/>
              </w:rPr>
              <w:t xml:space="preserve">Площадь сформированной полосы отвода в границах планировки территории - 11,9 га, протяженность объекта - 2994,5 м</w:t>
            </w:r>
          </w:p>
        </w:tc>
        <w:tc>
          <w:tcPr>
            <w:tcW w:w="1701" w:type="dxa"/>
            <w:vMerge w:val="restart"/>
          </w:tcPr>
          <w:p>
            <w:pPr>
              <w:pStyle w:val="0"/>
            </w:pPr>
            <w:r>
              <w:rPr>
                <w:sz w:val="20"/>
              </w:rPr>
              <w:t xml:space="preserve">894654,41</w:t>
            </w:r>
          </w:p>
        </w:tc>
        <w:tc>
          <w:tcPr>
            <w:tcW w:w="1644" w:type="dxa"/>
          </w:tcPr>
          <w:p>
            <w:pPr>
              <w:pStyle w:val="0"/>
            </w:pPr>
            <w:r>
              <w:rPr>
                <w:sz w:val="20"/>
              </w:rPr>
              <w:t xml:space="preserve">23694,22</w:t>
            </w:r>
          </w:p>
        </w:tc>
        <w:tc>
          <w:tcPr>
            <w:tcW w:w="1814" w:type="dxa"/>
          </w:tcPr>
          <w:p>
            <w:pPr>
              <w:pStyle w:val="0"/>
            </w:pPr>
            <w:r>
              <w:rPr>
                <w:sz w:val="20"/>
              </w:rPr>
              <w:t xml:space="preserve">Итого по объекту:</w:t>
            </w:r>
          </w:p>
        </w:tc>
        <w:tc>
          <w:tcPr>
            <w:tcW w:w="1587" w:type="dxa"/>
          </w:tcPr>
          <w:p>
            <w:pPr>
              <w:pStyle w:val="0"/>
            </w:pPr>
            <w:r>
              <w:rPr>
                <w:sz w:val="20"/>
              </w:rPr>
              <w:t xml:space="preserve">870960,19</w:t>
            </w:r>
          </w:p>
        </w:tc>
        <w:tc>
          <w:tcPr>
            <w:tcW w:w="1587" w:type="dxa"/>
          </w:tcPr>
          <w:p>
            <w:pPr>
              <w:pStyle w:val="0"/>
            </w:pPr>
            <w:r>
              <w:rPr>
                <w:sz w:val="20"/>
              </w:rPr>
              <w:t xml:space="preserve">870960,19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863708,46</w:t>
            </w:r>
          </w:p>
        </w:tc>
        <w:tc>
          <w:tcPr>
            <w:tcW w:w="1587" w:type="dxa"/>
          </w:tcPr>
          <w:p>
            <w:pPr>
              <w:pStyle w:val="0"/>
            </w:pPr>
            <w:r>
              <w:rPr>
                <w:sz w:val="20"/>
              </w:rPr>
              <w:t xml:space="preserve">863708,46</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23694,22</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7251,73</w:t>
            </w:r>
          </w:p>
        </w:tc>
        <w:tc>
          <w:tcPr>
            <w:tcW w:w="1587" w:type="dxa"/>
          </w:tcPr>
          <w:p>
            <w:pPr>
              <w:pStyle w:val="0"/>
            </w:pPr>
            <w:r>
              <w:rPr>
                <w:sz w:val="20"/>
              </w:rPr>
              <w:t xml:space="preserve">7251,73</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30945,95</w:t>
            </w:r>
          </w:p>
        </w:tc>
        <w:tc>
          <w:tcPr>
            <w:tcW w:w="1644" w:type="dxa"/>
          </w:tcPr>
          <w:p>
            <w:pPr>
              <w:pStyle w:val="0"/>
            </w:pPr>
            <w:r>
              <w:rPr>
                <w:sz w:val="20"/>
              </w:rPr>
              <w:t xml:space="preserve">23694,22</w:t>
            </w:r>
          </w:p>
        </w:tc>
        <w:tc>
          <w:tcPr>
            <w:tcW w:w="1814" w:type="dxa"/>
          </w:tcPr>
          <w:p>
            <w:pPr>
              <w:pStyle w:val="0"/>
            </w:pPr>
            <w:r>
              <w:rPr>
                <w:sz w:val="20"/>
              </w:rPr>
              <w:t xml:space="preserve">Итого:</w:t>
            </w:r>
          </w:p>
        </w:tc>
        <w:tc>
          <w:tcPr>
            <w:tcW w:w="1587" w:type="dxa"/>
          </w:tcPr>
          <w:p>
            <w:pPr>
              <w:pStyle w:val="0"/>
            </w:pPr>
            <w:r>
              <w:rPr>
                <w:sz w:val="20"/>
              </w:rPr>
              <w:t xml:space="preserve">7251,73</w:t>
            </w:r>
          </w:p>
        </w:tc>
        <w:tc>
          <w:tcPr>
            <w:tcW w:w="1587" w:type="dxa"/>
          </w:tcPr>
          <w:p>
            <w:pPr>
              <w:pStyle w:val="0"/>
            </w:pPr>
            <w:r>
              <w:rPr>
                <w:sz w:val="20"/>
              </w:rPr>
              <w:t xml:space="preserve">7251,73</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23694,22</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7251,73</w:t>
            </w:r>
          </w:p>
        </w:tc>
        <w:tc>
          <w:tcPr>
            <w:tcW w:w="1587" w:type="dxa"/>
          </w:tcPr>
          <w:p>
            <w:pPr>
              <w:pStyle w:val="0"/>
            </w:pPr>
            <w:r>
              <w:rPr>
                <w:sz w:val="20"/>
              </w:rPr>
              <w:t xml:space="preserve">7251,73</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849747,75</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849747,75</w:t>
            </w:r>
          </w:p>
        </w:tc>
        <w:tc>
          <w:tcPr>
            <w:tcW w:w="1587" w:type="dxa"/>
          </w:tcPr>
          <w:p>
            <w:pPr>
              <w:pStyle w:val="0"/>
            </w:pPr>
            <w:r>
              <w:rPr>
                <w:sz w:val="20"/>
              </w:rPr>
              <w:t xml:space="preserve">849747,75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849747,75</w:t>
            </w:r>
          </w:p>
        </w:tc>
        <w:tc>
          <w:tcPr>
            <w:tcW w:w="1587" w:type="dxa"/>
          </w:tcPr>
          <w:p>
            <w:pPr>
              <w:pStyle w:val="0"/>
            </w:pPr>
            <w:r>
              <w:rPr>
                <w:sz w:val="20"/>
              </w:rPr>
              <w:t xml:space="preserve">849747,75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13960,71</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13960,71</w:t>
            </w:r>
          </w:p>
        </w:tc>
        <w:tc>
          <w:tcPr>
            <w:tcW w:w="1587" w:type="dxa"/>
          </w:tcPr>
          <w:p>
            <w:pPr>
              <w:pStyle w:val="0"/>
            </w:pPr>
            <w:r>
              <w:rPr>
                <w:sz w:val="20"/>
              </w:rPr>
              <w:t xml:space="preserve">13960,71</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13960,71</w:t>
            </w:r>
          </w:p>
        </w:tc>
        <w:tc>
          <w:tcPr>
            <w:tcW w:w="1587" w:type="dxa"/>
          </w:tcPr>
          <w:p>
            <w:pPr>
              <w:pStyle w:val="0"/>
            </w:pPr>
            <w:r>
              <w:rPr>
                <w:sz w:val="20"/>
              </w:rPr>
              <w:t xml:space="preserve">13960,71</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1.9</w:t>
            </w:r>
          </w:p>
        </w:tc>
        <w:tc>
          <w:tcPr>
            <w:tcW w:w="2608" w:type="dxa"/>
            <w:vMerge w:val="restart"/>
          </w:tcPr>
          <w:p>
            <w:pPr>
              <w:pStyle w:val="0"/>
            </w:pPr>
            <w:r>
              <w:rPr>
                <w:sz w:val="20"/>
              </w:rPr>
              <w:t xml:space="preserve">Строительство улично-дорожной сети района Российского центра программирования в г. Дубне Московской области (5-я очередь)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1037625,55</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1037625,55</w:t>
            </w:r>
          </w:p>
        </w:tc>
        <w:tc>
          <w:tcPr>
            <w:tcW w:w="1587" w:type="dxa"/>
          </w:tcPr>
          <w:p>
            <w:pPr>
              <w:pStyle w:val="0"/>
            </w:pPr>
            <w:r>
              <w:rPr>
                <w:sz w:val="20"/>
              </w:rPr>
              <w:t xml:space="preserve">39133,40</w:t>
            </w:r>
          </w:p>
        </w:tc>
        <w:tc>
          <w:tcPr>
            <w:tcW w:w="1587" w:type="dxa"/>
          </w:tcPr>
          <w:p>
            <w:pPr>
              <w:pStyle w:val="0"/>
            </w:pPr>
            <w:r>
              <w:rPr>
                <w:sz w:val="20"/>
              </w:rPr>
              <w:t xml:space="preserve">-</w:t>
            </w:r>
          </w:p>
        </w:tc>
        <w:tc>
          <w:tcPr>
            <w:tcW w:w="1701" w:type="dxa"/>
          </w:tcPr>
          <w:p>
            <w:pPr>
              <w:pStyle w:val="0"/>
            </w:pPr>
            <w:r>
              <w:rPr>
                <w:sz w:val="20"/>
              </w:rPr>
              <w:t xml:space="preserve">896701,93</w:t>
            </w:r>
          </w:p>
        </w:tc>
        <w:tc>
          <w:tcPr>
            <w:tcW w:w="1587" w:type="dxa"/>
          </w:tcPr>
          <w:p>
            <w:pPr>
              <w:pStyle w:val="0"/>
            </w:pPr>
            <w:r>
              <w:rPr>
                <w:sz w:val="20"/>
              </w:rPr>
              <w:t xml:space="preserve">101790,22</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1037625,55</w:t>
            </w:r>
          </w:p>
        </w:tc>
        <w:tc>
          <w:tcPr>
            <w:tcW w:w="1587" w:type="dxa"/>
          </w:tcPr>
          <w:p>
            <w:pPr>
              <w:pStyle w:val="0"/>
            </w:pPr>
            <w:r>
              <w:rPr>
                <w:sz w:val="20"/>
              </w:rPr>
              <w:t xml:space="preserve">39133,40</w:t>
            </w:r>
          </w:p>
        </w:tc>
        <w:tc>
          <w:tcPr>
            <w:tcW w:w="1587" w:type="dxa"/>
          </w:tcPr>
          <w:p>
            <w:pPr>
              <w:pStyle w:val="0"/>
            </w:pPr>
            <w:r>
              <w:rPr>
                <w:sz w:val="20"/>
              </w:rPr>
              <w:t xml:space="preserve">-</w:t>
            </w:r>
          </w:p>
        </w:tc>
        <w:tc>
          <w:tcPr>
            <w:tcW w:w="1701" w:type="dxa"/>
          </w:tcPr>
          <w:p>
            <w:pPr>
              <w:pStyle w:val="0"/>
            </w:pPr>
            <w:r>
              <w:rPr>
                <w:sz w:val="20"/>
              </w:rPr>
              <w:t xml:space="preserve">896701,93</w:t>
            </w:r>
          </w:p>
        </w:tc>
        <w:tc>
          <w:tcPr>
            <w:tcW w:w="1587" w:type="dxa"/>
          </w:tcPr>
          <w:p>
            <w:pPr>
              <w:pStyle w:val="0"/>
            </w:pPr>
            <w:r>
              <w:rPr>
                <w:sz w:val="20"/>
              </w:rPr>
              <w:t xml:space="preserve">101790,22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39133,40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39133,40</w:t>
            </w:r>
          </w:p>
        </w:tc>
        <w:tc>
          <w:tcPr>
            <w:tcW w:w="1587" w:type="dxa"/>
          </w:tcPr>
          <w:p>
            <w:pPr>
              <w:pStyle w:val="0"/>
            </w:pPr>
            <w:r>
              <w:rPr>
                <w:sz w:val="20"/>
              </w:rPr>
              <w:t xml:space="preserve">39133,40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39133,40</w:t>
            </w:r>
          </w:p>
        </w:tc>
        <w:tc>
          <w:tcPr>
            <w:tcW w:w="1587" w:type="dxa"/>
          </w:tcPr>
          <w:p>
            <w:pPr>
              <w:pStyle w:val="0"/>
            </w:pPr>
            <w:r>
              <w:rPr>
                <w:sz w:val="20"/>
              </w:rPr>
              <w:t xml:space="preserve">39133,40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980051,12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980051,12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880140,88</w:t>
            </w:r>
          </w:p>
        </w:tc>
        <w:tc>
          <w:tcPr>
            <w:tcW w:w="1587" w:type="dxa"/>
          </w:tcPr>
          <w:p>
            <w:pPr>
              <w:pStyle w:val="0"/>
            </w:pPr>
            <w:r>
              <w:rPr>
                <w:sz w:val="20"/>
              </w:rPr>
              <w:t xml:space="preserve">99910,24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980051,12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880140,88</w:t>
            </w:r>
          </w:p>
        </w:tc>
        <w:tc>
          <w:tcPr>
            <w:tcW w:w="1587" w:type="dxa"/>
          </w:tcPr>
          <w:p>
            <w:pPr>
              <w:pStyle w:val="0"/>
            </w:pPr>
            <w:r>
              <w:rPr>
                <w:sz w:val="20"/>
              </w:rPr>
              <w:t xml:space="preserve">99910,24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18441,03</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18441,03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16561,05</w:t>
            </w:r>
          </w:p>
        </w:tc>
        <w:tc>
          <w:tcPr>
            <w:tcW w:w="1587" w:type="dxa"/>
          </w:tcPr>
          <w:p>
            <w:pPr>
              <w:pStyle w:val="0"/>
            </w:pPr>
            <w:r>
              <w:rPr>
                <w:sz w:val="20"/>
              </w:rPr>
              <w:t xml:space="preserve">1879,98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18441,03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16561,05</w:t>
            </w:r>
          </w:p>
        </w:tc>
        <w:tc>
          <w:tcPr>
            <w:tcW w:w="1587" w:type="dxa"/>
          </w:tcPr>
          <w:p>
            <w:pPr>
              <w:pStyle w:val="0"/>
            </w:pPr>
            <w:r>
              <w:rPr>
                <w:sz w:val="20"/>
              </w:rPr>
              <w:t xml:space="preserve">1879,98</w:t>
            </w:r>
          </w:p>
        </w:tc>
        <w:tc>
          <w:tcPr>
            <w:vMerge w:val="continue"/>
          </w:tcPr>
          <w:p/>
        </w:tc>
        <w:tc>
          <w:tcPr>
            <w:vMerge w:val="continue"/>
          </w:tcPr>
          <w:p/>
        </w:tc>
      </w:tr>
      <w:tr>
        <w:tc>
          <w:tcPr>
            <w:tcW w:w="907" w:type="dxa"/>
            <w:vMerge w:val="restart"/>
          </w:tcPr>
          <w:p>
            <w:pPr>
              <w:pStyle w:val="0"/>
            </w:pPr>
            <w:r>
              <w:rPr>
                <w:sz w:val="20"/>
              </w:rPr>
              <w:t xml:space="preserve">1.10</w:t>
            </w:r>
          </w:p>
        </w:tc>
        <w:tc>
          <w:tcPr>
            <w:tcW w:w="2608" w:type="dxa"/>
            <w:vMerge w:val="restart"/>
          </w:tcPr>
          <w:p>
            <w:pPr>
              <w:pStyle w:val="0"/>
            </w:pPr>
            <w:r>
              <w:rPr>
                <w:sz w:val="20"/>
              </w:rPr>
              <w:t xml:space="preserve">Центральная распределительная подстанция N 6 с периферийным сооружением и кабельными линиями района Российского центра программирования в г. Дубне Московской области (5-я очередь)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442481,28</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442481,28</w:t>
            </w:r>
          </w:p>
        </w:tc>
        <w:tc>
          <w:tcPr>
            <w:tcW w:w="1587" w:type="dxa"/>
          </w:tcPr>
          <w:p>
            <w:pPr>
              <w:pStyle w:val="0"/>
            </w:pPr>
            <w:r>
              <w:rPr>
                <w:sz w:val="20"/>
              </w:rPr>
              <w:t xml:space="preserve">10952,51</w:t>
            </w:r>
          </w:p>
        </w:tc>
        <w:tc>
          <w:tcPr>
            <w:tcW w:w="1587" w:type="dxa"/>
          </w:tcPr>
          <w:p>
            <w:pPr>
              <w:pStyle w:val="0"/>
            </w:pPr>
            <w:r>
              <w:rPr>
                <w:sz w:val="20"/>
              </w:rPr>
              <w:t xml:space="preserve">-</w:t>
            </w:r>
          </w:p>
        </w:tc>
        <w:tc>
          <w:tcPr>
            <w:tcW w:w="1701" w:type="dxa"/>
          </w:tcPr>
          <w:p>
            <w:pPr>
              <w:pStyle w:val="0"/>
            </w:pPr>
            <w:r>
              <w:rPr>
                <w:sz w:val="20"/>
              </w:rPr>
              <w:t xml:space="preserve">302070,14</w:t>
            </w:r>
          </w:p>
        </w:tc>
        <w:tc>
          <w:tcPr>
            <w:tcW w:w="1587" w:type="dxa"/>
          </w:tcPr>
          <w:p>
            <w:pPr>
              <w:pStyle w:val="0"/>
            </w:pPr>
            <w:r>
              <w:rPr>
                <w:sz w:val="20"/>
              </w:rPr>
              <w:t xml:space="preserve">129458,63</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442481,28</w:t>
            </w:r>
          </w:p>
        </w:tc>
        <w:tc>
          <w:tcPr>
            <w:tcW w:w="1587" w:type="dxa"/>
          </w:tcPr>
          <w:p>
            <w:pPr>
              <w:pStyle w:val="0"/>
            </w:pPr>
            <w:r>
              <w:rPr>
                <w:sz w:val="20"/>
              </w:rPr>
              <w:t xml:space="preserve">10952,51</w:t>
            </w:r>
          </w:p>
        </w:tc>
        <w:tc>
          <w:tcPr>
            <w:tcW w:w="1587" w:type="dxa"/>
          </w:tcPr>
          <w:p>
            <w:pPr>
              <w:pStyle w:val="0"/>
            </w:pPr>
            <w:r>
              <w:rPr>
                <w:sz w:val="20"/>
              </w:rPr>
              <w:t xml:space="preserve">-</w:t>
            </w:r>
          </w:p>
        </w:tc>
        <w:tc>
          <w:tcPr>
            <w:tcW w:w="1701" w:type="dxa"/>
          </w:tcPr>
          <w:p>
            <w:pPr>
              <w:pStyle w:val="0"/>
            </w:pPr>
            <w:r>
              <w:rPr>
                <w:sz w:val="20"/>
              </w:rPr>
              <w:t xml:space="preserve">302070,14</w:t>
            </w:r>
          </w:p>
        </w:tc>
        <w:tc>
          <w:tcPr>
            <w:tcW w:w="1587" w:type="dxa"/>
          </w:tcPr>
          <w:p>
            <w:pPr>
              <w:pStyle w:val="0"/>
            </w:pPr>
            <w:r>
              <w:rPr>
                <w:sz w:val="20"/>
              </w:rPr>
              <w:t xml:space="preserve">129458,63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10952,51</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10952,51</w:t>
            </w:r>
          </w:p>
        </w:tc>
        <w:tc>
          <w:tcPr>
            <w:tcW w:w="1587" w:type="dxa"/>
          </w:tcPr>
          <w:p>
            <w:pPr>
              <w:pStyle w:val="0"/>
            </w:pPr>
            <w:r>
              <w:rPr>
                <w:sz w:val="20"/>
              </w:rPr>
              <w:t xml:space="preserve">10952,51</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10952,51</w:t>
            </w:r>
          </w:p>
        </w:tc>
        <w:tc>
          <w:tcPr>
            <w:tcW w:w="1587" w:type="dxa"/>
          </w:tcPr>
          <w:p>
            <w:pPr>
              <w:pStyle w:val="0"/>
            </w:pPr>
            <w:r>
              <w:rPr>
                <w:sz w:val="20"/>
              </w:rPr>
              <w:t xml:space="preserve">10952,51</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422745,00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422745,00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295893,77</w:t>
            </w:r>
          </w:p>
        </w:tc>
        <w:tc>
          <w:tcPr>
            <w:tcW w:w="1587" w:type="dxa"/>
          </w:tcPr>
          <w:p>
            <w:pPr>
              <w:pStyle w:val="0"/>
            </w:pPr>
            <w:r>
              <w:rPr>
                <w:sz w:val="20"/>
              </w:rPr>
              <w:t xml:space="preserve">126851,23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422745,00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295893,77</w:t>
            </w:r>
          </w:p>
        </w:tc>
        <w:tc>
          <w:tcPr>
            <w:tcW w:w="1587" w:type="dxa"/>
          </w:tcPr>
          <w:p>
            <w:pPr>
              <w:pStyle w:val="0"/>
            </w:pPr>
            <w:r>
              <w:rPr>
                <w:sz w:val="20"/>
              </w:rPr>
              <w:t xml:space="preserve">126851,23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8783,77</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8783,77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6176,37</w:t>
            </w:r>
          </w:p>
        </w:tc>
        <w:tc>
          <w:tcPr>
            <w:tcW w:w="1587" w:type="dxa"/>
          </w:tcPr>
          <w:p>
            <w:pPr>
              <w:pStyle w:val="0"/>
            </w:pPr>
            <w:r>
              <w:rPr>
                <w:sz w:val="20"/>
              </w:rPr>
              <w:t xml:space="preserve">2607,40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8783,77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6176,37</w:t>
            </w:r>
          </w:p>
        </w:tc>
        <w:tc>
          <w:tcPr>
            <w:tcW w:w="1587" w:type="dxa"/>
          </w:tcPr>
          <w:p>
            <w:pPr>
              <w:pStyle w:val="0"/>
            </w:pPr>
            <w:r>
              <w:rPr>
                <w:sz w:val="20"/>
              </w:rPr>
              <w:t xml:space="preserve">2607,40</w:t>
            </w:r>
          </w:p>
        </w:tc>
        <w:tc>
          <w:tcPr>
            <w:vMerge w:val="continue"/>
          </w:tcPr>
          <w:p/>
        </w:tc>
        <w:tc>
          <w:tcPr>
            <w:vMerge w:val="continue"/>
          </w:tcPr>
          <w:p/>
        </w:tc>
      </w:tr>
      <w:tr>
        <w:tc>
          <w:tcPr>
            <w:tcW w:w="907" w:type="dxa"/>
            <w:vMerge w:val="restart"/>
          </w:tcPr>
          <w:p>
            <w:pPr>
              <w:pStyle w:val="0"/>
            </w:pPr>
            <w:r>
              <w:rPr>
                <w:sz w:val="20"/>
              </w:rPr>
              <w:t xml:space="preserve">1.11</w:t>
            </w:r>
          </w:p>
        </w:tc>
        <w:tc>
          <w:tcPr>
            <w:tcW w:w="2608" w:type="dxa"/>
            <w:vMerge w:val="restart"/>
          </w:tcPr>
          <w:p>
            <w:pPr>
              <w:pStyle w:val="0"/>
            </w:pPr>
            <w:r>
              <w:rPr>
                <w:sz w:val="20"/>
              </w:rPr>
              <w:t xml:space="preserve">Водопроводные сети и канализационные коллекторы, прокладка сетей телекоммуникаций, информационно-вычислительных сетей района Российского центра программирования в г. Дубне Московской области (5-я очередь)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592996,62</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592996,62</w:t>
            </w:r>
          </w:p>
        </w:tc>
        <w:tc>
          <w:tcPr>
            <w:tcW w:w="1587" w:type="dxa"/>
          </w:tcPr>
          <w:p>
            <w:pPr>
              <w:pStyle w:val="0"/>
            </w:pPr>
            <w:r>
              <w:rPr>
                <w:sz w:val="20"/>
              </w:rPr>
              <w:t xml:space="preserve">17900,00</w:t>
            </w:r>
          </w:p>
        </w:tc>
        <w:tc>
          <w:tcPr>
            <w:tcW w:w="1587" w:type="dxa"/>
          </w:tcPr>
          <w:p>
            <w:pPr>
              <w:pStyle w:val="0"/>
            </w:pPr>
            <w:r>
              <w:rPr>
                <w:sz w:val="20"/>
              </w:rPr>
              <w:t xml:space="preserve">326,07</w:t>
            </w:r>
          </w:p>
        </w:tc>
        <w:tc>
          <w:tcPr>
            <w:tcW w:w="1701" w:type="dxa"/>
          </w:tcPr>
          <w:p>
            <w:pPr>
              <w:pStyle w:val="0"/>
            </w:pPr>
            <w:r>
              <w:rPr>
                <w:sz w:val="20"/>
              </w:rPr>
              <w:t xml:space="preserve">492541,51</w:t>
            </w:r>
          </w:p>
        </w:tc>
        <w:tc>
          <w:tcPr>
            <w:tcW w:w="1587" w:type="dxa"/>
          </w:tcPr>
          <w:p>
            <w:pPr>
              <w:pStyle w:val="0"/>
            </w:pPr>
            <w:r>
              <w:rPr>
                <w:sz w:val="20"/>
              </w:rPr>
              <w:t xml:space="preserve">82229,04</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592996,62</w:t>
            </w:r>
          </w:p>
        </w:tc>
        <w:tc>
          <w:tcPr>
            <w:tcW w:w="1587" w:type="dxa"/>
          </w:tcPr>
          <w:p>
            <w:pPr>
              <w:pStyle w:val="0"/>
            </w:pPr>
            <w:r>
              <w:rPr>
                <w:sz w:val="20"/>
              </w:rPr>
              <w:t xml:space="preserve">17900,00</w:t>
            </w:r>
          </w:p>
        </w:tc>
        <w:tc>
          <w:tcPr>
            <w:tcW w:w="1587" w:type="dxa"/>
          </w:tcPr>
          <w:p>
            <w:pPr>
              <w:pStyle w:val="0"/>
            </w:pPr>
            <w:r>
              <w:rPr>
                <w:sz w:val="20"/>
              </w:rPr>
              <w:t xml:space="preserve">326,07</w:t>
            </w:r>
          </w:p>
        </w:tc>
        <w:tc>
          <w:tcPr>
            <w:tcW w:w="1701" w:type="dxa"/>
          </w:tcPr>
          <w:p>
            <w:pPr>
              <w:pStyle w:val="0"/>
            </w:pPr>
            <w:r>
              <w:rPr>
                <w:sz w:val="20"/>
              </w:rPr>
              <w:t xml:space="preserve">492541,51</w:t>
            </w:r>
          </w:p>
        </w:tc>
        <w:tc>
          <w:tcPr>
            <w:tcW w:w="1587" w:type="dxa"/>
          </w:tcPr>
          <w:p>
            <w:pPr>
              <w:pStyle w:val="0"/>
            </w:pPr>
            <w:r>
              <w:rPr>
                <w:sz w:val="20"/>
              </w:rPr>
              <w:t xml:space="preserve">82229,04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12900,00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12900,00</w:t>
            </w:r>
          </w:p>
        </w:tc>
        <w:tc>
          <w:tcPr>
            <w:tcW w:w="1587" w:type="dxa"/>
          </w:tcPr>
          <w:p>
            <w:pPr>
              <w:pStyle w:val="0"/>
            </w:pPr>
            <w:r>
              <w:rPr>
                <w:sz w:val="20"/>
              </w:rPr>
              <w:t xml:space="preserve">12900,00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12900,00</w:t>
            </w:r>
          </w:p>
        </w:tc>
        <w:tc>
          <w:tcPr>
            <w:tcW w:w="1587" w:type="dxa"/>
          </w:tcPr>
          <w:p>
            <w:pPr>
              <w:pStyle w:val="0"/>
            </w:pPr>
            <w:r>
              <w:rPr>
                <w:sz w:val="20"/>
              </w:rPr>
              <w:t xml:space="preserve">12900,00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01" w:type="dxa"/>
            <w:vMerge w:val="restart"/>
          </w:tcPr>
          <w:p>
            <w:pPr>
              <w:pStyle w:val="0"/>
            </w:pPr>
            <w:r>
              <w:rPr>
                <w:sz w:val="20"/>
              </w:rPr>
              <w:t xml:space="preserve">5326,07</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5326,07</w:t>
            </w:r>
          </w:p>
        </w:tc>
        <w:tc>
          <w:tcPr>
            <w:tcW w:w="1587" w:type="dxa"/>
          </w:tcPr>
          <w:p>
            <w:pPr>
              <w:pStyle w:val="0"/>
            </w:pPr>
            <w:r>
              <w:rPr>
                <w:sz w:val="20"/>
              </w:rPr>
              <w:t xml:space="preserve">5000,00</w:t>
            </w:r>
          </w:p>
        </w:tc>
        <w:tc>
          <w:tcPr>
            <w:tcW w:w="1587" w:type="dxa"/>
          </w:tcPr>
          <w:p>
            <w:pPr>
              <w:pStyle w:val="0"/>
            </w:pPr>
            <w:r>
              <w:rPr>
                <w:sz w:val="20"/>
              </w:rPr>
              <w:t xml:space="preserve">326,07</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5326,07</w:t>
            </w:r>
          </w:p>
        </w:tc>
        <w:tc>
          <w:tcPr>
            <w:tcW w:w="1587" w:type="dxa"/>
          </w:tcPr>
          <w:p>
            <w:pPr>
              <w:pStyle w:val="0"/>
            </w:pPr>
            <w:r>
              <w:rPr>
                <w:sz w:val="20"/>
              </w:rPr>
              <w:t xml:space="preserve">5000,00</w:t>
            </w:r>
          </w:p>
        </w:tc>
        <w:tc>
          <w:tcPr>
            <w:tcW w:w="1587" w:type="dxa"/>
          </w:tcPr>
          <w:p>
            <w:pPr>
              <w:pStyle w:val="0"/>
            </w:pPr>
            <w:r>
              <w:rPr>
                <w:sz w:val="20"/>
              </w:rPr>
              <w:t xml:space="preserve">326,07</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563667,35</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563667,35</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483026,77</w:t>
            </w:r>
          </w:p>
        </w:tc>
        <w:tc>
          <w:tcPr>
            <w:tcW w:w="1587" w:type="dxa"/>
          </w:tcPr>
          <w:p>
            <w:pPr>
              <w:pStyle w:val="0"/>
            </w:pPr>
            <w:r>
              <w:rPr>
                <w:sz w:val="20"/>
              </w:rPr>
              <w:t xml:space="preserve">80640,58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563667,35</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483026,77</w:t>
            </w:r>
          </w:p>
        </w:tc>
        <w:tc>
          <w:tcPr>
            <w:tcW w:w="1587" w:type="dxa"/>
          </w:tcPr>
          <w:p>
            <w:pPr>
              <w:pStyle w:val="0"/>
            </w:pPr>
            <w:r>
              <w:rPr>
                <w:sz w:val="20"/>
              </w:rPr>
              <w:t xml:space="preserve">80640,58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11103,20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11103,20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9514,74</w:t>
            </w:r>
          </w:p>
        </w:tc>
        <w:tc>
          <w:tcPr>
            <w:tcW w:w="1587" w:type="dxa"/>
          </w:tcPr>
          <w:p>
            <w:pPr>
              <w:pStyle w:val="0"/>
            </w:pPr>
            <w:r>
              <w:rPr>
                <w:sz w:val="20"/>
              </w:rPr>
              <w:t xml:space="preserve">1588,46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11103,20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9514,74</w:t>
            </w:r>
          </w:p>
        </w:tc>
        <w:tc>
          <w:tcPr>
            <w:tcW w:w="1587" w:type="dxa"/>
          </w:tcPr>
          <w:p>
            <w:pPr>
              <w:pStyle w:val="0"/>
            </w:pPr>
            <w:r>
              <w:rPr>
                <w:sz w:val="20"/>
              </w:rPr>
              <w:t xml:space="preserve">1588,46</w:t>
            </w:r>
          </w:p>
        </w:tc>
        <w:tc>
          <w:tcPr>
            <w:vMerge w:val="continue"/>
          </w:tcPr>
          <w:p/>
        </w:tc>
        <w:tc>
          <w:tcPr>
            <w:vMerge w:val="continue"/>
          </w:tcPr>
          <w:p/>
        </w:tc>
      </w:tr>
      <w:tr>
        <w:tc>
          <w:tcPr>
            <w:tcW w:w="907" w:type="dxa"/>
            <w:vMerge w:val="restart"/>
          </w:tcPr>
          <w:p>
            <w:pPr>
              <w:pStyle w:val="0"/>
            </w:pPr>
            <w:r>
              <w:rPr>
                <w:sz w:val="20"/>
              </w:rPr>
              <w:t xml:space="preserve">1.12</w:t>
            </w:r>
          </w:p>
        </w:tc>
        <w:tc>
          <w:tcPr>
            <w:tcW w:w="2608" w:type="dxa"/>
            <w:vMerge w:val="restart"/>
          </w:tcPr>
          <w:p>
            <w:pPr>
              <w:pStyle w:val="0"/>
            </w:pPr>
            <w:r>
              <w:rPr>
                <w:sz w:val="20"/>
              </w:rPr>
              <w:t xml:space="preserve">Тепловые сети района Российского центра программирования в г. Дубне Московской области (5-я очередь)</w:t>
            </w:r>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287799,73</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287799,73</w:t>
            </w:r>
          </w:p>
        </w:tc>
        <w:tc>
          <w:tcPr>
            <w:tcW w:w="1587" w:type="dxa"/>
          </w:tcPr>
          <w:p>
            <w:pPr>
              <w:pStyle w:val="0"/>
            </w:pPr>
            <w:r>
              <w:rPr>
                <w:sz w:val="20"/>
              </w:rPr>
              <w:t xml:space="preserve">7090,00</w:t>
            </w:r>
          </w:p>
        </w:tc>
        <w:tc>
          <w:tcPr>
            <w:tcW w:w="1587" w:type="dxa"/>
          </w:tcPr>
          <w:p>
            <w:pPr>
              <w:pStyle w:val="0"/>
            </w:pPr>
            <w:r>
              <w:rPr>
                <w:sz w:val="20"/>
              </w:rPr>
              <w:t xml:space="preserve">-</w:t>
            </w:r>
          </w:p>
        </w:tc>
        <w:tc>
          <w:tcPr>
            <w:tcW w:w="1701" w:type="dxa"/>
          </w:tcPr>
          <w:p>
            <w:pPr>
              <w:pStyle w:val="0"/>
            </w:pPr>
            <w:r>
              <w:rPr>
                <w:sz w:val="20"/>
              </w:rPr>
              <w:t xml:space="preserve">197514,34</w:t>
            </w:r>
          </w:p>
        </w:tc>
        <w:tc>
          <w:tcPr>
            <w:tcW w:w="1587" w:type="dxa"/>
          </w:tcPr>
          <w:p>
            <w:pPr>
              <w:pStyle w:val="0"/>
            </w:pPr>
            <w:r>
              <w:rPr>
                <w:sz w:val="20"/>
              </w:rPr>
              <w:t xml:space="preserve">83195,39</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287799,73</w:t>
            </w:r>
          </w:p>
        </w:tc>
        <w:tc>
          <w:tcPr>
            <w:tcW w:w="1587" w:type="dxa"/>
          </w:tcPr>
          <w:p>
            <w:pPr>
              <w:pStyle w:val="0"/>
            </w:pPr>
            <w:r>
              <w:rPr>
                <w:sz w:val="20"/>
              </w:rPr>
              <w:t xml:space="preserve">7090,00</w:t>
            </w:r>
          </w:p>
        </w:tc>
        <w:tc>
          <w:tcPr>
            <w:tcW w:w="1587" w:type="dxa"/>
          </w:tcPr>
          <w:p>
            <w:pPr>
              <w:pStyle w:val="0"/>
            </w:pPr>
            <w:r>
              <w:rPr>
                <w:sz w:val="20"/>
              </w:rPr>
              <w:t xml:space="preserve">-</w:t>
            </w:r>
          </w:p>
        </w:tc>
        <w:tc>
          <w:tcPr>
            <w:tcW w:w="1701" w:type="dxa"/>
          </w:tcPr>
          <w:p>
            <w:pPr>
              <w:pStyle w:val="0"/>
            </w:pPr>
            <w:r>
              <w:rPr>
                <w:sz w:val="20"/>
              </w:rPr>
              <w:t xml:space="preserve">197514,34</w:t>
            </w:r>
          </w:p>
        </w:tc>
        <w:tc>
          <w:tcPr>
            <w:tcW w:w="1587" w:type="dxa"/>
          </w:tcPr>
          <w:p>
            <w:pPr>
              <w:pStyle w:val="0"/>
            </w:pPr>
            <w:r>
              <w:rPr>
                <w:sz w:val="20"/>
              </w:rPr>
              <w:t xml:space="preserve">83195,39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7090,00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7090,00</w:t>
            </w:r>
          </w:p>
        </w:tc>
        <w:tc>
          <w:tcPr>
            <w:tcW w:w="1587" w:type="dxa"/>
          </w:tcPr>
          <w:p>
            <w:pPr>
              <w:pStyle w:val="0"/>
            </w:pPr>
            <w:r>
              <w:rPr>
                <w:sz w:val="20"/>
              </w:rPr>
              <w:t xml:space="preserve">7090,00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7090,00</w:t>
            </w:r>
          </w:p>
        </w:tc>
        <w:tc>
          <w:tcPr>
            <w:tcW w:w="1587" w:type="dxa"/>
          </w:tcPr>
          <w:p>
            <w:pPr>
              <w:pStyle w:val="0"/>
            </w:pPr>
            <w:r>
              <w:rPr>
                <w:sz w:val="20"/>
              </w:rPr>
              <w:t xml:space="preserve">7090,00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274401,40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274401,40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193075,64</w:t>
            </w:r>
          </w:p>
        </w:tc>
        <w:tc>
          <w:tcPr>
            <w:tcW w:w="1587" w:type="dxa"/>
          </w:tcPr>
          <w:p>
            <w:pPr>
              <w:pStyle w:val="0"/>
            </w:pPr>
            <w:r>
              <w:rPr>
                <w:sz w:val="20"/>
              </w:rPr>
              <w:t xml:space="preserve">81325,76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274401,40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193075,64</w:t>
            </w:r>
          </w:p>
        </w:tc>
        <w:tc>
          <w:tcPr>
            <w:tcW w:w="1587" w:type="dxa"/>
          </w:tcPr>
          <w:p>
            <w:pPr>
              <w:pStyle w:val="0"/>
            </w:pPr>
            <w:r>
              <w:rPr>
                <w:sz w:val="20"/>
              </w:rPr>
              <w:t xml:space="preserve">81325,76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6308,33</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6308,33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4438,70</w:t>
            </w:r>
          </w:p>
        </w:tc>
        <w:tc>
          <w:tcPr>
            <w:tcW w:w="1587" w:type="dxa"/>
          </w:tcPr>
          <w:p>
            <w:pPr>
              <w:pStyle w:val="0"/>
            </w:pPr>
            <w:r>
              <w:rPr>
                <w:sz w:val="20"/>
              </w:rPr>
              <w:t xml:space="preserve">1869,63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6308,33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4438,70</w:t>
            </w:r>
          </w:p>
        </w:tc>
        <w:tc>
          <w:tcPr>
            <w:tcW w:w="1587" w:type="dxa"/>
          </w:tcPr>
          <w:p>
            <w:pPr>
              <w:pStyle w:val="0"/>
            </w:pPr>
            <w:r>
              <w:rPr>
                <w:sz w:val="20"/>
              </w:rPr>
              <w:t xml:space="preserve">1869,63</w:t>
            </w:r>
          </w:p>
        </w:tc>
        <w:tc>
          <w:tcPr>
            <w:vMerge w:val="continue"/>
          </w:tcPr>
          <w:p/>
        </w:tc>
        <w:tc>
          <w:tcPr>
            <w:vMerge w:val="continue"/>
          </w:tcPr>
          <w:p/>
        </w:tc>
      </w:tr>
      <w:tr>
        <w:tc>
          <w:tcPr>
            <w:tcW w:w="907" w:type="dxa"/>
            <w:vMerge w:val="restart"/>
          </w:tcPr>
          <w:p>
            <w:pPr>
              <w:pStyle w:val="0"/>
            </w:pPr>
            <w:r>
              <w:rPr>
                <w:sz w:val="20"/>
              </w:rPr>
              <w:t xml:space="preserve">1.13</w:t>
            </w:r>
          </w:p>
        </w:tc>
        <w:tc>
          <w:tcPr>
            <w:tcW w:w="2608" w:type="dxa"/>
            <w:vMerge w:val="restart"/>
          </w:tcPr>
          <w:p>
            <w:pPr>
              <w:pStyle w:val="0"/>
            </w:pPr>
            <w:r>
              <w:rPr>
                <w:sz w:val="20"/>
              </w:rPr>
              <w:t xml:space="preserve">Котельная N 2 района Российского центра программирования в г. Дубне Московской области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898434,56</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898434,56</w:t>
            </w:r>
          </w:p>
        </w:tc>
        <w:tc>
          <w:tcPr>
            <w:tcW w:w="1587" w:type="dxa"/>
          </w:tcPr>
          <w:p>
            <w:pPr>
              <w:pStyle w:val="0"/>
            </w:pPr>
            <w:r>
              <w:rPr>
                <w:sz w:val="20"/>
              </w:rPr>
              <w:t xml:space="preserve">48154,72</w:t>
            </w:r>
          </w:p>
        </w:tc>
        <w:tc>
          <w:tcPr>
            <w:tcW w:w="1587" w:type="dxa"/>
          </w:tcPr>
          <w:p>
            <w:pPr>
              <w:pStyle w:val="0"/>
            </w:pPr>
            <w:r>
              <w:rPr>
                <w:sz w:val="20"/>
              </w:rPr>
              <w:t xml:space="preserve">98,04</w:t>
            </w:r>
          </w:p>
        </w:tc>
        <w:tc>
          <w:tcPr>
            <w:tcW w:w="1701" w:type="dxa"/>
          </w:tcPr>
          <w:p>
            <w:pPr>
              <w:pStyle w:val="0"/>
            </w:pPr>
            <w:r>
              <w:rPr>
                <w:sz w:val="20"/>
              </w:rPr>
              <w:t xml:space="preserve">595394,00</w:t>
            </w:r>
          </w:p>
        </w:tc>
        <w:tc>
          <w:tcPr>
            <w:tcW w:w="1587" w:type="dxa"/>
          </w:tcPr>
          <w:p>
            <w:pPr>
              <w:pStyle w:val="0"/>
            </w:pPr>
            <w:r>
              <w:rPr>
                <w:sz w:val="20"/>
              </w:rPr>
              <w:t xml:space="preserve">254787,80</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898434,56</w:t>
            </w:r>
          </w:p>
        </w:tc>
        <w:tc>
          <w:tcPr>
            <w:tcW w:w="1587" w:type="dxa"/>
          </w:tcPr>
          <w:p>
            <w:pPr>
              <w:pStyle w:val="0"/>
            </w:pPr>
            <w:r>
              <w:rPr>
                <w:sz w:val="20"/>
              </w:rPr>
              <w:t xml:space="preserve">48154,72</w:t>
            </w:r>
          </w:p>
        </w:tc>
        <w:tc>
          <w:tcPr>
            <w:tcW w:w="1587" w:type="dxa"/>
          </w:tcPr>
          <w:p>
            <w:pPr>
              <w:pStyle w:val="0"/>
            </w:pPr>
            <w:r>
              <w:rPr>
                <w:sz w:val="20"/>
              </w:rPr>
              <w:t xml:space="preserve">98,04</w:t>
            </w:r>
          </w:p>
        </w:tc>
        <w:tc>
          <w:tcPr>
            <w:tcW w:w="1701" w:type="dxa"/>
          </w:tcPr>
          <w:p>
            <w:pPr>
              <w:pStyle w:val="0"/>
            </w:pPr>
            <w:r>
              <w:rPr>
                <w:sz w:val="20"/>
              </w:rPr>
              <w:t xml:space="preserve">595394,00</w:t>
            </w:r>
          </w:p>
        </w:tc>
        <w:tc>
          <w:tcPr>
            <w:tcW w:w="1587" w:type="dxa"/>
          </w:tcPr>
          <w:p>
            <w:pPr>
              <w:pStyle w:val="0"/>
            </w:pPr>
            <w:r>
              <w:rPr>
                <w:sz w:val="20"/>
              </w:rPr>
              <w:t xml:space="preserve">254787,80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48154,72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48154,72</w:t>
            </w:r>
          </w:p>
        </w:tc>
        <w:tc>
          <w:tcPr>
            <w:tcW w:w="1587" w:type="dxa"/>
          </w:tcPr>
          <w:p>
            <w:pPr>
              <w:pStyle w:val="0"/>
            </w:pPr>
            <w:r>
              <w:rPr>
                <w:sz w:val="20"/>
              </w:rPr>
              <w:t xml:space="preserve">48154,72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48154,72</w:t>
            </w:r>
          </w:p>
        </w:tc>
        <w:tc>
          <w:tcPr>
            <w:tcW w:w="1587" w:type="dxa"/>
          </w:tcPr>
          <w:p>
            <w:pPr>
              <w:pStyle w:val="0"/>
            </w:pPr>
            <w:r>
              <w:rPr>
                <w:sz w:val="20"/>
              </w:rPr>
              <w:t xml:space="preserve">48154,72</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01" w:type="dxa"/>
            <w:vMerge w:val="restart"/>
          </w:tcPr>
          <w:p>
            <w:pPr>
              <w:pStyle w:val="0"/>
            </w:pPr>
            <w:r>
              <w:rPr>
                <w:sz w:val="20"/>
              </w:rPr>
              <w:t xml:space="preserve">98,04</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98,04</w:t>
            </w:r>
          </w:p>
        </w:tc>
        <w:tc>
          <w:tcPr>
            <w:tcW w:w="1587" w:type="dxa"/>
          </w:tcPr>
          <w:p>
            <w:pPr>
              <w:pStyle w:val="0"/>
            </w:pPr>
            <w:r>
              <w:rPr>
                <w:sz w:val="20"/>
              </w:rPr>
              <w:t xml:space="preserve">-</w:t>
            </w:r>
          </w:p>
        </w:tc>
        <w:tc>
          <w:tcPr>
            <w:tcW w:w="1587" w:type="dxa"/>
          </w:tcPr>
          <w:p>
            <w:pPr>
              <w:pStyle w:val="0"/>
            </w:pPr>
            <w:r>
              <w:rPr>
                <w:sz w:val="20"/>
              </w:rPr>
              <w:t xml:space="preserve">98,04</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98,04</w:t>
            </w:r>
          </w:p>
        </w:tc>
        <w:tc>
          <w:tcPr>
            <w:tcW w:w="1587" w:type="dxa"/>
          </w:tcPr>
          <w:p>
            <w:pPr>
              <w:pStyle w:val="0"/>
            </w:pPr>
            <w:r>
              <w:rPr>
                <w:sz w:val="20"/>
              </w:rPr>
              <w:t xml:space="preserve">-</w:t>
            </w:r>
          </w:p>
        </w:tc>
        <w:tc>
          <w:tcPr>
            <w:tcW w:w="1587" w:type="dxa"/>
          </w:tcPr>
          <w:p>
            <w:pPr>
              <w:pStyle w:val="0"/>
            </w:pPr>
            <w:r>
              <w:rPr>
                <w:sz w:val="20"/>
              </w:rPr>
              <w:t xml:space="preserve">98,04</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833758,32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833758,32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583892,41</w:t>
            </w:r>
          </w:p>
        </w:tc>
        <w:tc>
          <w:tcPr>
            <w:tcW w:w="1587" w:type="dxa"/>
          </w:tcPr>
          <w:p>
            <w:pPr>
              <w:pStyle w:val="0"/>
            </w:pPr>
            <w:r>
              <w:rPr>
                <w:sz w:val="20"/>
              </w:rPr>
              <w:t xml:space="preserve">249865,91</w:t>
            </w:r>
          </w:p>
        </w:tc>
        <w:tc>
          <w:tcPr>
            <w:tcW w:w="1701"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833758,32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583892,41</w:t>
            </w:r>
          </w:p>
        </w:tc>
        <w:tc>
          <w:tcPr>
            <w:tcW w:w="1587" w:type="dxa"/>
          </w:tcPr>
          <w:p>
            <w:pPr>
              <w:pStyle w:val="0"/>
            </w:pPr>
            <w:r>
              <w:rPr>
                <w:sz w:val="20"/>
              </w:rPr>
              <w:t xml:space="preserve">249865,91</w:t>
            </w:r>
          </w:p>
        </w:tc>
        <w:tc>
          <w:tcPr>
            <w:tcW w:w="1701"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16423,48</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16423,48</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11501,59</w:t>
            </w:r>
          </w:p>
        </w:tc>
        <w:tc>
          <w:tcPr>
            <w:tcW w:w="1587" w:type="dxa"/>
          </w:tcPr>
          <w:p>
            <w:pPr>
              <w:pStyle w:val="0"/>
            </w:pPr>
            <w:r>
              <w:rPr>
                <w:sz w:val="20"/>
              </w:rPr>
              <w:t xml:space="preserve">4921,89</w:t>
            </w:r>
          </w:p>
        </w:tc>
        <w:tc>
          <w:tcPr>
            <w:tcW w:w="1701"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16423,48</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11501,59</w:t>
            </w:r>
          </w:p>
        </w:tc>
        <w:tc>
          <w:tcPr>
            <w:tcW w:w="1587" w:type="dxa"/>
          </w:tcPr>
          <w:p>
            <w:pPr>
              <w:pStyle w:val="0"/>
            </w:pPr>
            <w:r>
              <w:rPr>
                <w:sz w:val="20"/>
              </w:rPr>
              <w:t xml:space="preserve">4921,89</w:t>
            </w:r>
          </w:p>
        </w:tc>
        <w:tc>
          <w:tcPr>
            <w:tcW w:w="1701" w:type="dxa"/>
          </w:tcPr>
          <w:p>
            <w:pPr>
              <w:pStyle w:val="0"/>
            </w:pPr>
            <w:r>
              <w:rPr>
                <w:sz w:val="20"/>
              </w:rPr>
            </w:r>
          </w:p>
        </w:tc>
        <w:tc>
          <w:tcPr>
            <w:tcW w:w="1644" w:type="dxa"/>
          </w:tcPr>
          <w:p>
            <w:pPr>
              <w:pStyle w:val="0"/>
            </w:pPr>
            <w:r>
              <w:rPr>
                <w:sz w:val="20"/>
              </w:rPr>
            </w:r>
          </w:p>
        </w:tc>
      </w:tr>
      <w:tr>
        <w:tc>
          <w:tcPr>
            <w:tcW w:w="907" w:type="dxa"/>
            <w:vMerge w:val="restart"/>
          </w:tcPr>
          <w:p>
            <w:pPr>
              <w:pStyle w:val="0"/>
            </w:pPr>
            <w:r>
              <w:rPr>
                <w:sz w:val="20"/>
              </w:rPr>
              <w:t xml:space="preserve">1.14</w:t>
            </w:r>
          </w:p>
        </w:tc>
        <w:tc>
          <w:tcPr>
            <w:tcW w:w="2608" w:type="dxa"/>
            <w:vMerge w:val="restart"/>
          </w:tcPr>
          <w:p>
            <w:pPr>
              <w:pStyle w:val="0"/>
            </w:pPr>
            <w:r>
              <w:rPr>
                <w:sz w:val="20"/>
              </w:rPr>
              <w:t xml:space="preserve">Объекты таможенной инфраструктуры Особой экономической зоны в городе Дубне Московской области на площадке РЦП (Участок N 1) (5-я очередь) Инженерные сети КПП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427720,82</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427720,82</w:t>
            </w:r>
          </w:p>
        </w:tc>
        <w:tc>
          <w:tcPr>
            <w:tcW w:w="1587" w:type="dxa"/>
          </w:tcPr>
          <w:p>
            <w:pPr>
              <w:pStyle w:val="0"/>
            </w:pPr>
            <w:r>
              <w:rPr>
                <w:sz w:val="20"/>
              </w:rPr>
              <w:t xml:space="preserve">9128,16</w:t>
            </w:r>
          </w:p>
        </w:tc>
        <w:tc>
          <w:tcPr>
            <w:tcW w:w="1587" w:type="dxa"/>
          </w:tcPr>
          <w:p>
            <w:pPr>
              <w:pStyle w:val="0"/>
            </w:pPr>
            <w:r>
              <w:rPr>
                <w:sz w:val="20"/>
              </w:rPr>
              <w:t xml:space="preserve">-</w:t>
            </w:r>
          </w:p>
        </w:tc>
        <w:tc>
          <w:tcPr>
            <w:tcW w:w="1701" w:type="dxa"/>
          </w:tcPr>
          <w:p>
            <w:pPr>
              <w:pStyle w:val="0"/>
            </w:pPr>
            <w:r>
              <w:rPr>
                <w:sz w:val="20"/>
              </w:rPr>
              <w:t xml:space="preserve">301960,24</w:t>
            </w:r>
          </w:p>
        </w:tc>
        <w:tc>
          <w:tcPr>
            <w:tcW w:w="1587" w:type="dxa"/>
          </w:tcPr>
          <w:p>
            <w:pPr>
              <w:pStyle w:val="0"/>
            </w:pPr>
            <w:r>
              <w:rPr>
                <w:sz w:val="20"/>
              </w:rPr>
              <w:t xml:space="preserve">116632,42</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427720,82</w:t>
            </w:r>
          </w:p>
        </w:tc>
        <w:tc>
          <w:tcPr>
            <w:tcW w:w="1587" w:type="dxa"/>
          </w:tcPr>
          <w:p>
            <w:pPr>
              <w:pStyle w:val="0"/>
            </w:pPr>
            <w:r>
              <w:rPr>
                <w:sz w:val="20"/>
              </w:rPr>
              <w:t xml:space="preserve">9128,16</w:t>
            </w:r>
          </w:p>
        </w:tc>
        <w:tc>
          <w:tcPr>
            <w:tcW w:w="1587" w:type="dxa"/>
          </w:tcPr>
          <w:p>
            <w:pPr>
              <w:pStyle w:val="0"/>
            </w:pPr>
            <w:r>
              <w:rPr>
                <w:sz w:val="20"/>
              </w:rPr>
              <w:t xml:space="preserve">-</w:t>
            </w:r>
          </w:p>
        </w:tc>
        <w:tc>
          <w:tcPr>
            <w:tcW w:w="1701" w:type="dxa"/>
          </w:tcPr>
          <w:p>
            <w:pPr>
              <w:pStyle w:val="0"/>
            </w:pPr>
            <w:r>
              <w:rPr>
                <w:sz w:val="20"/>
              </w:rPr>
              <w:t xml:space="preserve">301960,24</w:t>
            </w:r>
          </w:p>
        </w:tc>
        <w:tc>
          <w:tcPr>
            <w:tcW w:w="1587" w:type="dxa"/>
          </w:tcPr>
          <w:p>
            <w:pPr>
              <w:pStyle w:val="0"/>
            </w:pPr>
            <w:r>
              <w:rPr>
                <w:sz w:val="20"/>
              </w:rPr>
              <w:t xml:space="preserve">116632,42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9128,16</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9128,16</w:t>
            </w:r>
          </w:p>
        </w:tc>
        <w:tc>
          <w:tcPr>
            <w:tcW w:w="1587" w:type="dxa"/>
          </w:tcPr>
          <w:p>
            <w:pPr>
              <w:pStyle w:val="0"/>
            </w:pPr>
            <w:r>
              <w:rPr>
                <w:sz w:val="20"/>
              </w:rPr>
              <w:t xml:space="preserve">9128,16</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9128,16</w:t>
            </w:r>
          </w:p>
        </w:tc>
        <w:tc>
          <w:tcPr>
            <w:tcW w:w="1587" w:type="dxa"/>
          </w:tcPr>
          <w:p>
            <w:pPr>
              <w:pStyle w:val="0"/>
            </w:pPr>
            <w:r>
              <w:rPr>
                <w:sz w:val="20"/>
              </w:rPr>
              <w:t xml:space="preserve">9128,16</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410019,87</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410019,87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295772,72</w:t>
            </w:r>
          </w:p>
        </w:tc>
        <w:tc>
          <w:tcPr>
            <w:tcW w:w="1587" w:type="dxa"/>
          </w:tcPr>
          <w:p>
            <w:pPr>
              <w:pStyle w:val="0"/>
            </w:pPr>
            <w:r>
              <w:rPr>
                <w:sz w:val="20"/>
              </w:rPr>
              <w:t xml:space="preserve">114247,15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410019,87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295772,72</w:t>
            </w:r>
          </w:p>
        </w:tc>
        <w:tc>
          <w:tcPr>
            <w:tcW w:w="1587" w:type="dxa"/>
          </w:tcPr>
          <w:p>
            <w:pPr>
              <w:pStyle w:val="0"/>
            </w:pPr>
            <w:r>
              <w:rPr>
                <w:sz w:val="20"/>
              </w:rPr>
              <w:t xml:space="preserve">114247,15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8572,79</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8572,79</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6187,52</w:t>
            </w:r>
          </w:p>
        </w:tc>
        <w:tc>
          <w:tcPr>
            <w:tcW w:w="1587" w:type="dxa"/>
          </w:tcPr>
          <w:p>
            <w:pPr>
              <w:pStyle w:val="0"/>
            </w:pPr>
            <w:r>
              <w:rPr>
                <w:sz w:val="20"/>
              </w:rPr>
              <w:t xml:space="preserve">2385,27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8572,79</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6187,52</w:t>
            </w:r>
          </w:p>
        </w:tc>
        <w:tc>
          <w:tcPr>
            <w:tcW w:w="1587" w:type="dxa"/>
          </w:tcPr>
          <w:p>
            <w:pPr>
              <w:pStyle w:val="0"/>
            </w:pPr>
            <w:r>
              <w:rPr>
                <w:sz w:val="20"/>
              </w:rPr>
              <w:t xml:space="preserve">2385,27</w:t>
            </w:r>
          </w:p>
        </w:tc>
        <w:tc>
          <w:tcPr>
            <w:vMerge w:val="continue"/>
          </w:tcPr>
          <w:p/>
        </w:tc>
        <w:tc>
          <w:tcPr>
            <w:vMerge w:val="continue"/>
          </w:tcPr>
          <w:p/>
        </w:tc>
      </w:tr>
      <w:tr>
        <w:tc>
          <w:tcPr>
            <w:tcW w:w="907" w:type="dxa"/>
            <w:vMerge w:val="restart"/>
          </w:tcPr>
          <w:p>
            <w:pPr>
              <w:pStyle w:val="0"/>
            </w:pPr>
            <w:r>
              <w:rPr>
                <w:sz w:val="20"/>
              </w:rPr>
              <w:t xml:space="preserve">1.15</w:t>
            </w:r>
          </w:p>
        </w:tc>
        <w:tc>
          <w:tcPr>
            <w:tcW w:w="2608" w:type="dxa"/>
            <w:vMerge w:val="restart"/>
          </w:tcPr>
          <w:p>
            <w:pPr>
              <w:pStyle w:val="0"/>
            </w:pPr>
            <w:r>
              <w:rPr>
                <w:sz w:val="20"/>
              </w:rPr>
              <w:t xml:space="preserve">Котельная N 3 (с тепловыми сетями) района Новой промышленной зоны в г. Дубне Московской области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01.11.2023-29.07.2024 </w:t>
            </w:r>
            <w:hyperlink w:history="0" w:anchor="P10219" w:tooltip="&lt;***&gt; Работы по объекту не выполнены, 29.07.2024 осуществлен возврат 39000 тыс. рублей в бюджет Московской области.">
              <w:r>
                <w:rPr>
                  <w:sz w:val="20"/>
                  <w:color w:val="0000ff"/>
                </w:rPr>
                <w:t xml:space="preserve">&lt;***&gt;</w:t>
              </w:r>
            </w:hyperlink>
          </w:p>
        </w:tc>
        <w:tc>
          <w:tcPr>
            <w:tcW w:w="1531" w:type="dxa"/>
            <w:vMerge w:val="restart"/>
          </w:tcPr>
          <w:p>
            <w:pPr>
              <w:pStyle w:val="0"/>
            </w:pPr>
            <w:r>
              <w:rPr>
                <w:sz w:val="20"/>
              </w:rPr>
              <w:t xml:space="preserve">29.07.2024</w:t>
            </w:r>
          </w:p>
        </w:tc>
        <w:tc>
          <w:tcPr>
            <w:tcW w:w="2608" w:type="dxa"/>
            <w:vMerge w:val="restart"/>
          </w:tcPr>
          <w:p>
            <w:pPr>
              <w:pStyle w:val="0"/>
            </w:pPr>
            <w:r>
              <w:rPr>
                <w:sz w:val="20"/>
              </w:rPr>
              <w:t xml:space="preserve">Строительство (в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39000,00</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39000,00</w:t>
            </w:r>
          </w:p>
        </w:tc>
        <w:tc>
          <w:tcPr>
            <w:tcW w:w="1587" w:type="dxa"/>
          </w:tcPr>
          <w:p>
            <w:pPr>
              <w:pStyle w:val="0"/>
            </w:pPr>
            <w:r>
              <w:rPr>
                <w:sz w:val="20"/>
              </w:rPr>
              <w:t xml:space="preserve">39000,00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39000,00</w:t>
            </w:r>
          </w:p>
        </w:tc>
        <w:tc>
          <w:tcPr>
            <w:tcW w:w="1587" w:type="dxa"/>
          </w:tcPr>
          <w:p>
            <w:pPr>
              <w:pStyle w:val="0"/>
            </w:pPr>
            <w:r>
              <w:rPr>
                <w:sz w:val="20"/>
              </w:rPr>
              <w:t xml:space="preserve">39000,00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39000,00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39000,00</w:t>
            </w:r>
          </w:p>
        </w:tc>
        <w:tc>
          <w:tcPr>
            <w:tcW w:w="1587" w:type="dxa"/>
          </w:tcPr>
          <w:p>
            <w:pPr>
              <w:pStyle w:val="0"/>
            </w:pPr>
            <w:r>
              <w:rPr>
                <w:sz w:val="20"/>
              </w:rPr>
              <w:t xml:space="preserve">39000,00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39000,00</w:t>
            </w:r>
          </w:p>
        </w:tc>
        <w:tc>
          <w:tcPr>
            <w:tcW w:w="1587" w:type="dxa"/>
          </w:tcPr>
          <w:p>
            <w:pPr>
              <w:pStyle w:val="0"/>
            </w:pPr>
            <w:r>
              <w:rPr>
                <w:sz w:val="20"/>
              </w:rPr>
              <w:t xml:space="preserve">39000,00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1.16</w:t>
            </w:r>
          </w:p>
        </w:tc>
        <w:tc>
          <w:tcPr>
            <w:tcW w:w="2608" w:type="dxa"/>
            <w:vMerge w:val="restart"/>
          </w:tcPr>
          <w:p>
            <w:pPr>
              <w:pStyle w:val="0"/>
            </w:pPr>
            <w:r>
              <w:rPr>
                <w:sz w:val="20"/>
              </w:rPr>
              <w:t xml:space="preserve">Дорожная инфраструктура района Новой промышленной зоны в г. Дубне Московской области </w:t>
            </w:r>
            <w:hyperlink w:history="0" w:anchor="P10217" w:tooltip="&lt;*&gt; По 7 объектам осуществлен возврат денежных средств, предоставленных в 2023 году в рамках соглашения от 28.06.2022 N 18/06-22 &quot;О предоставлении субсидии Акционерному обществу &quot;Особая экономическая зона технико-внедренческого типа &quot;Дубна&quot;, в размере 69819438,27 рублей.">
              <w:r>
                <w:rPr>
                  <w:sz w:val="20"/>
                  <w:color w:val="0000ff"/>
                </w:rPr>
                <w:t xml:space="preserve">&lt;*&gt;</w:t>
              </w:r>
            </w:hyperlink>
          </w:p>
        </w:tc>
        <w:tc>
          <w:tcPr>
            <w:tcW w:w="2438" w:type="dxa"/>
            <w:vMerge w:val="restart"/>
          </w:tcPr>
          <w:p>
            <w:pPr>
              <w:pStyle w:val="0"/>
            </w:pPr>
            <w:r>
              <w:rPr>
                <w:sz w:val="20"/>
              </w:rPr>
              <w:t xml:space="preserve">01.11.2023-15.12.2026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177211,85</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177211,85</w:t>
            </w:r>
          </w:p>
        </w:tc>
        <w:tc>
          <w:tcPr>
            <w:tcW w:w="1587" w:type="dxa"/>
          </w:tcPr>
          <w:p>
            <w:pPr>
              <w:pStyle w:val="0"/>
            </w:pPr>
            <w:r>
              <w:rPr>
                <w:sz w:val="20"/>
              </w:rPr>
              <w:t xml:space="preserve">9779,59</w:t>
            </w:r>
          </w:p>
        </w:tc>
        <w:tc>
          <w:tcPr>
            <w:tcW w:w="1587" w:type="dxa"/>
          </w:tcPr>
          <w:p>
            <w:pPr>
              <w:pStyle w:val="0"/>
            </w:pPr>
            <w:r>
              <w:rPr>
                <w:sz w:val="20"/>
              </w:rPr>
              <w:t xml:space="preserve">-</w:t>
            </w:r>
          </w:p>
        </w:tc>
        <w:tc>
          <w:tcPr>
            <w:tcW w:w="1701" w:type="dxa"/>
          </w:tcPr>
          <w:p>
            <w:pPr>
              <w:pStyle w:val="0"/>
            </w:pPr>
            <w:r>
              <w:rPr>
                <w:sz w:val="20"/>
              </w:rPr>
              <w:t xml:space="preserve">117202,58</w:t>
            </w:r>
          </w:p>
        </w:tc>
        <w:tc>
          <w:tcPr>
            <w:tcW w:w="1587" w:type="dxa"/>
          </w:tcPr>
          <w:p>
            <w:pPr>
              <w:pStyle w:val="0"/>
            </w:pPr>
            <w:r>
              <w:rPr>
                <w:sz w:val="20"/>
              </w:rPr>
              <w:t xml:space="preserve">50229,68</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177211,85</w:t>
            </w:r>
          </w:p>
        </w:tc>
        <w:tc>
          <w:tcPr>
            <w:tcW w:w="1587" w:type="dxa"/>
          </w:tcPr>
          <w:p>
            <w:pPr>
              <w:pStyle w:val="0"/>
            </w:pPr>
            <w:r>
              <w:rPr>
                <w:sz w:val="20"/>
              </w:rPr>
              <w:t xml:space="preserve">9779,59</w:t>
            </w:r>
          </w:p>
        </w:tc>
        <w:tc>
          <w:tcPr>
            <w:tcW w:w="1587" w:type="dxa"/>
          </w:tcPr>
          <w:p>
            <w:pPr>
              <w:pStyle w:val="0"/>
            </w:pPr>
            <w:r>
              <w:rPr>
                <w:sz w:val="20"/>
              </w:rPr>
              <w:t xml:space="preserve">-</w:t>
            </w:r>
          </w:p>
        </w:tc>
        <w:tc>
          <w:tcPr>
            <w:tcW w:w="1701" w:type="dxa"/>
          </w:tcPr>
          <w:p>
            <w:pPr>
              <w:pStyle w:val="0"/>
            </w:pPr>
            <w:r>
              <w:rPr>
                <w:sz w:val="20"/>
              </w:rPr>
              <w:t xml:space="preserve">117202,58</w:t>
            </w:r>
          </w:p>
        </w:tc>
        <w:tc>
          <w:tcPr>
            <w:tcW w:w="1587" w:type="dxa"/>
          </w:tcPr>
          <w:p>
            <w:pPr>
              <w:pStyle w:val="0"/>
            </w:pPr>
            <w:r>
              <w:rPr>
                <w:sz w:val="20"/>
              </w:rPr>
              <w:t xml:space="preserve">50229,68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9779,59</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9779,59</w:t>
            </w:r>
          </w:p>
        </w:tc>
        <w:tc>
          <w:tcPr>
            <w:tcW w:w="1587" w:type="dxa"/>
          </w:tcPr>
          <w:p>
            <w:pPr>
              <w:pStyle w:val="0"/>
            </w:pPr>
            <w:r>
              <w:rPr>
                <w:sz w:val="20"/>
              </w:rPr>
              <w:t xml:space="preserve">9779,59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9779,59</w:t>
            </w:r>
          </w:p>
        </w:tc>
        <w:tc>
          <w:tcPr>
            <w:tcW w:w="1587" w:type="dxa"/>
          </w:tcPr>
          <w:p>
            <w:pPr>
              <w:pStyle w:val="0"/>
            </w:pPr>
            <w:r>
              <w:rPr>
                <w:sz w:val="20"/>
              </w:rPr>
              <w:t xml:space="preserve">9779,59</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164011,11</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164011,11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114806,56</w:t>
            </w:r>
          </w:p>
        </w:tc>
        <w:tc>
          <w:tcPr>
            <w:tcW w:w="1587" w:type="dxa"/>
          </w:tcPr>
          <w:p>
            <w:pPr>
              <w:pStyle w:val="0"/>
            </w:pPr>
            <w:r>
              <w:rPr>
                <w:sz w:val="20"/>
              </w:rPr>
              <w:t xml:space="preserve">49204,55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164011,11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114806,56</w:t>
            </w:r>
          </w:p>
        </w:tc>
        <w:tc>
          <w:tcPr>
            <w:tcW w:w="1587" w:type="dxa"/>
          </w:tcPr>
          <w:p>
            <w:pPr>
              <w:pStyle w:val="0"/>
            </w:pPr>
            <w:r>
              <w:rPr>
                <w:sz w:val="20"/>
              </w:rPr>
              <w:t xml:space="preserve">49204,55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3421,15</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3421,15</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2396,02</w:t>
            </w:r>
          </w:p>
        </w:tc>
        <w:tc>
          <w:tcPr>
            <w:tcW w:w="1587" w:type="dxa"/>
          </w:tcPr>
          <w:p>
            <w:pPr>
              <w:pStyle w:val="0"/>
            </w:pPr>
            <w:r>
              <w:rPr>
                <w:sz w:val="20"/>
              </w:rPr>
              <w:t xml:space="preserve">1025,13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3421,15</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2396,02</w:t>
            </w:r>
          </w:p>
        </w:tc>
        <w:tc>
          <w:tcPr>
            <w:tcW w:w="1587" w:type="dxa"/>
          </w:tcPr>
          <w:p>
            <w:pPr>
              <w:pStyle w:val="0"/>
            </w:pPr>
            <w:r>
              <w:rPr>
                <w:sz w:val="20"/>
              </w:rPr>
              <w:t xml:space="preserve">1025,13</w:t>
            </w:r>
          </w:p>
        </w:tc>
        <w:tc>
          <w:tcPr>
            <w:vMerge w:val="continue"/>
          </w:tcPr>
          <w:p/>
        </w:tc>
        <w:tc>
          <w:tcPr>
            <w:vMerge w:val="continue"/>
          </w:tcPr>
          <w:p/>
        </w:tc>
      </w:tr>
      <w:tr>
        <w:tc>
          <w:tcPr>
            <w:tcW w:w="907" w:type="dxa"/>
            <w:vMerge w:val="restart"/>
          </w:tcPr>
          <w:p>
            <w:pPr>
              <w:pStyle w:val="0"/>
            </w:pPr>
            <w:r>
              <w:rPr>
                <w:sz w:val="20"/>
              </w:rPr>
              <w:t xml:space="preserve">1.17</w:t>
            </w:r>
          </w:p>
        </w:tc>
        <w:tc>
          <w:tcPr>
            <w:tcW w:w="2608" w:type="dxa"/>
            <w:vMerge w:val="restart"/>
          </w:tcPr>
          <w:p>
            <w:pPr>
              <w:pStyle w:val="0"/>
            </w:pPr>
            <w:r>
              <w:rPr>
                <w:sz w:val="20"/>
              </w:rPr>
              <w:t xml:space="preserve">Строительство участка тепловой сети УТ1а-УТ4а района Новая промышленная зона в г. Дубна Московской области</w:t>
            </w:r>
          </w:p>
        </w:tc>
        <w:tc>
          <w:tcPr>
            <w:tcW w:w="2438" w:type="dxa"/>
            <w:vMerge w:val="restart"/>
          </w:tcPr>
          <w:p>
            <w:pPr>
              <w:pStyle w:val="0"/>
            </w:pPr>
            <w:r>
              <w:rPr>
                <w:sz w:val="20"/>
              </w:rPr>
              <w:t xml:space="preserve">01.10.2024-15.12.2026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66379,12</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66379,12</w:t>
            </w:r>
          </w:p>
        </w:tc>
        <w:tc>
          <w:tcPr>
            <w:tcW w:w="1587" w:type="dxa"/>
          </w:tcPr>
          <w:p>
            <w:pPr>
              <w:pStyle w:val="0"/>
            </w:pPr>
            <w:r>
              <w:rPr>
                <w:sz w:val="20"/>
              </w:rPr>
              <w:t xml:space="preserve">-</w:t>
            </w:r>
          </w:p>
        </w:tc>
        <w:tc>
          <w:tcPr>
            <w:tcW w:w="1587" w:type="dxa"/>
          </w:tcPr>
          <w:p>
            <w:pPr>
              <w:pStyle w:val="0"/>
            </w:pPr>
            <w:r>
              <w:rPr>
                <w:sz w:val="20"/>
              </w:rPr>
              <w:t xml:space="preserve">3083,86</w:t>
            </w:r>
          </w:p>
        </w:tc>
        <w:tc>
          <w:tcPr>
            <w:tcW w:w="1701" w:type="dxa"/>
          </w:tcPr>
          <w:p>
            <w:pPr>
              <w:pStyle w:val="0"/>
            </w:pPr>
            <w:r>
              <w:rPr>
                <w:sz w:val="20"/>
              </w:rPr>
              <w:t xml:space="preserve">44306,68</w:t>
            </w:r>
          </w:p>
        </w:tc>
        <w:tc>
          <w:tcPr>
            <w:tcW w:w="1587" w:type="dxa"/>
          </w:tcPr>
          <w:p>
            <w:pPr>
              <w:pStyle w:val="0"/>
            </w:pPr>
            <w:r>
              <w:rPr>
                <w:sz w:val="20"/>
              </w:rPr>
              <w:t xml:space="preserve">18988,58</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66379,12</w:t>
            </w:r>
          </w:p>
        </w:tc>
        <w:tc>
          <w:tcPr>
            <w:tcW w:w="1587" w:type="dxa"/>
          </w:tcPr>
          <w:p>
            <w:pPr>
              <w:pStyle w:val="0"/>
            </w:pPr>
            <w:r>
              <w:rPr>
                <w:sz w:val="20"/>
              </w:rPr>
              <w:t xml:space="preserve">-</w:t>
            </w:r>
          </w:p>
        </w:tc>
        <w:tc>
          <w:tcPr>
            <w:tcW w:w="1587" w:type="dxa"/>
          </w:tcPr>
          <w:p>
            <w:pPr>
              <w:pStyle w:val="0"/>
            </w:pPr>
            <w:r>
              <w:rPr>
                <w:sz w:val="20"/>
              </w:rPr>
              <w:t xml:space="preserve">3083,86</w:t>
            </w:r>
          </w:p>
        </w:tc>
        <w:tc>
          <w:tcPr>
            <w:tcW w:w="1701" w:type="dxa"/>
          </w:tcPr>
          <w:p>
            <w:pPr>
              <w:pStyle w:val="0"/>
            </w:pPr>
            <w:r>
              <w:rPr>
                <w:sz w:val="20"/>
              </w:rPr>
              <w:t xml:space="preserve">44306,68</w:t>
            </w:r>
          </w:p>
        </w:tc>
        <w:tc>
          <w:tcPr>
            <w:tcW w:w="1587" w:type="dxa"/>
          </w:tcPr>
          <w:p>
            <w:pPr>
              <w:pStyle w:val="0"/>
            </w:pPr>
            <w:r>
              <w:rPr>
                <w:sz w:val="20"/>
              </w:rPr>
              <w:t xml:space="preserve">18988,58</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2350,00</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2350,00</w:t>
            </w:r>
          </w:p>
        </w:tc>
        <w:tc>
          <w:tcPr>
            <w:tcW w:w="1587" w:type="dxa"/>
          </w:tcPr>
          <w:p>
            <w:pPr>
              <w:pStyle w:val="0"/>
            </w:pPr>
            <w:r>
              <w:rPr>
                <w:sz w:val="20"/>
              </w:rPr>
              <w:t xml:space="preserve">-</w:t>
            </w:r>
          </w:p>
        </w:tc>
        <w:tc>
          <w:tcPr>
            <w:tcW w:w="1587" w:type="dxa"/>
          </w:tcPr>
          <w:p>
            <w:pPr>
              <w:pStyle w:val="0"/>
            </w:pPr>
            <w:r>
              <w:rPr>
                <w:sz w:val="20"/>
              </w:rPr>
              <w:t xml:space="preserve">2350,00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2350,00</w:t>
            </w:r>
          </w:p>
        </w:tc>
        <w:tc>
          <w:tcPr>
            <w:tcW w:w="1587" w:type="dxa"/>
          </w:tcPr>
          <w:p>
            <w:pPr>
              <w:pStyle w:val="0"/>
            </w:pPr>
            <w:r>
              <w:rPr>
                <w:sz w:val="20"/>
              </w:rPr>
              <w:t xml:space="preserve">-</w:t>
            </w:r>
          </w:p>
        </w:tc>
        <w:tc>
          <w:tcPr>
            <w:tcW w:w="1587" w:type="dxa"/>
          </w:tcPr>
          <w:p>
            <w:pPr>
              <w:pStyle w:val="0"/>
            </w:pPr>
            <w:r>
              <w:rPr>
                <w:sz w:val="20"/>
              </w:rPr>
              <w:t xml:space="preserve">2350,00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01" w:type="dxa"/>
            <w:vMerge w:val="restart"/>
          </w:tcPr>
          <w:p>
            <w:pPr>
              <w:pStyle w:val="0"/>
            </w:pPr>
            <w:r>
              <w:rPr>
                <w:sz w:val="20"/>
              </w:rPr>
              <w:t xml:space="preserve">733,86</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733,86</w:t>
            </w:r>
          </w:p>
        </w:tc>
        <w:tc>
          <w:tcPr>
            <w:tcW w:w="1587" w:type="dxa"/>
          </w:tcPr>
          <w:p>
            <w:pPr>
              <w:pStyle w:val="0"/>
            </w:pPr>
            <w:r>
              <w:rPr>
                <w:sz w:val="20"/>
              </w:rPr>
              <w:t xml:space="preserve">-</w:t>
            </w:r>
          </w:p>
        </w:tc>
        <w:tc>
          <w:tcPr>
            <w:tcW w:w="1587" w:type="dxa"/>
          </w:tcPr>
          <w:p>
            <w:pPr>
              <w:pStyle w:val="0"/>
            </w:pPr>
            <w:r>
              <w:rPr>
                <w:sz w:val="20"/>
              </w:rPr>
              <w:t xml:space="preserve">733,86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733,86</w:t>
            </w:r>
          </w:p>
        </w:tc>
        <w:tc>
          <w:tcPr>
            <w:tcW w:w="1587" w:type="dxa"/>
          </w:tcPr>
          <w:p>
            <w:pPr>
              <w:pStyle w:val="0"/>
            </w:pPr>
            <w:r>
              <w:rPr>
                <w:sz w:val="20"/>
              </w:rPr>
              <w:t xml:space="preserve">-</w:t>
            </w:r>
          </w:p>
        </w:tc>
        <w:tc>
          <w:tcPr>
            <w:tcW w:w="1587" w:type="dxa"/>
          </w:tcPr>
          <w:p>
            <w:pPr>
              <w:pStyle w:val="0"/>
            </w:pPr>
            <w:r>
              <w:rPr>
                <w:sz w:val="20"/>
              </w:rPr>
              <w:t xml:space="preserve">733,86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61872,84</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61872,84</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43310,99</w:t>
            </w:r>
          </w:p>
        </w:tc>
        <w:tc>
          <w:tcPr>
            <w:tcW w:w="1587" w:type="dxa"/>
          </w:tcPr>
          <w:p>
            <w:pPr>
              <w:pStyle w:val="0"/>
            </w:pPr>
            <w:r>
              <w:rPr>
                <w:sz w:val="20"/>
              </w:rPr>
              <w:t xml:space="preserve">18561,85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61872,84</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43310,99</w:t>
            </w:r>
          </w:p>
        </w:tc>
        <w:tc>
          <w:tcPr>
            <w:tcW w:w="1587" w:type="dxa"/>
          </w:tcPr>
          <w:p>
            <w:pPr>
              <w:pStyle w:val="0"/>
            </w:pPr>
            <w:r>
              <w:rPr>
                <w:sz w:val="20"/>
              </w:rPr>
              <w:t xml:space="preserve">18561,85</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01" w:type="dxa"/>
            <w:vMerge w:val="restart"/>
          </w:tcPr>
          <w:p>
            <w:pPr>
              <w:pStyle w:val="0"/>
            </w:pPr>
            <w:r>
              <w:rPr>
                <w:sz w:val="20"/>
              </w:rPr>
              <w:t xml:space="preserve">1422,42</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1422,42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995,69</w:t>
            </w:r>
          </w:p>
        </w:tc>
        <w:tc>
          <w:tcPr>
            <w:tcW w:w="1587" w:type="dxa"/>
          </w:tcPr>
          <w:p>
            <w:pPr>
              <w:pStyle w:val="0"/>
            </w:pPr>
            <w:r>
              <w:rPr>
                <w:sz w:val="20"/>
              </w:rPr>
              <w:t xml:space="preserve">426,73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1422,42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995,69</w:t>
            </w:r>
          </w:p>
        </w:tc>
        <w:tc>
          <w:tcPr>
            <w:tcW w:w="1587" w:type="dxa"/>
          </w:tcPr>
          <w:p>
            <w:pPr>
              <w:pStyle w:val="0"/>
            </w:pPr>
            <w:r>
              <w:rPr>
                <w:sz w:val="20"/>
              </w:rPr>
              <w:t xml:space="preserve">426,73</w:t>
            </w:r>
          </w:p>
        </w:tc>
        <w:tc>
          <w:tcPr>
            <w:vMerge w:val="continue"/>
          </w:tcPr>
          <w:p/>
        </w:tc>
        <w:tc>
          <w:tcPr>
            <w:vMerge w:val="continue"/>
          </w:tcPr>
          <w:p/>
        </w:tc>
      </w:tr>
      <w:tr>
        <w:tc>
          <w:tcPr>
            <w:tcW w:w="907" w:type="dxa"/>
            <w:vMerge w:val="restart"/>
          </w:tcPr>
          <w:p>
            <w:pPr>
              <w:pStyle w:val="0"/>
            </w:pPr>
            <w:r>
              <w:rPr>
                <w:sz w:val="20"/>
              </w:rPr>
              <w:t xml:space="preserve">1.18</w:t>
            </w:r>
          </w:p>
        </w:tc>
        <w:tc>
          <w:tcPr>
            <w:tcW w:w="2608" w:type="dxa"/>
            <w:vMerge w:val="restart"/>
          </w:tcPr>
          <w:p>
            <w:pPr>
              <w:pStyle w:val="0"/>
            </w:pPr>
            <w:r>
              <w:rPr>
                <w:sz w:val="20"/>
              </w:rPr>
              <w:t xml:space="preserve">Газификация земельных участков Новой промышленной зоны в г. Дубна Московской области</w:t>
            </w:r>
          </w:p>
        </w:tc>
        <w:tc>
          <w:tcPr>
            <w:tcW w:w="2438" w:type="dxa"/>
            <w:vMerge w:val="restart"/>
          </w:tcPr>
          <w:p>
            <w:pPr>
              <w:pStyle w:val="0"/>
            </w:pPr>
            <w:r>
              <w:rPr>
                <w:sz w:val="20"/>
              </w:rPr>
              <w:t xml:space="preserve">01.10.2024-15.12.2025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0218"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01" w:type="dxa"/>
            <w:vMerge w:val="restart"/>
          </w:tcPr>
          <w:p>
            <w:pPr>
              <w:pStyle w:val="0"/>
            </w:pPr>
            <w:r>
              <w:rPr>
                <w:sz w:val="20"/>
              </w:rPr>
              <w:t xml:space="preserve">15850,41</w:t>
            </w:r>
          </w:p>
        </w:tc>
        <w:tc>
          <w:tcPr>
            <w:tcW w:w="1644" w:type="dxa"/>
          </w:tcPr>
          <w:p>
            <w:pPr>
              <w:pStyle w:val="0"/>
            </w:pPr>
            <w:r>
              <w:rPr>
                <w:sz w:val="20"/>
              </w:rPr>
              <w:t xml:space="preserve">-</w:t>
            </w:r>
          </w:p>
        </w:tc>
        <w:tc>
          <w:tcPr>
            <w:tcW w:w="1814" w:type="dxa"/>
          </w:tcPr>
          <w:p>
            <w:pPr>
              <w:pStyle w:val="0"/>
            </w:pPr>
            <w:r>
              <w:rPr>
                <w:sz w:val="20"/>
              </w:rPr>
              <w:t xml:space="preserve">Итого по объекту:</w:t>
            </w:r>
          </w:p>
        </w:tc>
        <w:tc>
          <w:tcPr>
            <w:tcW w:w="1587" w:type="dxa"/>
          </w:tcPr>
          <w:p>
            <w:pPr>
              <w:pStyle w:val="0"/>
            </w:pPr>
            <w:r>
              <w:rPr>
                <w:sz w:val="20"/>
              </w:rPr>
              <w:t xml:space="preserve">15850,41</w:t>
            </w:r>
          </w:p>
        </w:tc>
        <w:tc>
          <w:tcPr>
            <w:tcW w:w="1587" w:type="dxa"/>
          </w:tcPr>
          <w:p>
            <w:pPr>
              <w:pStyle w:val="0"/>
            </w:pPr>
            <w:r>
              <w:rPr>
                <w:sz w:val="20"/>
              </w:rPr>
              <w:t xml:space="preserve">-</w:t>
            </w:r>
          </w:p>
        </w:tc>
        <w:tc>
          <w:tcPr>
            <w:tcW w:w="1587" w:type="dxa"/>
          </w:tcPr>
          <w:p>
            <w:pPr>
              <w:pStyle w:val="0"/>
            </w:pPr>
            <w:r>
              <w:rPr>
                <w:sz w:val="20"/>
              </w:rPr>
              <w:t xml:space="preserve">15850,41</w:t>
            </w:r>
          </w:p>
        </w:tc>
        <w:tc>
          <w:tcPr>
            <w:tcW w:w="1701" w:type="dxa"/>
          </w:tcPr>
          <w:p>
            <w:pPr>
              <w:pStyle w:val="0"/>
            </w:pPr>
            <w:r>
              <w:rPr>
                <w:sz w:val="20"/>
              </w:rPr>
              <w:t xml:space="preserve">-</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11969,56</w:t>
            </w:r>
          </w:p>
        </w:tc>
        <w:tc>
          <w:tcPr>
            <w:tcW w:w="1587" w:type="dxa"/>
          </w:tcPr>
          <w:p>
            <w:pPr>
              <w:pStyle w:val="0"/>
            </w:pPr>
            <w:r>
              <w:rPr>
                <w:sz w:val="20"/>
              </w:rPr>
              <w:t xml:space="preserve">-</w:t>
            </w:r>
          </w:p>
        </w:tc>
        <w:tc>
          <w:tcPr>
            <w:tcW w:w="1587" w:type="dxa"/>
          </w:tcPr>
          <w:p>
            <w:pPr>
              <w:pStyle w:val="0"/>
            </w:pPr>
            <w:r>
              <w:rPr>
                <w:sz w:val="20"/>
              </w:rPr>
              <w:t xml:space="preserve">11969,56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w:t>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3880,85</w:t>
            </w:r>
          </w:p>
        </w:tc>
        <w:tc>
          <w:tcPr>
            <w:tcW w:w="1587" w:type="dxa"/>
          </w:tcPr>
          <w:p>
            <w:pPr>
              <w:pStyle w:val="0"/>
            </w:pPr>
            <w:r>
              <w:rPr>
                <w:sz w:val="20"/>
              </w:rPr>
              <w:t xml:space="preserve">-</w:t>
            </w:r>
          </w:p>
        </w:tc>
        <w:tc>
          <w:tcPr>
            <w:tcW w:w="1587" w:type="dxa"/>
          </w:tcPr>
          <w:p>
            <w:pPr>
              <w:pStyle w:val="0"/>
            </w:pPr>
            <w:r>
              <w:rPr>
                <w:sz w:val="20"/>
              </w:rPr>
              <w:t xml:space="preserve">3880,85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01" w:type="dxa"/>
            <w:vMerge w:val="restart"/>
          </w:tcPr>
          <w:p>
            <w:pPr>
              <w:pStyle w:val="0"/>
            </w:pPr>
            <w:r>
              <w:rPr>
                <w:sz w:val="20"/>
              </w:rPr>
              <w:t xml:space="preserve">1982,86</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1982,86</w:t>
            </w:r>
          </w:p>
        </w:tc>
        <w:tc>
          <w:tcPr>
            <w:tcW w:w="1587" w:type="dxa"/>
          </w:tcPr>
          <w:p>
            <w:pPr>
              <w:pStyle w:val="0"/>
            </w:pPr>
            <w:r>
              <w:rPr>
                <w:sz w:val="20"/>
              </w:rPr>
              <w:t xml:space="preserve">-</w:t>
            </w:r>
          </w:p>
        </w:tc>
        <w:tc>
          <w:tcPr>
            <w:tcW w:w="1587" w:type="dxa"/>
          </w:tcPr>
          <w:p>
            <w:pPr>
              <w:pStyle w:val="0"/>
            </w:pPr>
            <w:r>
              <w:rPr>
                <w:sz w:val="20"/>
              </w:rPr>
              <w:t xml:space="preserve">1982,86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1982,86</w:t>
            </w:r>
          </w:p>
        </w:tc>
        <w:tc>
          <w:tcPr>
            <w:tcW w:w="1587" w:type="dxa"/>
          </w:tcPr>
          <w:p>
            <w:pPr>
              <w:pStyle w:val="0"/>
            </w:pPr>
            <w:r>
              <w:rPr>
                <w:sz w:val="20"/>
              </w:rPr>
              <w:t xml:space="preserve">-</w:t>
            </w:r>
          </w:p>
        </w:tc>
        <w:tc>
          <w:tcPr>
            <w:tcW w:w="1587" w:type="dxa"/>
          </w:tcPr>
          <w:p>
            <w:pPr>
              <w:pStyle w:val="0"/>
            </w:pPr>
            <w:r>
              <w:rPr>
                <w:sz w:val="20"/>
              </w:rPr>
              <w:t xml:space="preserve">1982,86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01" w:type="dxa"/>
            <w:vMerge w:val="restart"/>
          </w:tcPr>
          <w:p>
            <w:pPr>
              <w:pStyle w:val="0"/>
            </w:pPr>
            <w:r>
              <w:rPr>
                <w:sz w:val="20"/>
              </w:rPr>
              <w:t xml:space="preserve">13756,79</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13756,79</w:t>
            </w:r>
          </w:p>
        </w:tc>
        <w:tc>
          <w:tcPr>
            <w:tcW w:w="1587" w:type="dxa"/>
          </w:tcPr>
          <w:p>
            <w:pPr>
              <w:pStyle w:val="0"/>
            </w:pPr>
            <w:r>
              <w:rPr>
                <w:sz w:val="20"/>
              </w:rPr>
              <w:t xml:space="preserve">-</w:t>
            </w:r>
          </w:p>
        </w:tc>
        <w:tc>
          <w:tcPr>
            <w:tcW w:w="1587" w:type="dxa"/>
          </w:tcPr>
          <w:p>
            <w:pPr>
              <w:pStyle w:val="0"/>
            </w:pPr>
            <w:r>
              <w:rPr>
                <w:sz w:val="20"/>
              </w:rPr>
              <w:t xml:space="preserve">13756,79</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9875,94</w:t>
            </w:r>
          </w:p>
        </w:tc>
        <w:tc>
          <w:tcPr>
            <w:tcW w:w="1587" w:type="dxa"/>
          </w:tcPr>
          <w:p>
            <w:pPr>
              <w:pStyle w:val="0"/>
            </w:pPr>
            <w:r>
              <w:rPr>
                <w:sz w:val="20"/>
              </w:rPr>
              <w:t xml:space="preserve">-</w:t>
            </w:r>
          </w:p>
        </w:tc>
        <w:tc>
          <w:tcPr>
            <w:tcW w:w="1587" w:type="dxa"/>
          </w:tcPr>
          <w:p>
            <w:pPr>
              <w:pStyle w:val="0"/>
            </w:pPr>
            <w:r>
              <w:rPr>
                <w:sz w:val="20"/>
              </w:rPr>
              <w:t xml:space="preserve">9875,94</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Внебюджетные средства</w:t>
            </w:r>
          </w:p>
        </w:tc>
        <w:tc>
          <w:tcPr>
            <w:tcW w:w="1587" w:type="dxa"/>
          </w:tcPr>
          <w:p>
            <w:pPr>
              <w:pStyle w:val="0"/>
            </w:pPr>
            <w:r>
              <w:rPr>
                <w:sz w:val="20"/>
              </w:rPr>
              <w:t xml:space="preserve">3880,85</w:t>
            </w:r>
          </w:p>
        </w:tc>
        <w:tc>
          <w:tcPr>
            <w:tcW w:w="1587" w:type="dxa"/>
          </w:tcPr>
          <w:p>
            <w:pPr>
              <w:pStyle w:val="0"/>
            </w:pPr>
            <w:r>
              <w:rPr>
                <w:sz w:val="20"/>
              </w:rPr>
              <w:t xml:space="preserve">-</w:t>
            </w:r>
          </w:p>
        </w:tc>
        <w:tc>
          <w:tcPr>
            <w:tcW w:w="1587" w:type="dxa"/>
          </w:tcPr>
          <w:p>
            <w:pPr>
              <w:pStyle w:val="0"/>
            </w:pPr>
            <w:r>
              <w:rPr>
                <w:sz w:val="20"/>
              </w:rPr>
              <w:t xml:space="preserve">3880,85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01" w:type="dxa"/>
            <w:vMerge w:val="restart"/>
          </w:tcPr>
          <w:p>
            <w:pPr>
              <w:pStyle w:val="0"/>
            </w:pPr>
            <w:r>
              <w:rPr>
                <w:sz w:val="20"/>
              </w:rPr>
              <w:t xml:space="preserve">110,76</w:t>
            </w:r>
          </w:p>
        </w:tc>
        <w:tc>
          <w:tcPr>
            <w:tcW w:w="1644" w:type="dxa"/>
          </w:tcPr>
          <w:p>
            <w:pPr>
              <w:pStyle w:val="0"/>
            </w:pPr>
            <w:r>
              <w:rPr>
                <w:sz w:val="20"/>
              </w:rPr>
              <w:t xml:space="preserve">-</w:t>
            </w:r>
          </w:p>
        </w:tc>
        <w:tc>
          <w:tcPr>
            <w:tcW w:w="1814" w:type="dxa"/>
          </w:tcPr>
          <w:p>
            <w:pPr>
              <w:pStyle w:val="0"/>
            </w:pPr>
            <w:r>
              <w:rPr>
                <w:sz w:val="20"/>
              </w:rPr>
              <w:t xml:space="preserve">Итого:</w:t>
            </w:r>
          </w:p>
        </w:tc>
        <w:tc>
          <w:tcPr>
            <w:tcW w:w="1587" w:type="dxa"/>
          </w:tcPr>
          <w:p>
            <w:pPr>
              <w:pStyle w:val="0"/>
            </w:pPr>
            <w:r>
              <w:rPr>
                <w:sz w:val="20"/>
              </w:rPr>
              <w:t xml:space="preserve">110,76</w:t>
            </w:r>
          </w:p>
        </w:tc>
        <w:tc>
          <w:tcPr>
            <w:tcW w:w="1587" w:type="dxa"/>
          </w:tcPr>
          <w:p>
            <w:pPr>
              <w:pStyle w:val="0"/>
            </w:pPr>
            <w:r>
              <w:rPr>
                <w:sz w:val="20"/>
              </w:rPr>
              <w:t xml:space="preserve">-</w:t>
            </w:r>
          </w:p>
        </w:tc>
        <w:tc>
          <w:tcPr>
            <w:tcW w:w="1587" w:type="dxa"/>
          </w:tcPr>
          <w:p>
            <w:pPr>
              <w:pStyle w:val="0"/>
            </w:pPr>
            <w:r>
              <w:rPr>
                <w:sz w:val="20"/>
              </w:rPr>
              <w:t xml:space="preserve">110,76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110,76</w:t>
            </w:r>
          </w:p>
        </w:tc>
        <w:tc>
          <w:tcPr>
            <w:tcW w:w="1587" w:type="dxa"/>
          </w:tcPr>
          <w:p>
            <w:pPr>
              <w:pStyle w:val="0"/>
            </w:pPr>
            <w:r>
              <w:rPr>
                <w:sz w:val="20"/>
              </w:rPr>
              <w:t xml:space="preserve">-</w:t>
            </w:r>
          </w:p>
        </w:tc>
        <w:tc>
          <w:tcPr>
            <w:tcW w:w="1587" w:type="dxa"/>
          </w:tcPr>
          <w:p>
            <w:pPr>
              <w:pStyle w:val="0"/>
            </w:pPr>
            <w:r>
              <w:rPr>
                <w:sz w:val="20"/>
              </w:rPr>
              <w:t xml:space="preserve">110,76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gridSpan w:val="8"/>
            <w:tcW w:w="15705" w:type="dxa"/>
            <w:vMerge w:val="restart"/>
          </w:tcPr>
          <w:p>
            <w:pPr>
              <w:pStyle w:val="0"/>
            </w:pPr>
            <w:r>
              <w:rPr>
                <w:sz w:val="20"/>
              </w:rPr>
              <w:t xml:space="preserve">Нераспределенный остаток</w:t>
            </w:r>
          </w:p>
        </w:tc>
        <w:tc>
          <w:tcPr>
            <w:tcW w:w="1814" w:type="dxa"/>
          </w:tcPr>
          <w:p>
            <w:pPr>
              <w:pStyle w:val="0"/>
            </w:pPr>
            <w:r>
              <w:rPr>
                <w:sz w:val="20"/>
              </w:rPr>
              <w:t xml:space="preserve">Всего</w:t>
            </w:r>
          </w:p>
        </w:tc>
        <w:tc>
          <w:tcPr>
            <w:tcW w:w="1587" w:type="dxa"/>
          </w:tcPr>
          <w:p>
            <w:pPr>
              <w:pStyle w:val="0"/>
            </w:pPr>
            <w:r>
              <w:rPr>
                <w:sz w:val="20"/>
              </w:rPr>
              <w:t xml:space="preserve">1,53</w:t>
            </w:r>
          </w:p>
        </w:tc>
        <w:tc>
          <w:tcPr>
            <w:tcW w:w="1587" w:type="dxa"/>
          </w:tcPr>
          <w:p>
            <w:pPr>
              <w:pStyle w:val="0"/>
            </w:pPr>
            <w:r>
              <w:rPr>
                <w:sz w:val="20"/>
              </w:rPr>
              <w:t xml:space="preserve">0,28</w:t>
            </w:r>
          </w:p>
        </w:tc>
        <w:tc>
          <w:tcPr>
            <w:tcW w:w="1587" w:type="dxa"/>
          </w:tcPr>
          <w:p>
            <w:pPr>
              <w:pStyle w:val="0"/>
            </w:pPr>
            <w:r>
              <w:rPr>
                <w:sz w:val="20"/>
              </w:rPr>
              <w:t xml:space="preserve">0,43</w:t>
            </w:r>
          </w:p>
        </w:tc>
        <w:tc>
          <w:tcPr>
            <w:tcW w:w="1701" w:type="dxa"/>
          </w:tcPr>
          <w:p>
            <w:pPr>
              <w:pStyle w:val="0"/>
            </w:pPr>
            <w:r>
              <w:rPr>
                <w:sz w:val="20"/>
              </w:rPr>
              <w:t xml:space="preserve">0,58</w:t>
            </w:r>
          </w:p>
        </w:tc>
        <w:tc>
          <w:tcPr>
            <w:tcW w:w="1587" w:type="dxa"/>
          </w:tcPr>
          <w:p>
            <w:pPr>
              <w:pStyle w:val="0"/>
            </w:pPr>
            <w:r>
              <w:rPr>
                <w:sz w:val="20"/>
              </w:rPr>
              <w:t xml:space="preserve">0,24</w:t>
            </w:r>
          </w:p>
        </w:tc>
        <w:tc>
          <w:tcPr>
            <w:tcW w:w="1701" w:type="dxa"/>
            <w:vMerge w:val="restart"/>
          </w:tcPr>
          <w:p>
            <w:pPr>
              <w:pStyle w:val="0"/>
            </w:pPr>
            <w:r>
              <w:rPr>
                <w:sz w:val="20"/>
              </w:rPr>
              <w:t xml:space="preserve">Х</w:t>
            </w:r>
          </w:p>
        </w:tc>
        <w:tc>
          <w:tcPr>
            <w:tcW w:w="1644" w:type="dxa"/>
            <w:vMerge w:val="restart"/>
          </w:tcPr>
          <w:p>
            <w:pPr>
              <w:pStyle w:val="0"/>
            </w:pPr>
            <w:r>
              <w:rPr>
                <w:sz w:val="20"/>
              </w:rPr>
              <w:t xml:space="preserve">Х</w:t>
            </w:r>
          </w:p>
        </w:tc>
      </w:tr>
      <w:tr>
        <w:tc>
          <w:tcPr>
            <w:gridSpan w:val="8"/>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1,53</w:t>
            </w:r>
          </w:p>
        </w:tc>
        <w:tc>
          <w:tcPr>
            <w:tcW w:w="1587" w:type="dxa"/>
          </w:tcPr>
          <w:p>
            <w:pPr>
              <w:pStyle w:val="0"/>
            </w:pPr>
            <w:r>
              <w:rPr>
                <w:sz w:val="20"/>
              </w:rPr>
              <w:t xml:space="preserve">0,28</w:t>
            </w:r>
          </w:p>
        </w:tc>
        <w:tc>
          <w:tcPr>
            <w:tcW w:w="1587" w:type="dxa"/>
          </w:tcPr>
          <w:p>
            <w:pPr>
              <w:pStyle w:val="0"/>
            </w:pPr>
            <w:r>
              <w:rPr>
                <w:sz w:val="20"/>
              </w:rPr>
              <w:t xml:space="preserve">0,43</w:t>
            </w:r>
          </w:p>
        </w:tc>
        <w:tc>
          <w:tcPr>
            <w:tcW w:w="1701" w:type="dxa"/>
          </w:tcPr>
          <w:p>
            <w:pPr>
              <w:pStyle w:val="0"/>
            </w:pPr>
            <w:r>
              <w:rPr>
                <w:sz w:val="20"/>
              </w:rPr>
              <w:t xml:space="preserve">0,58</w:t>
            </w:r>
          </w:p>
        </w:tc>
        <w:tc>
          <w:tcPr>
            <w:tcW w:w="1587" w:type="dxa"/>
          </w:tcPr>
          <w:p>
            <w:pPr>
              <w:pStyle w:val="0"/>
            </w:pPr>
            <w:r>
              <w:rPr>
                <w:sz w:val="20"/>
              </w:rPr>
              <w:t xml:space="preserve">0,24</w:t>
            </w:r>
          </w:p>
        </w:tc>
        <w:tc>
          <w:tcPr>
            <w:vMerge w:val="continue"/>
          </w:tcPr>
          <w:p/>
        </w:tc>
        <w:tc>
          <w:tcPr>
            <w:vMerge w:val="continue"/>
          </w:tcPr>
          <w:p/>
        </w:tc>
      </w:tr>
      <w:tr>
        <w:tc>
          <w:tcPr>
            <w:gridSpan w:val="8"/>
            <w:tcW w:w="15705" w:type="dxa"/>
            <w:vMerge w:val="restart"/>
          </w:tcPr>
          <w:p>
            <w:pPr>
              <w:pStyle w:val="0"/>
            </w:pPr>
            <w:r>
              <w:rPr>
                <w:sz w:val="20"/>
              </w:rPr>
              <w:t xml:space="preserve">Всего по мероприятию</w:t>
            </w:r>
          </w:p>
        </w:tc>
        <w:tc>
          <w:tcPr>
            <w:tcW w:w="1814" w:type="dxa"/>
          </w:tcPr>
          <w:p>
            <w:pPr>
              <w:pStyle w:val="0"/>
            </w:pPr>
            <w:r>
              <w:rPr>
                <w:sz w:val="20"/>
              </w:rPr>
              <w:t xml:space="preserve">Всего</w:t>
            </w:r>
          </w:p>
        </w:tc>
        <w:tc>
          <w:tcPr>
            <w:tcW w:w="1587" w:type="dxa"/>
          </w:tcPr>
          <w:p>
            <w:pPr>
              <w:pStyle w:val="0"/>
            </w:pPr>
            <w:r>
              <w:rPr>
                <w:sz w:val="20"/>
              </w:rPr>
              <w:t xml:space="preserve">6442358,36</w:t>
            </w:r>
          </w:p>
        </w:tc>
        <w:tc>
          <w:tcPr>
            <w:tcW w:w="1587" w:type="dxa"/>
          </w:tcPr>
          <w:p>
            <w:pPr>
              <w:pStyle w:val="0"/>
            </w:pPr>
            <w:r>
              <w:rPr>
                <w:sz w:val="20"/>
              </w:rPr>
              <w:t xml:space="preserve">2184170,51</w:t>
            </w:r>
          </w:p>
        </w:tc>
        <w:tc>
          <w:tcPr>
            <w:tcW w:w="1587" w:type="dxa"/>
          </w:tcPr>
          <w:p>
            <w:pPr>
              <w:pStyle w:val="0"/>
            </w:pPr>
            <w:r>
              <w:rPr>
                <w:sz w:val="20"/>
              </w:rPr>
              <w:t xml:space="preserve">473183,85</w:t>
            </w:r>
          </w:p>
        </w:tc>
        <w:tc>
          <w:tcPr>
            <w:tcW w:w="1701" w:type="dxa"/>
          </w:tcPr>
          <w:p>
            <w:pPr>
              <w:pStyle w:val="0"/>
            </w:pPr>
            <w:r>
              <w:rPr>
                <w:sz w:val="20"/>
              </w:rPr>
              <w:t xml:space="preserve">2947692,00</w:t>
            </w:r>
          </w:p>
        </w:tc>
        <w:tc>
          <w:tcPr>
            <w:tcW w:w="1587" w:type="dxa"/>
          </w:tcPr>
          <w:p>
            <w:pPr>
              <w:pStyle w:val="0"/>
            </w:pPr>
            <w:r>
              <w:rPr>
                <w:sz w:val="20"/>
              </w:rPr>
              <w:t xml:space="preserve">837312,00</w:t>
            </w:r>
          </w:p>
        </w:tc>
        <w:tc>
          <w:tcPr>
            <w:tcW w:w="1701" w:type="dxa"/>
            <w:vMerge w:val="restart"/>
          </w:tcPr>
          <w:p>
            <w:pPr>
              <w:pStyle w:val="0"/>
            </w:pPr>
            <w:r>
              <w:rPr>
                <w:sz w:val="20"/>
              </w:rPr>
              <w:t xml:space="preserve">Х</w:t>
            </w:r>
          </w:p>
        </w:tc>
        <w:tc>
          <w:tcPr>
            <w:tcW w:w="1644" w:type="dxa"/>
            <w:vMerge w:val="restart"/>
          </w:tcPr>
          <w:p>
            <w:pPr>
              <w:pStyle w:val="0"/>
            </w:pPr>
            <w:r>
              <w:rPr>
                <w:sz w:val="20"/>
              </w:rPr>
              <w:t xml:space="preserve">Х</w:t>
            </w:r>
          </w:p>
        </w:tc>
      </w:tr>
      <w:tr>
        <w:tc>
          <w:tcPr>
            <w:gridSpan w:val="8"/>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6396567,00</w:t>
            </w:r>
          </w:p>
        </w:tc>
        <w:tc>
          <w:tcPr>
            <w:tcW w:w="1587" w:type="dxa"/>
          </w:tcPr>
          <w:p>
            <w:pPr>
              <w:pStyle w:val="0"/>
            </w:pPr>
            <w:r>
              <w:rPr>
                <w:sz w:val="20"/>
              </w:rPr>
              <w:t xml:space="preserve">2142260,00</w:t>
            </w:r>
          </w:p>
        </w:tc>
        <w:tc>
          <w:tcPr>
            <w:tcW w:w="1587" w:type="dxa"/>
          </w:tcPr>
          <w:p>
            <w:pPr>
              <w:pStyle w:val="0"/>
            </w:pPr>
            <w:r>
              <w:rPr>
                <w:sz w:val="20"/>
              </w:rPr>
              <w:t xml:space="preserve">469303,00</w:t>
            </w:r>
          </w:p>
        </w:tc>
        <w:tc>
          <w:tcPr>
            <w:tcW w:w="1701" w:type="dxa"/>
          </w:tcPr>
          <w:p>
            <w:pPr>
              <w:pStyle w:val="0"/>
            </w:pPr>
            <w:r>
              <w:rPr>
                <w:sz w:val="20"/>
              </w:rPr>
              <w:t xml:space="preserve">2947692,00</w:t>
            </w:r>
          </w:p>
        </w:tc>
        <w:tc>
          <w:tcPr>
            <w:tcW w:w="1587" w:type="dxa"/>
          </w:tcPr>
          <w:p>
            <w:pPr>
              <w:pStyle w:val="0"/>
            </w:pPr>
            <w:r>
              <w:rPr>
                <w:sz w:val="20"/>
              </w:rPr>
              <w:t xml:space="preserve">837312,00</w:t>
            </w:r>
          </w:p>
        </w:tc>
        <w:tc>
          <w:tcPr>
            <w:vMerge w:val="continue"/>
          </w:tcPr>
          <w:p/>
        </w:tc>
        <w:tc>
          <w:tcPr>
            <w:vMerge w:val="continue"/>
          </w:tcPr>
          <w:p/>
        </w:tc>
      </w:tr>
      <w:tr>
        <w:tc>
          <w:tcPr>
            <w:gridSpan w:val="8"/>
            <w:vMerge w:val="continue"/>
          </w:tcPr>
          <w:p/>
        </w:tc>
        <w:tc>
          <w:tcPr>
            <w:tcW w:w="1814" w:type="dxa"/>
          </w:tcPr>
          <w:p>
            <w:pPr>
              <w:pStyle w:val="0"/>
            </w:pPr>
            <w:r>
              <w:rPr>
                <w:sz w:val="20"/>
              </w:rPr>
              <w:t xml:space="preserve">Внебюджетные средства</w:t>
            </w:r>
          </w:p>
        </w:tc>
        <w:tc>
          <w:tcPr>
            <w:tcW w:w="1587" w:type="dxa"/>
          </w:tcPr>
          <w:p>
            <w:pPr>
              <w:pStyle w:val="0"/>
            </w:pPr>
            <w:r>
              <w:rPr>
                <w:sz w:val="20"/>
              </w:rPr>
              <w:t xml:space="preserve">45791,36</w:t>
            </w:r>
          </w:p>
        </w:tc>
        <w:tc>
          <w:tcPr>
            <w:tcW w:w="1587" w:type="dxa"/>
          </w:tcPr>
          <w:p>
            <w:pPr>
              <w:pStyle w:val="0"/>
            </w:pPr>
            <w:r>
              <w:rPr>
                <w:sz w:val="20"/>
              </w:rPr>
              <w:t xml:space="preserve">41910,51</w:t>
            </w:r>
          </w:p>
        </w:tc>
        <w:tc>
          <w:tcPr>
            <w:tcW w:w="1587" w:type="dxa"/>
          </w:tcPr>
          <w:p>
            <w:pPr>
              <w:pStyle w:val="0"/>
            </w:pPr>
            <w:r>
              <w:rPr>
                <w:sz w:val="20"/>
              </w:rPr>
              <w:t xml:space="preserve">3880,85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0217" w:name="P10217"/>
    <w:bookmarkEnd w:id="10217"/>
    <w:p>
      <w:pPr>
        <w:pStyle w:val="0"/>
        <w:spacing w:before="200" w:line-rule="auto"/>
        <w:ind w:firstLine="540"/>
        <w:jc w:val="both"/>
      </w:pPr>
      <w:r>
        <w:rPr>
          <w:sz w:val="20"/>
        </w:rPr>
        <w:t xml:space="preserve">&lt;*&gt; По 7 объектам осуществлен возврат денежных средств, предоставленных в 2023 году в рамках соглашения от 28.06.2022 N 18/06-22 "О предоставлении субсидии Акционерному обществу "Особая экономическая зона технико-внедренческого типа "Дубна", в размере 69819438,27 рублей.</w:t>
      </w:r>
    </w:p>
    <w:bookmarkStart w:id="10218" w:name="P10218"/>
    <w:bookmarkEnd w:id="10218"/>
    <w:p>
      <w:pPr>
        <w:pStyle w:val="0"/>
        <w:spacing w:before="200" w:line-rule="auto"/>
        <w:ind w:firstLine="540"/>
        <w:jc w:val="both"/>
      </w:pPr>
      <w:r>
        <w:rPr>
          <w:sz w:val="20"/>
        </w:rPr>
        <w:t xml:space="preserve">&lt;**&gt; </w:t>
      </w:r>
      <w:hyperlink w:history="0" w:anchor="P8643" w:tooltip="6">
        <w:r>
          <w:rPr>
            <w:sz w:val="20"/>
            <w:color w:val="0000ff"/>
          </w:rPr>
          <w:t xml:space="preserve">Графа 6</w:t>
        </w:r>
      </w:hyperlink>
      <w:r>
        <w:rPr>
          <w:sz w:val="20"/>
        </w:rPr>
        <w:t xml:space="preserve"> "Мощность/прирост мощности объекта" будет скорректирована после подготовки проектно-сметной документации.</w:t>
      </w:r>
    </w:p>
    <w:bookmarkStart w:id="10219" w:name="P10219"/>
    <w:bookmarkEnd w:id="10219"/>
    <w:p>
      <w:pPr>
        <w:pStyle w:val="0"/>
        <w:spacing w:before="200" w:line-rule="auto"/>
        <w:ind w:firstLine="540"/>
        <w:jc w:val="both"/>
      </w:pPr>
      <w:r>
        <w:rPr>
          <w:sz w:val="20"/>
        </w:rPr>
        <w:t xml:space="preserve">&lt;***&gt; Работы по объекту не выполнены, 29.07.2024 осуществлен возврат 39000 тыс. рублей в бюджет Московской области.</w:t>
      </w:r>
    </w:p>
    <w:p>
      <w:pPr>
        <w:pStyle w:val="0"/>
        <w:jc w:val="both"/>
      </w:pPr>
      <w:r>
        <w:rPr>
          <w:sz w:val="20"/>
        </w:rPr>
      </w:r>
    </w:p>
    <w:p>
      <w:pPr>
        <w:pStyle w:val="0"/>
        <w:ind w:firstLine="540"/>
        <w:jc w:val="both"/>
      </w:pPr>
      <w:r>
        <w:rPr>
          <w:sz w:val="20"/>
        </w:rPr>
        <w:t xml:space="preserve">Справочная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850"/>
        <w:gridCol w:w="850"/>
        <w:gridCol w:w="850"/>
        <w:gridCol w:w="850"/>
      </w:tblGrid>
      <w:tr>
        <w:tc>
          <w:tcPr>
            <w:tcW w:w="1814" w:type="dxa"/>
          </w:tcPr>
          <w:p>
            <w:pPr>
              <w:pStyle w:val="0"/>
              <w:jc w:val="center"/>
            </w:pPr>
            <w:r>
              <w:rPr>
                <w:sz w:val="20"/>
              </w:rPr>
              <w:t xml:space="preserve">Количество объектов</w:t>
            </w:r>
          </w:p>
        </w:tc>
        <w:tc>
          <w:tcPr>
            <w:tcW w:w="1814" w:type="dxa"/>
          </w:tcPr>
          <w:p>
            <w:pPr>
              <w:pStyle w:val="0"/>
              <w:jc w:val="center"/>
            </w:pPr>
            <w:r>
              <w:rPr>
                <w:sz w:val="20"/>
              </w:rPr>
              <w:t xml:space="preserve">Всего, в том числе по годам реализации:</w:t>
            </w:r>
          </w:p>
        </w:tc>
        <w:tc>
          <w:tcPr>
            <w:tcW w:w="850" w:type="dxa"/>
          </w:tcPr>
          <w:p>
            <w:pPr>
              <w:pStyle w:val="0"/>
              <w:jc w:val="center"/>
            </w:pPr>
            <w:r>
              <w:rPr>
                <w:sz w:val="20"/>
              </w:rPr>
              <w:t xml:space="preserve">2023 год</w:t>
            </w:r>
          </w:p>
        </w:tc>
        <w:tc>
          <w:tcPr>
            <w:tcW w:w="850" w:type="dxa"/>
          </w:tcPr>
          <w:p>
            <w:pPr>
              <w:pStyle w:val="0"/>
              <w:jc w:val="center"/>
            </w:pPr>
            <w:r>
              <w:rPr>
                <w:sz w:val="20"/>
              </w:rPr>
              <w:t xml:space="preserve">2024 год</w:t>
            </w:r>
          </w:p>
        </w:tc>
        <w:tc>
          <w:tcPr>
            <w:tcW w:w="850" w:type="dxa"/>
          </w:tcPr>
          <w:p>
            <w:pPr>
              <w:pStyle w:val="0"/>
              <w:jc w:val="center"/>
            </w:pPr>
            <w:r>
              <w:rPr>
                <w:sz w:val="20"/>
              </w:rPr>
              <w:t xml:space="preserve">2025 год</w:t>
            </w:r>
          </w:p>
        </w:tc>
        <w:tc>
          <w:tcPr>
            <w:tcW w:w="850" w:type="dxa"/>
          </w:tcPr>
          <w:p>
            <w:pPr>
              <w:pStyle w:val="0"/>
              <w:jc w:val="center"/>
            </w:pPr>
            <w:r>
              <w:rPr>
                <w:sz w:val="20"/>
              </w:rPr>
              <w:t xml:space="preserve">2026 год</w:t>
            </w:r>
          </w:p>
        </w:tc>
      </w:tr>
      <w:tr>
        <w:tc>
          <w:tcPr>
            <w:tcW w:w="1814" w:type="dxa"/>
          </w:tcPr>
          <w:p>
            <w:pPr>
              <w:pStyle w:val="0"/>
            </w:pPr>
            <w:r>
              <w:rPr>
                <w:sz w:val="20"/>
              </w:rPr>
              <w:t xml:space="preserve">вводимых</w:t>
            </w:r>
          </w:p>
        </w:tc>
        <w:tc>
          <w:tcPr>
            <w:tcW w:w="1814" w:type="dxa"/>
          </w:tcPr>
          <w:p>
            <w:pPr>
              <w:pStyle w:val="0"/>
            </w:pPr>
            <w:r>
              <w:rPr>
                <w:sz w:val="20"/>
              </w:rPr>
              <w:t xml:space="preserve">17</w:t>
            </w:r>
          </w:p>
        </w:tc>
        <w:tc>
          <w:tcPr>
            <w:tcW w:w="850" w:type="dxa"/>
          </w:tcPr>
          <w:p>
            <w:pPr>
              <w:pStyle w:val="0"/>
            </w:pPr>
            <w:r>
              <w:rPr>
                <w:sz w:val="20"/>
              </w:rPr>
              <w:t xml:space="preserve">-</w:t>
            </w:r>
          </w:p>
        </w:tc>
        <w:tc>
          <w:tcPr>
            <w:tcW w:w="850" w:type="dxa"/>
          </w:tcPr>
          <w:p>
            <w:pPr>
              <w:pStyle w:val="0"/>
            </w:pPr>
            <w:r>
              <w:rPr>
                <w:sz w:val="20"/>
              </w:rPr>
              <w:t xml:space="preserve">3</w:t>
            </w:r>
          </w:p>
        </w:tc>
        <w:tc>
          <w:tcPr>
            <w:tcW w:w="850" w:type="dxa"/>
          </w:tcPr>
          <w:p>
            <w:pPr>
              <w:pStyle w:val="0"/>
            </w:pPr>
            <w:r>
              <w:rPr>
                <w:sz w:val="20"/>
              </w:rPr>
              <w:t xml:space="preserve">6</w:t>
            </w:r>
          </w:p>
        </w:tc>
        <w:tc>
          <w:tcPr>
            <w:tcW w:w="850" w:type="dxa"/>
          </w:tcPr>
          <w:p>
            <w:pPr>
              <w:pStyle w:val="0"/>
            </w:pPr>
            <w:r>
              <w:rPr>
                <w:sz w:val="20"/>
              </w:rPr>
              <w:t xml:space="preserve">8</w:t>
            </w:r>
          </w:p>
        </w:tc>
      </w:tr>
      <w:tr>
        <w:tc>
          <w:tcPr>
            <w:tcW w:w="1814" w:type="dxa"/>
          </w:tcPr>
          <w:p>
            <w:pPr>
              <w:pStyle w:val="0"/>
            </w:pPr>
            <w:r>
              <w:rPr>
                <w:sz w:val="20"/>
              </w:rPr>
              <w:t xml:space="preserve">открываемых</w:t>
            </w:r>
          </w:p>
        </w:tc>
        <w:tc>
          <w:tcPr>
            <w:tcW w:w="1814" w:type="dxa"/>
          </w:tcPr>
          <w:p>
            <w:pPr>
              <w:pStyle w:val="0"/>
            </w:pPr>
            <w:r>
              <w:rPr>
                <w:sz w:val="20"/>
              </w:rPr>
              <w:t xml:space="preserve">17</w:t>
            </w:r>
          </w:p>
        </w:tc>
        <w:tc>
          <w:tcPr>
            <w:tcW w:w="850" w:type="dxa"/>
          </w:tcPr>
          <w:p>
            <w:pPr>
              <w:pStyle w:val="0"/>
            </w:pPr>
            <w:r>
              <w:rPr>
                <w:sz w:val="20"/>
              </w:rPr>
              <w:t xml:space="preserve">-</w:t>
            </w:r>
          </w:p>
        </w:tc>
        <w:tc>
          <w:tcPr>
            <w:tcW w:w="850" w:type="dxa"/>
          </w:tcPr>
          <w:p>
            <w:pPr>
              <w:pStyle w:val="0"/>
            </w:pPr>
            <w:r>
              <w:rPr>
                <w:sz w:val="20"/>
              </w:rPr>
              <w:t xml:space="preserve">3</w:t>
            </w:r>
          </w:p>
        </w:tc>
        <w:tc>
          <w:tcPr>
            <w:tcW w:w="850" w:type="dxa"/>
          </w:tcPr>
          <w:p>
            <w:pPr>
              <w:pStyle w:val="0"/>
            </w:pPr>
            <w:r>
              <w:rPr>
                <w:sz w:val="20"/>
              </w:rPr>
              <w:t xml:space="preserve">6</w:t>
            </w:r>
          </w:p>
        </w:tc>
        <w:tc>
          <w:tcPr>
            <w:tcW w:w="850" w:type="dxa"/>
          </w:tcPr>
          <w:p>
            <w:pPr>
              <w:pStyle w:val="0"/>
            </w:pPr>
            <w:r>
              <w:rPr>
                <w:sz w:val="20"/>
              </w:rPr>
              <w:t xml:space="preserve">8</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МО от 08.10.2024 </w:t>
            </w:r>
            <w:hyperlink w:history="0" r:id="rId55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N 1223-ПП</w:t>
              </w:r>
            </w:hyperlink>
            <w:r>
              <w:rPr>
                <w:sz w:val="20"/>
                <w:color w:val="392c69"/>
              </w:rPr>
              <w:t xml:space="preserve"> и от 25.12.2024 </w:t>
            </w:r>
            <w:hyperlink w:history="0" r:id="rId55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N 1684-ПП</w:t>
              </w:r>
            </w:hyperlink>
            <w:r>
              <w:rPr>
                <w:sz w:val="20"/>
                <w:color w:val="392c69"/>
              </w:rPr>
              <w:t xml:space="preserve"> в подразд. 5.7.3 одновременно внесены изменения. Редакция подразд. 5.7.3 с изменениями, внесенными </w:t>
            </w:r>
            <w:hyperlink w:history="0" r:id="rId55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color w:val="392c69"/>
              </w:rPr>
              <w:t xml:space="preserve"> 25.12.2024 N 1684-ПП,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43" w:name="P10243"/>
    <w:bookmarkEnd w:id="10243"/>
    <w:p>
      <w:pPr>
        <w:pStyle w:val="2"/>
        <w:spacing w:before="260" w:line-rule="auto"/>
        <w:outlineLvl w:val="3"/>
        <w:jc w:val="center"/>
      </w:pPr>
      <w:r>
        <w:rPr>
          <w:sz w:val="20"/>
        </w:rPr>
        <w:t xml:space="preserve">5.7.3. Адресный перечень объектов строительства</w:t>
      </w:r>
    </w:p>
    <w:p>
      <w:pPr>
        <w:pStyle w:val="2"/>
        <w:jc w:val="center"/>
      </w:pPr>
      <w:r>
        <w:rPr>
          <w:sz w:val="20"/>
        </w:rPr>
        <w:t xml:space="preserve">(реконструкции) юридических лиц, 100 процентов акций (долей)</w:t>
      </w:r>
    </w:p>
    <w:p>
      <w:pPr>
        <w:pStyle w:val="2"/>
        <w:jc w:val="center"/>
      </w:pPr>
      <w:r>
        <w:rPr>
          <w:sz w:val="20"/>
        </w:rPr>
        <w:t xml:space="preserve">которых принадлежат Московской области, на строительство</w:t>
      </w:r>
    </w:p>
    <w:p>
      <w:pPr>
        <w:pStyle w:val="2"/>
        <w:jc w:val="center"/>
      </w:pPr>
      <w:r>
        <w:rPr>
          <w:sz w:val="20"/>
        </w:rPr>
        <w:t xml:space="preserve">(реконструкцию), которых предоставляется субсидия</w:t>
      </w:r>
    </w:p>
    <w:p>
      <w:pPr>
        <w:pStyle w:val="2"/>
        <w:jc w:val="center"/>
      </w:pPr>
      <w:r>
        <w:rPr>
          <w:sz w:val="20"/>
        </w:rPr>
        <w:t xml:space="preserve">юридическому лицу, предусмотренная мероприятием 02.05</w:t>
      </w:r>
    </w:p>
    <w:p>
      <w:pPr>
        <w:pStyle w:val="2"/>
        <w:jc w:val="center"/>
      </w:pPr>
      <w:r>
        <w:rPr>
          <w:sz w:val="20"/>
        </w:rPr>
        <w:t xml:space="preserve">подпрограммы 1 "Инвестиции в Подмосковье"</w:t>
      </w:r>
    </w:p>
    <w:p>
      <w:pPr>
        <w:pStyle w:val="0"/>
        <w:jc w:val="center"/>
      </w:pPr>
      <w:r>
        <w:rPr>
          <w:sz w:val="20"/>
        </w:rPr>
      </w:r>
    </w:p>
    <w:p>
      <w:pPr>
        <w:pStyle w:val="0"/>
        <w:jc w:val="center"/>
      </w:pPr>
      <w:r>
        <w:rPr>
          <w:sz w:val="20"/>
        </w:rPr>
        <w:t xml:space="preserve">(в ред. </w:t>
      </w:r>
      <w:hyperlink w:history="0" r:id="rId55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608"/>
        <w:gridCol w:w="2438"/>
        <w:gridCol w:w="1531"/>
        <w:gridCol w:w="2608"/>
        <w:gridCol w:w="2268"/>
        <w:gridCol w:w="1757"/>
        <w:gridCol w:w="1644"/>
        <w:gridCol w:w="1814"/>
        <w:gridCol w:w="1587"/>
        <w:gridCol w:w="1587"/>
        <w:gridCol w:w="1587"/>
        <w:gridCol w:w="1701"/>
        <w:gridCol w:w="1587"/>
        <w:gridCol w:w="1701"/>
        <w:gridCol w:w="1644"/>
      </w:tblGrid>
      <w:tr>
        <w:tc>
          <w:tcPr>
            <w:tcW w:w="907"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Наименование юридического лица - получателя субсидии/наименование объекта</w:t>
            </w:r>
          </w:p>
        </w:tc>
        <w:tc>
          <w:tcPr>
            <w:tcW w:w="2438" w:type="dxa"/>
            <w:vMerge w:val="restart"/>
          </w:tcPr>
          <w:p>
            <w:pPr>
              <w:pStyle w:val="0"/>
              <w:jc w:val="center"/>
            </w:pPr>
            <w:r>
              <w:rPr>
                <w:sz w:val="20"/>
              </w:rPr>
              <w:t xml:space="preserve">Срок проведения работ, завершающийся датой ввода в эксплуатацию объекта</w:t>
            </w:r>
          </w:p>
        </w:tc>
        <w:tc>
          <w:tcPr>
            <w:tcW w:w="1531" w:type="dxa"/>
            <w:vMerge w:val="restart"/>
          </w:tcPr>
          <w:p>
            <w:pPr>
              <w:pStyle w:val="0"/>
              <w:jc w:val="center"/>
            </w:pPr>
            <w:r>
              <w:rPr>
                <w:sz w:val="20"/>
              </w:rPr>
              <w:t xml:space="preserve">Открытие объекта</w:t>
            </w:r>
          </w:p>
        </w:tc>
        <w:tc>
          <w:tcPr>
            <w:tcW w:w="2608" w:type="dxa"/>
            <w:vMerge w:val="restart"/>
          </w:tcPr>
          <w:p>
            <w:pPr>
              <w:pStyle w:val="0"/>
              <w:jc w:val="center"/>
            </w:pPr>
            <w:r>
              <w:rPr>
                <w:sz w:val="20"/>
              </w:rPr>
              <w:t xml:space="preserve">Направление инвестирования</w:t>
            </w:r>
          </w:p>
        </w:tc>
        <w:tc>
          <w:tcPr>
            <w:tcW w:w="2268" w:type="dxa"/>
            <w:vMerge w:val="restart"/>
          </w:tcPr>
          <w:p>
            <w:pPr>
              <w:pStyle w:val="0"/>
              <w:jc w:val="center"/>
            </w:pPr>
            <w:r>
              <w:rPr>
                <w:sz w:val="20"/>
              </w:rPr>
              <w:t xml:space="preserve">Мощность/прирост мощности объекта</w:t>
            </w:r>
          </w:p>
        </w:tc>
        <w:tc>
          <w:tcPr>
            <w:tcW w:w="1757" w:type="dxa"/>
            <w:vMerge w:val="restart"/>
          </w:tcPr>
          <w:p>
            <w:pPr>
              <w:pStyle w:val="0"/>
              <w:jc w:val="center"/>
            </w:pPr>
            <w:r>
              <w:rPr>
                <w:sz w:val="20"/>
              </w:rPr>
              <w:t xml:space="preserve">Сметная стоимость/предельная стоимость строительства (реконструкции) (тыс. руб.)</w:t>
            </w:r>
          </w:p>
        </w:tc>
        <w:tc>
          <w:tcPr>
            <w:tcW w:w="1644" w:type="dxa"/>
            <w:vMerge w:val="restart"/>
          </w:tcPr>
          <w:p>
            <w:pPr>
              <w:pStyle w:val="0"/>
              <w:jc w:val="center"/>
            </w:pPr>
            <w:r>
              <w:rPr>
                <w:sz w:val="20"/>
              </w:rPr>
              <w:t xml:space="preserve">Профинансировано на 01.01.2023 (тыс. руб.)</w:t>
            </w:r>
          </w:p>
        </w:tc>
        <w:tc>
          <w:tcPr>
            <w:tcW w:w="1814" w:type="dxa"/>
            <w:vMerge w:val="restart"/>
          </w:tcPr>
          <w:p>
            <w:pPr>
              <w:pStyle w:val="0"/>
              <w:jc w:val="center"/>
            </w:pPr>
            <w:r>
              <w:rPr>
                <w:sz w:val="20"/>
              </w:rPr>
              <w:t xml:space="preserve">Источники финансирования</w:t>
            </w:r>
          </w:p>
        </w:tc>
        <w:tc>
          <w:tcPr>
            <w:gridSpan w:val="5"/>
            <w:tcW w:w="8049" w:type="dxa"/>
          </w:tcPr>
          <w:p>
            <w:pPr>
              <w:pStyle w:val="0"/>
              <w:jc w:val="center"/>
            </w:pPr>
            <w:r>
              <w:rPr>
                <w:sz w:val="20"/>
              </w:rPr>
              <w:t xml:space="preserve">Финансирование, в том числе распределение предельного размера субсидии из бюджета Московской области (тыс. руб.)</w:t>
            </w:r>
          </w:p>
        </w:tc>
        <w:tc>
          <w:tcPr>
            <w:tcW w:w="1701" w:type="dxa"/>
            <w:vMerge w:val="restart"/>
          </w:tcPr>
          <w:p>
            <w:pPr>
              <w:pStyle w:val="0"/>
              <w:jc w:val="center"/>
            </w:pPr>
            <w:r>
              <w:rPr>
                <w:sz w:val="20"/>
              </w:rPr>
              <w:t xml:space="preserve">Наименование главного распорядителя средств бюджета Московской области</w:t>
            </w:r>
          </w:p>
        </w:tc>
        <w:tc>
          <w:tcPr>
            <w:tcW w:w="1644" w:type="dxa"/>
            <w:vMerge w:val="restart"/>
          </w:tcPr>
          <w:p>
            <w:pPr>
              <w:pStyle w:val="0"/>
              <w:jc w:val="center"/>
            </w:pPr>
            <w:r>
              <w:rPr>
                <w:sz w:val="20"/>
              </w:rPr>
              <w:t xml:space="preserve">Числовое значение интегральной оценки инвестиционного проекта, %</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7" w:type="dxa"/>
          </w:tcPr>
          <w:p>
            <w:pPr>
              <w:pStyle w:val="0"/>
              <w:jc w:val="center"/>
            </w:pPr>
            <w:r>
              <w:rPr>
                <w:sz w:val="20"/>
              </w:rPr>
              <w:t xml:space="preserve">Всего</w:t>
            </w:r>
          </w:p>
        </w:tc>
        <w:tc>
          <w:tcPr>
            <w:tcW w:w="1587" w:type="dxa"/>
          </w:tcPr>
          <w:p>
            <w:pPr>
              <w:pStyle w:val="0"/>
              <w:jc w:val="center"/>
            </w:pPr>
            <w:r>
              <w:rPr>
                <w:sz w:val="20"/>
              </w:rPr>
              <w:t xml:space="preserve">2023 год</w:t>
            </w:r>
          </w:p>
        </w:tc>
        <w:tc>
          <w:tcPr>
            <w:tcW w:w="1587"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587" w:type="dxa"/>
          </w:tcPr>
          <w:p>
            <w:pPr>
              <w:pStyle w:val="0"/>
              <w:jc w:val="center"/>
            </w:pPr>
            <w:r>
              <w:rPr>
                <w:sz w:val="20"/>
              </w:rPr>
              <w:t xml:space="preserve">2026 год</w:t>
            </w:r>
          </w:p>
        </w:tc>
        <w:tc>
          <w:tcPr>
            <w:vMerge w:val="continue"/>
          </w:tcPr>
          <w:p/>
        </w:tc>
        <w:tc>
          <w:tcPr>
            <w:vMerge w:val="continue"/>
          </w:tcPr>
          <w:p/>
        </w:tc>
      </w:tr>
      <w:tr>
        <w:tc>
          <w:tcPr>
            <w:tcW w:w="907" w:type="dxa"/>
          </w:tcPr>
          <w:p>
            <w:pPr>
              <w:pStyle w:val="0"/>
              <w:jc w:val="center"/>
            </w:pPr>
            <w:r>
              <w:rPr>
                <w:sz w:val="20"/>
              </w:rPr>
              <w:t xml:space="preserve">1</w:t>
            </w:r>
          </w:p>
        </w:tc>
        <w:tc>
          <w:tcPr>
            <w:tcW w:w="2608" w:type="dxa"/>
          </w:tcPr>
          <w:p>
            <w:pPr>
              <w:pStyle w:val="0"/>
              <w:jc w:val="center"/>
            </w:pPr>
            <w:r>
              <w:rPr>
                <w:sz w:val="20"/>
              </w:rPr>
              <w:t xml:space="preserve">2</w:t>
            </w:r>
          </w:p>
        </w:tc>
        <w:tc>
          <w:tcPr>
            <w:tcW w:w="2438" w:type="dxa"/>
          </w:tcPr>
          <w:p>
            <w:pPr>
              <w:pStyle w:val="0"/>
              <w:jc w:val="center"/>
            </w:pPr>
            <w:r>
              <w:rPr>
                <w:sz w:val="20"/>
              </w:rPr>
              <w:t xml:space="preserve">3</w:t>
            </w:r>
          </w:p>
        </w:tc>
        <w:tc>
          <w:tcPr>
            <w:tcW w:w="1531" w:type="dxa"/>
          </w:tcPr>
          <w:p>
            <w:pPr>
              <w:pStyle w:val="0"/>
              <w:jc w:val="center"/>
            </w:pPr>
            <w:r>
              <w:rPr>
                <w:sz w:val="20"/>
              </w:rPr>
              <w:t xml:space="preserve">4</w:t>
            </w:r>
          </w:p>
        </w:tc>
        <w:tc>
          <w:tcPr>
            <w:tcW w:w="2608" w:type="dxa"/>
          </w:tcPr>
          <w:p>
            <w:pPr>
              <w:pStyle w:val="0"/>
              <w:jc w:val="center"/>
            </w:pPr>
            <w:r>
              <w:rPr>
                <w:sz w:val="20"/>
              </w:rPr>
              <w:t xml:space="preserve">5</w:t>
            </w:r>
          </w:p>
        </w:tc>
        <w:tc>
          <w:tcPr>
            <w:tcW w:w="2268" w:type="dxa"/>
          </w:tcPr>
          <w:bookmarkStart w:id="10275" w:name="P10275"/>
          <w:bookmarkEnd w:id="10275"/>
          <w:p>
            <w:pPr>
              <w:pStyle w:val="0"/>
              <w:jc w:val="center"/>
            </w:pPr>
            <w:r>
              <w:rPr>
                <w:sz w:val="20"/>
              </w:rPr>
              <w:t xml:space="preserve">6</w:t>
            </w:r>
          </w:p>
        </w:tc>
        <w:tc>
          <w:tcPr>
            <w:tcW w:w="1757" w:type="dxa"/>
          </w:tcPr>
          <w:p>
            <w:pPr>
              <w:pStyle w:val="0"/>
              <w:jc w:val="center"/>
            </w:pPr>
            <w:r>
              <w:rPr>
                <w:sz w:val="20"/>
              </w:rPr>
              <w:t xml:space="preserve">7</w:t>
            </w:r>
          </w:p>
        </w:tc>
        <w:tc>
          <w:tcPr>
            <w:tcW w:w="1644" w:type="dxa"/>
          </w:tcPr>
          <w:p>
            <w:pPr>
              <w:pStyle w:val="0"/>
              <w:jc w:val="center"/>
            </w:pPr>
            <w:r>
              <w:rPr>
                <w:sz w:val="20"/>
              </w:rPr>
              <w:t xml:space="preserve">8</w:t>
            </w:r>
          </w:p>
        </w:tc>
        <w:tc>
          <w:tcPr>
            <w:tcW w:w="1814" w:type="dxa"/>
          </w:tcPr>
          <w:p>
            <w:pPr>
              <w:pStyle w:val="0"/>
              <w:jc w:val="center"/>
            </w:pPr>
            <w:r>
              <w:rPr>
                <w:sz w:val="20"/>
              </w:rPr>
              <w:t xml:space="preserve">9</w:t>
            </w:r>
          </w:p>
        </w:tc>
        <w:tc>
          <w:tcPr>
            <w:tcW w:w="1587" w:type="dxa"/>
          </w:tcPr>
          <w:p>
            <w:pPr>
              <w:pStyle w:val="0"/>
              <w:jc w:val="center"/>
            </w:pPr>
            <w:r>
              <w:rPr>
                <w:sz w:val="20"/>
              </w:rPr>
              <w:t xml:space="preserve">10</w:t>
            </w:r>
          </w:p>
        </w:tc>
        <w:tc>
          <w:tcPr>
            <w:tcW w:w="1587" w:type="dxa"/>
          </w:tcPr>
          <w:p>
            <w:pPr>
              <w:pStyle w:val="0"/>
              <w:jc w:val="center"/>
            </w:pPr>
            <w:r>
              <w:rPr>
                <w:sz w:val="20"/>
              </w:rPr>
              <w:t xml:space="preserve">11</w:t>
            </w:r>
          </w:p>
        </w:tc>
        <w:tc>
          <w:tcPr>
            <w:tcW w:w="1587" w:type="dxa"/>
          </w:tcPr>
          <w:p>
            <w:pPr>
              <w:pStyle w:val="0"/>
              <w:jc w:val="center"/>
            </w:pPr>
            <w:r>
              <w:rPr>
                <w:sz w:val="20"/>
              </w:rPr>
              <w:t xml:space="preserve">12</w:t>
            </w:r>
          </w:p>
        </w:tc>
        <w:tc>
          <w:tcPr>
            <w:tcW w:w="1701" w:type="dxa"/>
          </w:tcPr>
          <w:p>
            <w:pPr>
              <w:pStyle w:val="0"/>
              <w:jc w:val="center"/>
            </w:pPr>
            <w:r>
              <w:rPr>
                <w:sz w:val="20"/>
              </w:rPr>
              <w:t xml:space="preserve">13</w:t>
            </w:r>
          </w:p>
        </w:tc>
        <w:tc>
          <w:tcPr>
            <w:tcW w:w="1587" w:type="dxa"/>
          </w:tcPr>
          <w:p>
            <w:pPr>
              <w:pStyle w:val="0"/>
              <w:jc w:val="center"/>
            </w:pPr>
            <w:r>
              <w:rPr>
                <w:sz w:val="20"/>
              </w:rPr>
              <w:t xml:space="preserve">14</w:t>
            </w:r>
          </w:p>
        </w:tc>
        <w:tc>
          <w:tcPr>
            <w:tcW w:w="1701" w:type="dxa"/>
          </w:tcPr>
          <w:p>
            <w:pPr>
              <w:pStyle w:val="0"/>
              <w:jc w:val="center"/>
            </w:pPr>
            <w:r>
              <w:rPr>
                <w:sz w:val="20"/>
              </w:rPr>
              <w:t xml:space="preserve">15</w:t>
            </w:r>
          </w:p>
        </w:tc>
        <w:tc>
          <w:tcPr>
            <w:tcW w:w="1644" w:type="dxa"/>
          </w:tcPr>
          <w:p>
            <w:pPr>
              <w:pStyle w:val="0"/>
              <w:jc w:val="center"/>
            </w:pPr>
            <w:r>
              <w:rPr>
                <w:sz w:val="20"/>
              </w:rPr>
              <w:t xml:space="preserve">16</w:t>
            </w:r>
          </w:p>
        </w:tc>
      </w:tr>
      <w:tr>
        <w:tc>
          <w:tcPr>
            <w:tcW w:w="907" w:type="dxa"/>
            <w:vMerge w:val="restart"/>
          </w:tcPr>
          <w:p>
            <w:pPr>
              <w:pStyle w:val="0"/>
            </w:pPr>
            <w:r>
              <w:rPr>
                <w:sz w:val="20"/>
              </w:rPr>
              <w:t xml:space="preserve">1</w:t>
            </w:r>
          </w:p>
        </w:tc>
        <w:tc>
          <w:tcPr>
            <w:tcW w:w="2608" w:type="dxa"/>
            <w:vMerge w:val="restart"/>
          </w:tcPr>
          <w:p>
            <w:pPr>
              <w:pStyle w:val="0"/>
            </w:pPr>
            <w:r>
              <w:rPr>
                <w:sz w:val="20"/>
              </w:rPr>
              <w:t xml:space="preserve">АО "Особая экономическая зона технико-внедренческого типа "Дубна"</w:t>
            </w:r>
          </w:p>
        </w:tc>
        <w:tc>
          <w:tcPr>
            <w:tcW w:w="2438" w:type="dxa"/>
            <w:vMerge w:val="restart"/>
          </w:tcPr>
          <w:p>
            <w:pPr>
              <w:pStyle w:val="0"/>
            </w:pPr>
            <w:r>
              <w:rPr>
                <w:sz w:val="20"/>
              </w:rPr>
              <w:t xml:space="preserve">Х</w:t>
            </w:r>
          </w:p>
        </w:tc>
        <w:tc>
          <w:tcPr>
            <w:tcW w:w="1531" w:type="dxa"/>
            <w:vMerge w:val="restart"/>
          </w:tcPr>
          <w:p>
            <w:pPr>
              <w:pStyle w:val="0"/>
            </w:pPr>
            <w:r>
              <w:rPr>
                <w:sz w:val="20"/>
              </w:rPr>
              <w:t xml:space="preserve">Х</w:t>
            </w:r>
          </w:p>
        </w:tc>
        <w:tc>
          <w:tcPr>
            <w:tcW w:w="2608" w:type="dxa"/>
            <w:vMerge w:val="restart"/>
          </w:tcPr>
          <w:p>
            <w:pPr>
              <w:pStyle w:val="0"/>
            </w:pPr>
            <w:r>
              <w:rPr>
                <w:sz w:val="20"/>
              </w:rPr>
              <w:t xml:space="preserve">Х</w:t>
            </w:r>
          </w:p>
        </w:tc>
        <w:tc>
          <w:tcPr>
            <w:tcW w:w="2268" w:type="dxa"/>
            <w:vMerge w:val="restart"/>
          </w:tcPr>
          <w:p>
            <w:pPr>
              <w:pStyle w:val="0"/>
            </w:pPr>
            <w:r>
              <w:rPr>
                <w:sz w:val="20"/>
              </w:rPr>
              <w:t xml:space="preserve">Х</w:t>
            </w:r>
          </w:p>
        </w:tc>
        <w:tc>
          <w:tcPr>
            <w:tcW w:w="1757" w:type="dxa"/>
            <w:vMerge w:val="restart"/>
          </w:tcPr>
          <w:p>
            <w:pPr>
              <w:pStyle w:val="0"/>
            </w:pPr>
            <w:r>
              <w:rPr>
                <w:sz w:val="20"/>
              </w:rPr>
              <w:t xml:space="preserve">Х</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28268706,07</w:t>
            </w:r>
          </w:p>
        </w:tc>
        <w:tc>
          <w:tcPr>
            <w:tcW w:w="1587" w:type="dxa"/>
          </w:tcPr>
          <w:p>
            <w:pPr>
              <w:pStyle w:val="0"/>
            </w:pPr>
            <w:r>
              <w:rPr>
                <w:sz w:val="20"/>
              </w:rPr>
              <w:t xml:space="preserve">1879929,00</w:t>
            </w:r>
          </w:p>
        </w:tc>
        <w:tc>
          <w:tcPr>
            <w:tcW w:w="1587" w:type="dxa"/>
          </w:tcPr>
          <w:p>
            <w:pPr>
              <w:pStyle w:val="0"/>
            </w:pPr>
            <w:r>
              <w:rPr>
                <w:sz w:val="20"/>
              </w:rPr>
              <w:t xml:space="preserve">8248088,00</w:t>
            </w:r>
          </w:p>
        </w:tc>
        <w:tc>
          <w:tcPr>
            <w:tcW w:w="1701" w:type="dxa"/>
          </w:tcPr>
          <w:p>
            <w:pPr>
              <w:pStyle w:val="0"/>
            </w:pPr>
            <w:r>
              <w:rPr>
                <w:sz w:val="20"/>
              </w:rPr>
              <w:t xml:space="preserve">11276920,00</w:t>
            </w:r>
          </w:p>
        </w:tc>
        <w:tc>
          <w:tcPr>
            <w:tcW w:w="1587" w:type="dxa"/>
          </w:tcPr>
          <w:p>
            <w:pPr>
              <w:pStyle w:val="0"/>
            </w:pPr>
            <w:r>
              <w:rPr>
                <w:sz w:val="20"/>
              </w:rPr>
              <w:t xml:space="preserve">6863769,07</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28268706,07</w:t>
            </w:r>
          </w:p>
        </w:tc>
        <w:tc>
          <w:tcPr>
            <w:tcW w:w="1587" w:type="dxa"/>
          </w:tcPr>
          <w:p>
            <w:pPr>
              <w:pStyle w:val="0"/>
            </w:pPr>
            <w:r>
              <w:rPr>
                <w:sz w:val="20"/>
              </w:rPr>
              <w:t xml:space="preserve">1879929,00</w:t>
            </w:r>
          </w:p>
        </w:tc>
        <w:tc>
          <w:tcPr>
            <w:tcW w:w="1587" w:type="dxa"/>
          </w:tcPr>
          <w:p>
            <w:pPr>
              <w:pStyle w:val="0"/>
            </w:pPr>
            <w:r>
              <w:rPr>
                <w:sz w:val="20"/>
              </w:rPr>
              <w:t xml:space="preserve">8248088,00</w:t>
            </w:r>
          </w:p>
        </w:tc>
        <w:tc>
          <w:tcPr>
            <w:tcW w:w="1701" w:type="dxa"/>
          </w:tcPr>
          <w:p>
            <w:pPr>
              <w:pStyle w:val="0"/>
            </w:pPr>
            <w:r>
              <w:rPr>
                <w:sz w:val="20"/>
              </w:rPr>
              <w:t xml:space="preserve">11276920,00</w:t>
            </w:r>
          </w:p>
        </w:tc>
        <w:tc>
          <w:tcPr>
            <w:tcW w:w="1587" w:type="dxa"/>
          </w:tcPr>
          <w:p>
            <w:pPr>
              <w:pStyle w:val="0"/>
            </w:pPr>
            <w:r>
              <w:rPr>
                <w:sz w:val="20"/>
              </w:rPr>
              <w:t xml:space="preserve">6863769,07</w:t>
            </w:r>
          </w:p>
        </w:tc>
        <w:tc>
          <w:tcPr>
            <w:vMerge w:val="continue"/>
          </w:tcPr>
          <w:p/>
        </w:tc>
        <w:tc>
          <w:tcPr>
            <w:vMerge w:val="continue"/>
          </w:tcPr>
          <w:p/>
        </w:tc>
      </w:tr>
      <w:tr>
        <w:tc>
          <w:tcPr>
            <w:tcW w:w="907" w:type="dxa"/>
            <w:vMerge w:val="restart"/>
          </w:tcPr>
          <w:p>
            <w:pPr>
              <w:pStyle w:val="0"/>
            </w:pPr>
            <w:r>
              <w:rPr>
                <w:sz w:val="20"/>
              </w:rPr>
              <w:t xml:space="preserve">1.1</w:t>
            </w:r>
          </w:p>
        </w:tc>
        <w:tc>
          <w:tcPr>
            <w:tcW w:w="2608" w:type="dxa"/>
            <w:vMerge w:val="restart"/>
          </w:tcPr>
          <w:p>
            <w:pPr>
              <w:pStyle w:val="0"/>
            </w:pPr>
            <w:r>
              <w:rPr>
                <w:sz w:val="20"/>
              </w:rPr>
              <w:t xml:space="preserve">Строительство улично-дорожной сети индустриального парка "Дмитров"</w:t>
            </w:r>
          </w:p>
        </w:tc>
        <w:tc>
          <w:tcPr>
            <w:tcW w:w="2438" w:type="dxa"/>
            <w:vMerge w:val="restart"/>
          </w:tcPr>
          <w:p>
            <w:pPr>
              <w:pStyle w:val="0"/>
            </w:pPr>
            <w:r>
              <w:rPr>
                <w:sz w:val="20"/>
              </w:rPr>
              <w:t xml:space="preserve">01.11.2023-15.12.2025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1152946,45</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1152946,45</w:t>
            </w:r>
          </w:p>
        </w:tc>
        <w:tc>
          <w:tcPr>
            <w:tcW w:w="1587" w:type="dxa"/>
          </w:tcPr>
          <w:p>
            <w:pPr>
              <w:pStyle w:val="0"/>
            </w:pPr>
            <w:r>
              <w:rPr>
                <w:sz w:val="20"/>
              </w:rPr>
              <w:t xml:space="preserve">454590,00</w:t>
            </w:r>
          </w:p>
        </w:tc>
        <w:tc>
          <w:tcPr>
            <w:tcW w:w="1587" w:type="dxa"/>
          </w:tcPr>
          <w:p>
            <w:pPr>
              <w:pStyle w:val="0"/>
            </w:pPr>
            <w:r>
              <w:rPr>
                <w:sz w:val="20"/>
              </w:rPr>
              <w:t xml:space="preserve">278356,45</w:t>
            </w:r>
          </w:p>
        </w:tc>
        <w:tc>
          <w:tcPr>
            <w:tcW w:w="1701" w:type="dxa"/>
          </w:tcPr>
          <w:p>
            <w:pPr>
              <w:pStyle w:val="0"/>
            </w:pPr>
            <w:r>
              <w:rPr>
                <w:sz w:val="20"/>
              </w:rPr>
              <w:t xml:space="preserve">420000,00</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1152946,45</w:t>
            </w:r>
          </w:p>
        </w:tc>
        <w:tc>
          <w:tcPr>
            <w:tcW w:w="1587" w:type="dxa"/>
          </w:tcPr>
          <w:p>
            <w:pPr>
              <w:pStyle w:val="0"/>
            </w:pPr>
            <w:r>
              <w:rPr>
                <w:sz w:val="20"/>
              </w:rPr>
              <w:t xml:space="preserve">454590,00</w:t>
            </w:r>
          </w:p>
        </w:tc>
        <w:tc>
          <w:tcPr>
            <w:tcW w:w="1587" w:type="dxa"/>
          </w:tcPr>
          <w:p>
            <w:pPr>
              <w:pStyle w:val="0"/>
            </w:pPr>
            <w:r>
              <w:rPr>
                <w:sz w:val="20"/>
              </w:rPr>
              <w:t xml:space="preserve">278356,45</w:t>
            </w:r>
          </w:p>
        </w:tc>
        <w:tc>
          <w:tcPr>
            <w:tcW w:w="1701" w:type="dxa"/>
          </w:tcPr>
          <w:p>
            <w:pPr>
              <w:pStyle w:val="0"/>
            </w:pPr>
            <w:r>
              <w:rPr>
                <w:sz w:val="20"/>
              </w:rPr>
              <w:t xml:space="preserve">420000,00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1040288,52</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1040288,52</w:t>
            </w:r>
          </w:p>
        </w:tc>
        <w:tc>
          <w:tcPr>
            <w:tcW w:w="1587" w:type="dxa"/>
          </w:tcPr>
          <w:p>
            <w:pPr>
              <w:pStyle w:val="0"/>
            </w:pPr>
            <w:r>
              <w:rPr>
                <w:sz w:val="20"/>
              </w:rPr>
              <w:t xml:space="preserve">369107,56</w:t>
            </w:r>
          </w:p>
        </w:tc>
        <w:tc>
          <w:tcPr>
            <w:tcW w:w="1587" w:type="dxa"/>
          </w:tcPr>
          <w:p>
            <w:pPr>
              <w:pStyle w:val="0"/>
            </w:pPr>
            <w:r>
              <w:rPr>
                <w:sz w:val="20"/>
              </w:rPr>
              <w:t xml:space="preserve">251180,96</w:t>
            </w:r>
          </w:p>
        </w:tc>
        <w:tc>
          <w:tcPr>
            <w:tcW w:w="1701" w:type="dxa"/>
          </w:tcPr>
          <w:p>
            <w:pPr>
              <w:pStyle w:val="0"/>
            </w:pPr>
            <w:r>
              <w:rPr>
                <w:sz w:val="20"/>
              </w:rPr>
              <w:t xml:space="preserve">420000,00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1040288,52</w:t>
            </w:r>
          </w:p>
        </w:tc>
        <w:tc>
          <w:tcPr>
            <w:tcW w:w="1587" w:type="dxa"/>
          </w:tcPr>
          <w:p>
            <w:pPr>
              <w:pStyle w:val="0"/>
            </w:pPr>
            <w:r>
              <w:rPr>
                <w:sz w:val="20"/>
              </w:rPr>
              <w:t xml:space="preserve">369107,56</w:t>
            </w:r>
          </w:p>
        </w:tc>
        <w:tc>
          <w:tcPr>
            <w:tcW w:w="1587" w:type="dxa"/>
          </w:tcPr>
          <w:p>
            <w:pPr>
              <w:pStyle w:val="0"/>
            </w:pPr>
            <w:r>
              <w:rPr>
                <w:sz w:val="20"/>
              </w:rPr>
              <w:t xml:space="preserve">251180,96</w:t>
            </w:r>
          </w:p>
        </w:tc>
        <w:tc>
          <w:tcPr>
            <w:tcW w:w="1701" w:type="dxa"/>
          </w:tcPr>
          <w:p>
            <w:pPr>
              <w:pStyle w:val="0"/>
            </w:pPr>
            <w:r>
              <w:rPr>
                <w:sz w:val="20"/>
              </w:rPr>
              <w:t xml:space="preserve">420000,00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99040,49</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99040,49</w:t>
            </w:r>
          </w:p>
        </w:tc>
        <w:tc>
          <w:tcPr>
            <w:tcW w:w="1587" w:type="dxa"/>
          </w:tcPr>
          <w:p>
            <w:pPr>
              <w:pStyle w:val="0"/>
            </w:pPr>
            <w:r>
              <w:rPr>
                <w:sz w:val="20"/>
              </w:rPr>
              <w:t xml:space="preserve">85482,44</w:t>
            </w:r>
          </w:p>
        </w:tc>
        <w:tc>
          <w:tcPr>
            <w:tcW w:w="1587" w:type="dxa"/>
          </w:tcPr>
          <w:p>
            <w:pPr>
              <w:pStyle w:val="0"/>
            </w:pPr>
            <w:r>
              <w:rPr>
                <w:sz w:val="20"/>
              </w:rPr>
              <w:t xml:space="preserve">13558,05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99040,49</w:t>
            </w:r>
          </w:p>
        </w:tc>
        <w:tc>
          <w:tcPr>
            <w:tcW w:w="1587" w:type="dxa"/>
          </w:tcPr>
          <w:p>
            <w:pPr>
              <w:pStyle w:val="0"/>
            </w:pPr>
            <w:r>
              <w:rPr>
                <w:sz w:val="20"/>
              </w:rPr>
              <w:t xml:space="preserve">85482,44</w:t>
            </w:r>
          </w:p>
        </w:tc>
        <w:tc>
          <w:tcPr>
            <w:tcW w:w="1587" w:type="dxa"/>
          </w:tcPr>
          <w:p>
            <w:pPr>
              <w:pStyle w:val="0"/>
            </w:pPr>
            <w:r>
              <w:rPr>
                <w:sz w:val="20"/>
              </w:rPr>
              <w:t xml:space="preserve">13558,05</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13617,44</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13617,44</w:t>
            </w:r>
          </w:p>
        </w:tc>
        <w:tc>
          <w:tcPr>
            <w:tcW w:w="1587" w:type="dxa"/>
          </w:tcPr>
          <w:p>
            <w:pPr>
              <w:pStyle w:val="0"/>
            </w:pPr>
            <w:r>
              <w:rPr>
                <w:sz w:val="20"/>
              </w:rPr>
              <w:t xml:space="preserve">-</w:t>
            </w:r>
          </w:p>
        </w:tc>
        <w:tc>
          <w:tcPr>
            <w:tcW w:w="1587" w:type="dxa"/>
          </w:tcPr>
          <w:p>
            <w:pPr>
              <w:pStyle w:val="0"/>
            </w:pPr>
            <w:r>
              <w:rPr>
                <w:sz w:val="20"/>
              </w:rPr>
              <w:t xml:space="preserve">13617,44</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13617,44</w:t>
            </w:r>
          </w:p>
        </w:tc>
        <w:tc>
          <w:tcPr>
            <w:tcW w:w="1587" w:type="dxa"/>
          </w:tcPr>
          <w:p>
            <w:pPr>
              <w:pStyle w:val="0"/>
            </w:pPr>
            <w:r>
              <w:rPr>
                <w:sz w:val="20"/>
              </w:rPr>
              <w:t xml:space="preserve">-</w:t>
            </w:r>
          </w:p>
        </w:tc>
        <w:tc>
          <w:tcPr>
            <w:tcW w:w="1587" w:type="dxa"/>
          </w:tcPr>
          <w:p>
            <w:pPr>
              <w:pStyle w:val="0"/>
            </w:pPr>
            <w:r>
              <w:rPr>
                <w:sz w:val="20"/>
              </w:rPr>
              <w:t xml:space="preserve">13617,44</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1.2</w:t>
            </w:r>
          </w:p>
        </w:tc>
        <w:tc>
          <w:tcPr>
            <w:tcW w:w="2608" w:type="dxa"/>
            <w:vMerge w:val="restart"/>
          </w:tcPr>
          <w:p>
            <w:pPr>
              <w:pStyle w:val="0"/>
            </w:pPr>
            <w:r>
              <w:rPr>
                <w:sz w:val="20"/>
              </w:rPr>
              <w:t xml:space="preserve">Центральная распределительная подстанция с периферийным сооружением и кабельными линиями индустриального парка "Дмитров"</w:t>
            </w:r>
          </w:p>
        </w:tc>
        <w:tc>
          <w:tcPr>
            <w:tcW w:w="2438" w:type="dxa"/>
            <w:vMerge w:val="restart"/>
          </w:tcPr>
          <w:p>
            <w:pPr>
              <w:pStyle w:val="0"/>
            </w:pPr>
            <w:r>
              <w:rPr>
                <w:sz w:val="20"/>
              </w:rPr>
              <w:t xml:space="preserve">01.11.2023-15.12.2025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1743207,48</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1743207,48</w:t>
            </w:r>
          </w:p>
        </w:tc>
        <w:tc>
          <w:tcPr>
            <w:tcW w:w="1587" w:type="dxa"/>
          </w:tcPr>
          <w:p>
            <w:pPr>
              <w:pStyle w:val="0"/>
            </w:pPr>
            <w:r>
              <w:rPr>
                <w:sz w:val="20"/>
              </w:rPr>
              <w:t xml:space="preserve">268600,00</w:t>
            </w:r>
          </w:p>
        </w:tc>
        <w:tc>
          <w:tcPr>
            <w:tcW w:w="1587" w:type="dxa"/>
          </w:tcPr>
          <w:p>
            <w:pPr>
              <w:pStyle w:val="0"/>
            </w:pPr>
            <w:r>
              <w:rPr>
                <w:sz w:val="20"/>
              </w:rPr>
              <w:t xml:space="preserve">1375335,49</w:t>
            </w:r>
          </w:p>
        </w:tc>
        <w:tc>
          <w:tcPr>
            <w:tcW w:w="1701" w:type="dxa"/>
          </w:tcPr>
          <w:p>
            <w:pPr>
              <w:pStyle w:val="0"/>
            </w:pPr>
            <w:r>
              <w:rPr>
                <w:sz w:val="20"/>
              </w:rPr>
              <w:t xml:space="preserve">99271,99</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1743207,48</w:t>
            </w:r>
          </w:p>
        </w:tc>
        <w:tc>
          <w:tcPr>
            <w:tcW w:w="1587" w:type="dxa"/>
          </w:tcPr>
          <w:p>
            <w:pPr>
              <w:pStyle w:val="0"/>
            </w:pPr>
            <w:r>
              <w:rPr>
                <w:sz w:val="20"/>
              </w:rPr>
              <w:t xml:space="preserve">268600,00</w:t>
            </w:r>
          </w:p>
        </w:tc>
        <w:tc>
          <w:tcPr>
            <w:tcW w:w="1587" w:type="dxa"/>
          </w:tcPr>
          <w:p>
            <w:pPr>
              <w:pStyle w:val="0"/>
            </w:pPr>
            <w:r>
              <w:rPr>
                <w:sz w:val="20"/>
              </w:rPr>
              <w:t xml:space="preserve">1375335,49</w:t>
            </w:r>
          </w:p>
        </w:tc>
        <w:tc>
          <w:tcPr>
            <w:tcW w:w="1701" w:type="dxa"/>
          </w:tcPr>
          <w:p>
            <w:pPr>
              <w:pStyle w:val="0"/>
            </w:pPr>
            <w:r>
              <w:rPr>
                <w:sz w:val="20"/>
              </w:rPr>
              <w:t xml:space="preserve">99271,99</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491872,76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491872,76</w:t>
            </w:r>
          </w:p>
        </w:tc>
        <w:tc>
          <w:tcPr>
            <w:tcW w:w="1587" w:type="dxa"/>
          </w:tcPr>
          <w:p>
            <w:pPr>
              <w:pStyle w:val="0"/>
            </w:pPr>
            <w:r>
              <w:rPr>
                <w:sz w:val="20"/>
              </w:rPr>
              <w:t xml:space="preserve">214822,35</w:t>
            </w:r>
          </w:p>
        </w:tc>
        <w:tc>
          <w:tcPr>
            <w:tcW w:w="1587" w:type="dxa"/>
          </w:tcPr>
          <w:p>
            <w:pPr>
              <w:pStyle w:val="0"/>
            </w:pPr>
            <w:r>
              <w:rPr>
                <w:sz w:val="20"/>
              </w:rPr>
              <w:t xml:space="preserve">181050,41</w:t>
            </w:r>
          </w:p>
        </w:tc>
        <w:tc>
          <w:tcPr>
            <w:tcW w:w="1701" w:type="dxa"/>
          </w:tcPr>
          <w:p>
            <w:pPr>
              <w:pStyle w:val="0"/>
            </w:pPr>
            <w:r>
              <w:rPr>
                <w:sz w:val="20"/>
              </w:rPr>
              <w:t xml:space="preserve">96000,00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491872,76</w:t>
            </w:r>
          </w:p>
        </w:tc>
        <w:tc>
          <w:tcPr>
            <w:tcW w:w="1587" w:type="dxa"/>
          </w:tcPr>
          <w:p>
            <w:pPr>
              <w:pStyle w:val="0"/>
            </w:pPr>
            <w:r>
              <w:rPr>
                <w:sz w:val="20"/>
              </w:rPr>
              <w:t xml:space="preserve">214822,35</w:t>
            </w:r>
          </w:p>
        </w:tc>
        <w:tc>
          <w:tcPr>
            <w:tcW w:w="1587" w:type="dxa"/>
          </w:tcPr>
          <w:p>
            <w:pPr>
              <w:pStyle w:val="0"/>
            </w:pPr>
            <w:r>
              <w:rPr>
                <w:sz w:val="20"/>
              </w:rPr>
              <w:t xml:space="preserve">181050,41</w:t>
            </w:r>
          </w:p>
        </w:tc>
        <w:tc>
          <w:tcPr>
            <w:tcW w:w="1701" w:type="dxa"/>
          </w:tcPr>
          <w:p>
            <w:pPr>
              <w:pStyle w:val="0"/>
            </w:pPr>
            <w:r>
              <w:rPr>
                <w:sz w:val="20"/>
              </w:rPr>
              <w:t xml:space="preserve">96000,00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8777,65</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8777,65</w:t>
            </w:r>
          </w:p>
        </w:tc>
        <w:tc>
          <w:tcPr>
            <w:tcW w:w="1587" w:type="dxa"/>
          </w:tcPr>
          <w:p>
            <w:pPr>
              <w:pStyle w:val="0"/>
            </w:pPr>
            <w:r>
              <w:rPr>
                <w:sz w:val="20"/>
              </w:rPr>
              <w:t xml:space="preserve">8777,65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8777,65</w:t>
            </w:r>
          </w:p>
        </w:tc>
        <w:tc>
          <w:tcPr>
            <w:tcW w:w="1587" w:type="dxa"/>
          </w:tcPr>
          <w:p>
            <w:pPr>
              <w:pStyle w:val="0"/>
            </w:pPr>
            <w:r>
              <w:rPr>
                <w:sz w:val="20"/>
              </w:rPr>
              <w:t xml:space="preserve">8777,65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8725,31</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8725,31</w:t>
            </w:r>
          </w:p>
        </w:tc>
        <w:tc>
          <w:tcPr>
            <w:tcW w:w="1587" w:type="dxa"/>
          </w:tcPr>
          <w:p>
            <w:pPr>
              <w:pStyle w:val="0"/>
            </w:pPr>
            <w:r>
              <w:rPr>
                <w:sz w:val="20"/>
              </w:rPr>
              <w:t xml:space="preserve">-</w:t>
            </w:r>
          </w:p>
        </w:tc>
        <w:tc>
          <w:tcPr>
            <w:tcW w:w="1587" w:type="dxa"/>
          </w:tcPr>
          <w:p>
            <w:pPr>
              <w:pStyle w:val="0"/>
            </w:pPr>
            <w:r>
              <w:rPr>
                <w:sz w:val="20"/>
              </w:rPr>
              <w:t xml:space="preserve">5453,32</w:t>
            </w:r>
          </w:p>
        </w:tc>
        <w:tc>
          <w:tcPr>
            <w:tcW w:w="1701" w:type="dxa"/>
          </w:tcPr>
          <w:p>
            <w:pPr>
              <w:pStyle w:val="0"/>
            </w:pPr>
            <w:r>
              <w:rPr>
                <w:sz w:val="20"/>
              </w:rPr>
              <w:t xml:space="preserve">3271,99</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8725,31</w:t>
            </w:r>
          </w:p>
        </w:tc>
        <w:tc>
          <w:tcPr>
            <w:tcW w:w="1587" w:type="dxa"/>
          </w:tcPr>
          <w:p>
            <w:pPr>
              <w:pStyle w:val="0"/>
            </w:pPr>
            <w:r>
              <w:rPr>
                <w:sz w:val="20"/>
              </w:rPr>
              <w:t xml:space="preserve">-</w:t>
            </w:r>
          </w:p>
        </w:tc>
        <w:tc>
          <w:tcPr>
            <w:tcW w:w="1587" w:type="dxa"/>
          </w:tcPr>
          <w:p>
            <w:pPr>
              <w:pStyle w:val="0"/>
            </w:pPr>
            <w:r>
              <w:rPr>
                <w:sz w:val="20"/>
              </w:rPr>
              <w:t xml:space="preserve">5453,32</w:t>
            </w:r>
          </w:p>
        </w:tc>
        <w:tc>
          <w:tcPr>
            <w:tcW w:w="1701" w:type="dxa"/>
          </w:tcPr>
          <w:p>
            <w:pPr>
              <w:pStyle w:val="0"/>
            </w:pPr>
            <w:r>
              <w:rPr>
                <w:sz w:val="20"/>
              </w:rPr>
              <w:t xml:space="preserve">3271,99</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1233831,76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1233831,76</w:t>
            </w:r>
          </w:p>
        </w:tc>
        <w:tc>
          <w:tcPr>
            <w:tcW w:w="1587" w:type="dxa"/>
          </w:tcPr>
          <w:p>
            <w:pPr>
              <w:pStyle w:val="0"/>
            </w:pPr>
            <w:r>
              <w:rPr>
                <w:sz w:val="20"/>
              </w:rPr>
              <w:t xml:space="preserve">45000,00</w:t>
            </w:r>
          </w:p>
        </w:tc>
        <w:tc>
          <w:tcPr>
            <w:tcW w:w="1587" w:type="dxa"/>
          </w:tcPr>
          <w:p>
            <w:pPr>
              <w:pStyle w:val="0"/>
            </w:pPr>
            <w:r>
              <w:rPr>
                <w:sz w:val="20"/>
              </w:rPr>
              <w:t xml:space="preserve">1188831,76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1233831,76</w:t>
            </w:r>
          </w:p>
        </w:tc>
        <w:tc>
          <w:tcPr>
            <w:tcW w:w="1587" w:type="dxa"/>
          </w:tcPr>
          <w:p>
            <w:pPr>
              <w:pStyle w:val="0"/>
            </w:pPr>
            <w:r>
              <w:rPr>
                <w:sz w:val="20"/>
              </w:rPr>
              <w:t xml:space="preserve">45000,00</w:t>
            </w:r>
          </w:p>
        </w:tc>
        <w:tc>
          <w:tcPr>
            <w:tcW w:w="1587" w:type="dxa"/>
          </w:tcPr>
          <w:p>
            <w:pPr>
              <w:pStyle w:val="0"/>
            </w:pPr>
            <w:r>
              <w:rPr>
                <w:sz w:val="20"/>
              </w:rPr>
              <w:t xml:space="preserve">1188831,76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1.3</w:t>
            </w:r>
          </w:p>
        </w:tc>
        <w:tc>
          <w:tcPr>
            <w:tcW w:w="2608" w:type="dxa"/>
            <w:vMerge w:val="restart"/>
          </w:tcPr>
          <w:p>
            <w:pPr>
              <w:pStyle w:val="0"/>
            </w:pPr>
            <w:r>
              <w:rPr>
                <w:sz w:val="20"/>
              </w:rPr>
              <w:t xml:space="preserve">Водопроводные сети и канализационные коллекторы, прокладка сетей телекоммуникаций, информационно-вычислительных сетей индустриального парка "Дмитров"</w:t>
            </w:r>
          </w:p>
        </w:tc>
        <w:tc>
          <w:tcPr>
            <w:tcW w:w="2438" w:type="dxa"/>
            <w:vMerge w:val="restart"/>
          </w:tcPr>
          <w:p>
            <w:pPr>
              <w:pStyle w:val="0"/>
            </w:pPr>
            <w:r>
              <w:rPr>
                <w:sz w:val="20"/>
              </w:rPr>
              <w:t xml:space="preserve">01.11.2023-15.12.2025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697792,17</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697792,17</w:t>
            </w:r>
          </w:p>
        </w:tc>
        <w:tc>
          <w:tcPr>
            <w:tcW w:w="1587" w:type="dxa"/>
          </w:tcPr>
          <w:p>
            <w:pPr>
              <w:pStyle w:val="0"/>
            </w:pPr>
            <w:r>
              <w:rPr>
                <w:sz w:val="20"/>
              </w:rPr>
              <w:t xml:space="preserve">299310,00</w:t>
            </w:r>
          </w:p>
        </w:tc>
        <w:tc>
          <w:tcPr>
            <w:tcW w:w="1587" w:type="dxa"/>
          </w:tcPr>
          <w:p>
            <w:pPr>
              <w:pStyle w:val="0"/>
            </w:pPr>
            <w:r>
              <w:rPr>
                <w:sz w:val="20"/>
              </w:rPr>
              <w:t xml:space="preserve">156082,17</w:t>
            </w:r>
          </w:p>
        </w:tc>
        <w:tc>
          <w:tcPr>
            <w:tcW w:w="1701" w:type="dxa"/>
          </w:tcPr>
          <w:p>
            <w:pPr>
              <w:pStyle w:val="0"/>
            </w:pPr>
            <w:r>
              <w:rPr>
                <w:sz w:val="20"/>
              </w:rPr>
              <w:t xml:space="preserve">242400,00</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697792,17</w:t>
            </w:r>
          </w:p>
        </w:tc>
        <w:tc>
          <w:tcPr>
            <w:tcW w:w="1587" w:type="dxa"/>
          </w:tcPr>
          <w:p>
            <w:pPr>
              <w:pStyle w:val="0"/>
            </w:pPr>
            <w:r>
              <w:rPr>
                <w:sz w:val="20"/>
              </w:rPr>
              <w:t xml:space="preserve">299310,00</w:t>
            </w:r>
          </w:p>
        </w:tc>
        <w:tc>
          <w:tcPr>
            <w:tcW w:w="1587" w:type="dxa"/>
          </w:tcPr>
          <w:p>
            <w:pPr>
              <w:pStyle w:val="0"/>
            </w:pPr>
            <w:r>
              <w:rPr>
                <w:sz w:val="20"/>
              </w:rPr>
              <w:t xml:space="preserve">156082,17</w:t>
            </w:r>
          </w:p>
        </w:tc>
        <w:tc>
          <w:tcPr>
            <w:tcW w:w="1701" w:type="dxa"/>
          </w:tcPr>
          <w:p>
            <w:pPr>
              <w:pStyle w:val="0"/>
            </w:pPr>
            <w:r>
              <w:rPr>
                <w:sz w:val="20"/>
              </w:rPr>
              <w:t xml:space="preserve">242400,00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624330,30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624330,30</w:t>
            </w:r>
          </w:p>
        </w:tc>
        <w:tc>
          <w:tcPr>
            <w:tcW w:w="1587" w:type="dxa"/>
          </w:tcPr>
          <w:p>
            <w:pPr>
              <w:pStyle w:val="0"/>
            </w:pPr>
            <w:r>
              <w:rPr>
                <w:sz w:val="20"/>
              </w:rPr>
              <w:t xml:space="preserve">236622,75</w:t>
            </w:r>
          </w:p>
        </w:tc>
        <w:tc>
          <w:tcPr>
            <w:tcW w:w="1587" w:type="dxa"/>
          </w:tcPr>
          <w:p>
            <w:pPr>
              <w:pStyle w:val="0"/>
            </w:pPr>
            <w:r>
              <w:rPr>
                <w:sz w:val="20"/>
              </w:rPr>
              <w:t xml:space="preserve">147707,55</w:t>
            </w:r>
          </w:p>
        </w:tc>
        <w:tc>
          <w:tcPr>
            <w:tcW w:w="1701" w:type="dxa"/>
          </w:tcPr>
          <w:p>
            <w:pPr>
              <w:pStyle w:val="0"/>
            </w:pPr>
            <w:r>
              <w:rPr>
                <w:sz w:val="20"/>
              </w:rPr>
              <w:t xml:space="preserve">240000,00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624330,30</w:t>
            </w:r>
          </w:p>
        </w:tc>
        <w:tc>
          <w:tcPr>
            <w:tcW w:w="1587" w:type="dxa"/>
          </w:tcPr>
          <w:p>
            <w:pPr>
              <w:pStyle w:val="0"/>
            </w:pPr>
            <w:r>
              <w:rPr>
                <w:sz w:val="20"/>
              </w:rPr>
              <w:t xml:space="preserve">236622,75</w:t>
            </w:r>
          </w:p>
        </w:tc>
        <w:tc>
          <w:tcPr>
            <w:tcW w:w="1587" w:type="dxa"/>
          </w:tcPr>
          <w:p>
            <w:pPr>
              <w:pStyle w:val="0"/>
            </w:pPr>
            <w:r>
              <w:rPr>
                <w:sz w:val="20"/>
              </w:rPr>
              <w:t xml:space="preserve">147707,55</w:t>
            </w:r>
          </w:p>
        </w:tc>
        <w:tc>
          <w:tcPr>
            <w:tcW w:w="1701" w:type="dxa"/>
          </w:tcPr>
          <w:p>
            <w:pPr>
              <w:pStyle w:val="0"/>
            </w:pPr>
            <w:r>
              <w:rPr>
                <w:sz w:val="20"/>
              </w:rPr>
              <w:t xml:space="preserve">240000,00</w:t>
            </w:r>
          </w:p>
        </w:tc>
        <w:tc>
          <w:tcPr>
            <w:tcW w:w="1587" w:type="dxa"/>
          </w:tcPr>
          <w:p>
            <w:pPr>
              <w:pStyle w:val="0"/>
            </w:pPr>
            <w:r>
              <w:rPr>
                <w:sz w:val="20"/>
              </w:rPr>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61000,00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61000,00</w:t>
            </w:r>
          </w:p>
        </w:tc>
        <w:tc>
          <w:tcPr>
            <w:tcW w:w="1587" w:type="dxa"/>
          </w:tcPr>
          <w:p>
            <w:pPr>
              <w:pStyle w:val="0"/>
            </w:pPr>
            <w:r>
              <w:rPr>
                <w:sz w:val="20"/>
              </w:rPr>
              <w:t xml:space="preserve">61000,00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61000,00</w:t>
            </w:r>
          </w:p>
        </w:tc>
        <w:tc>
          <w:tcPr>
            <w:tcW w:w="1587" w:type="dxa"/>
          </w:tcPr>
          <w:p>
            <w:pPr>
              <w:pStyle w:val="0"/>
            </w:pPr>
            <w:r>
              <w:rPr>
                <w:sz w:val="20"/>
              </w:rPr>
              <w:t xml:space="preserve">61000,00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10774,62</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10774,62</w:t>
            </w:r>
          </w:p>
        </w:tc>
        <w:tc>
          <w:tcPr>
            <w:tcW w:w="1587" w:type="dxa"/>
          </w:tcPr>
          <w:p>
            <w:pPr>
              <w:pStyle w:val="0"/>
            </w:pPr>
            <w:r>
              <w:rPr>
                <w:sz w:val="20"/>
              </w:rPr>
              <w:t xml:space="preserve">-</w:t>
            </w:r>
          </w:p>
        </w:tc>
        <w:tc>
          <w:tcPr>
            <w:tcW w:w="1587" w:type="dxa"/>
          </w:tcPr>
          <w:p>
            <w:pPr>
              <w:pStyle w:val="0"/>
            </w:pPr>
            <w:r>
              <w:rPr>
                <w:sz w:val="20"/>
              </w:rPr>
              <w:t xml:space="preserve">8374,62</w:t>
            </w:r>
          </w:p>
        </w:tc>
        <w:tc>
          <w:tcPr>
            <w:tcW w:w="1701" w:type="dxa"/>
          </w:tcPr>
          <w:p>
            <w:pPr>
              <w:pStyle w:val="0"/>
            </w:pPr>
            <w:r>
              <w:rPr>
                <w:sz w:val="20"/>
              </w:rPr>
              <w:t xml:space="preserve">2400,00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10774,62</w:t>
            </w:r>
          </w:p>
        </w:tc>
        <w:tc>
          <w:tcPr>
            <w:tcW w:w="1587" w:type="dxa"/>
          </w:tcPr>
          <w:p>
            <w:pPr>
              <w:pStyle w:val="0"/>
            </w:pPr>
            <w:r>
              <w:rPr>
                <w:sz w:val="20"/>
              </w:rPr>
              <w:t xml:space="preserve">-</w:t>
            </w:r>
          </w:p>
        </w:tc>
        <w:tc>
          <w:tcPr>
            <w:tcW w:w="1587" w:type="dxa"/>
          </w:tcPr>
          <w:p>
            <w:pPr>
              <w:pStyle w:val="0"/>
            </w:pPr>
            <w:r>
              <w:rPr>
                <w:sz w:val="20"/>
              </w:rPr>
              <w:t xml:space="preserve">8374,62</w:t>
            </w:r>
          </w:p>
        </w:tc>
        <w:tc>
          <w:tcPr>
            <w:tcW w:w="1701" w:type="dxa"/>
          </w:tcPr>
          <w:p>
            <w:pPr>
              <w:pStyle w:val="0"/>
            </w:pPr>
            <w:r>
              <w:rPr>
                <w:sz w:val="20"/>
              </w:rPr>
              <w:t xml:space="preserve">2400,00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1687,25</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1687,25</w:t>
            </w:r>
          </w:p>
        </w:tc>
        <w:tc>
          <w:tcPr>
            <w:tcW w:w="1587" w:type="dxa"/>
          </w:tcPr>
          <w:p>
            <w:pPr>
              <w:pStyle w:val="0"/>
            </w:pPr>
            <w:r>
              <w:rPr>
                <w:sz w:val="20"/>
              </w:rPr>
              <w:t xml:space="preserve">1687,25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1687,25</w:t>
            </w:r>
          </w:p>
        </w:tc>
        <w:tc>
          <w:tcPr>
            <w:tcW w:w="1587" w:type="dxa"/>
          </w:tcPr>
          <w:p>
            <w:pPr>
              <w:pStyle w:val="0"/>
            </w:pPr>
            <w:r>
              <w:rPr>
                <w:sz w:val="20"/>
              </w:rPr>
              <w:t xml:space="preserve">1687,25</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1.4</w:t>
            </w:r>
          </w:p>
        </w:tc>
        <w:tc>
          <w:tcPr>
            <w:tcW w:w="2608" w:type="dxa"/>
            <w:vMerge w:val="restart"/>
          </w:tcPr>
          <w:p>
            <w:pPr>
              <w:pStyle w:val="0"/>
            </w:pPr>
            <w:r>
              <w:rPr>
                <w:sz w:val="20"/>
              </w:rPr>
              <w:t xml:space="preserve">Строительство производственного корпуса индустриального парка "Дмитров"</w:t>
            </w:r>
          </w:p>
        </w:tc>
        <w:tc>
          <w:tcPr>
            <w:tcW w:w="2438" w:type="dxa"/>
            <w:vMerge w:val="restart"/>
          </w:tcPr>
          <w:p>
            <w:pPr>
              <w:pStyle w:val="0"/>
            </w:pPr>
            <w:r>
              <w:rPr>
                <w:sz w:val="20"/>
              </w:rPr>
              <w:t xml:space="preserve">01.11.2023-15.12.2025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4371646,98</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4371646,98</w:t>
            </w:r>
          </w:p>
        </w:tc>
        <w:tc>
          <w:tcPr>
            <w:tcW w:w="1587" w:type="dxa"/>
          </w:tcPr>
          <w:p>
            <w:pPr>
              <w:pStyle w:val="0"/>
            </w:pPr>
            <w:r>
              <w:rPr>
                <w:sz w:val="20"/>
              </w:rPr>
              <w:t xml:space="preserve">857429,00</w:t>
            </w:r>
          </w:p>
        </w:tc>
        <w:tc>
          <w:tcPr>
            <w:tcW w:w="1587" w:type="dxa"/>
          </w:tcPr>
          <w:p>
            <w:pPr>
              <w:pStyle w:val="0"/>
            </w:pPr>
            <w:r>
              <w:rPr>
                <w:sz w:val="20"/>
              </w:rPr>
              <w:t xml:space="preserve">1498349,67</w:t>
            </w:r>
          </w:p>
        </w:tc>
        <w:tc>
          <w:tcPr>
            <w:tcW w:w="1701" w:type="dxa"/>
          </w:tcPr>
          <w:p>
            <w:pPr>
              <w:pStyle w:val="0"/>
            </w:pPr>
            <w:r>
              <w:rPr>
                <w:sz w:val="20"/>
              </w:rPr>
              <w:t xml:space="preserve">2015868,31</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4371646,98</w:t>
            </w:r>
          </w:p>
        </w:tc>
        <w:tc>
          <w:tcPr>
            <w:tcW w:w="1587" w:type="dxa"/>
          </w:tcPr>
          <w:p>
            <w:pPr>
              <w:pStyle w:val="0"/>
            </w:pPr>
            <w:r>
              <w:rPr>
                <w:sz w:val="20"/>
              </w:rPr>
              <w:t xml:space="preserve">857429,00</w:t>
            </w:r>
          </w:p>
        </w:tc>
        <w:tc>
          <w:tcPr>
            <w:tcW w:w="1587" w:type="dxa"/>
          </w:tcPr>
          <w:p>
            <w:pPr>
              <w:pStyle w:val="0"/>
            </w:pPr>
            <w:r>
              <w:rPr>
                <w:sz w:val="20"/>
              </w:rPr>
              <w:t xml:space="preserve">1498349,67</w:t>
            </w:r>
          </w:p>
        </w:tc>
        <w:tc>
          <w:tcPr>
            <w:tcW w:w="1701" w:type="dxa"/>
          </w:tcPr>
          <w:p>
            <w:pPr>
              <w:pStyle w:val="0"/>
            </w:pPr>
            <w:r>
              <w:rPr>
                <w:sz w:val="20"/>
              </w:rPr>
              <w:t xml:space="preserve">2015868,31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4222005,45</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4222005,45</w:t>
            </w:r>
          </w:p>
        </w:tc>
        <w:tc>
          <w:tcPr>
            <w:tcW w:w="1587" w:type="dxa"/>
          </w:tcPr>
          <w:p>
            <w:pPr>
              <w:pStyle w:val="0"/>
            </w:pPr>
            <w:r>
              <w:rPr>
                <w:sz w:val="20"/>
              </w:rPr>
              <w:t xml:space="preserve">767429,00</w:t>
            </w:r>
          </w:p>
        </w:tc>
        <w:tc>
          <w:tcPr>
            <w:tcW w:w="1587" w:type="dxa"/>
          </w:tcPr>
          <w:p>
            <w:pPr>
              <w:pStyle w:val="0"/>
            </w:pPr>
            <w:r>
              <w:rPr>
                <w:sz w:val="20"/>
              </w:rPr>
              <w:t xml:space="preserve">1462576,14</w:t>
            </w:r>
          </w:p>
        </w:tc>
        <w:tc>
          <w:tcPr>
            <w:tcW w:w="1701" w:type="dxa"/>
          </w:tcPr>
          <w:p>
            <w:pPr>
              <w:pStyle w:val="0"/>
            </w:pPr>
            <w:r>
              <w:rPr>
                <w:sz w:val="20"/>
              </w:rPr>
              <w:t xml:space="preserve">1992000,31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4222005,45</w:t>
            </w:r>
          </w:p>
        </w:tc>
        <w:tc>
          <w:tcPr>
            <w:tcW w:w="1587" w:type="dxa"/>
          </w:tcPr>
          <w:p>
            <w:pPr>
              <w:pStyle w:val="0"/>
            </w:pPr>
            <w:r>
              <w:rPr>
                <w:sz w:val="20"/>
              </w:rPr>
              <w:t xml:space="preserve">767429,00</w:t>
            </w:r>
          </w:p>
        </w:tc>
        <w:tc>
          <w:tcPr>
            <w:tcW w:w="1587" w:type="dxa"/>
          </w:tcPr>
          <w:p>
            <w:pPr>
              <w:pStyle w:val="0"/>
            </w:pPr>
            <w:r>
              <w:rPr>
                <w:sz w:val="20"/>
              </w:rPr>
              <w:t xml:space="preserve">1462576,14</w:t>
            </w:r>
          </w:p>
        </w:tc>
        <w:tc>
          <w:tcPr>
            <w:tcW w:w="1701" w:type="dxa"/>
          </w:tcPr>
          <w:p>
            <w:pPr>
              <w:pStyle w:val="0"/>
            </w:pPr>
            <w:r>
              <w:rPr>
                <w:sz w:val="20"/>
              </w:rPr>
              <w:t xml:space="preserve">1992000,31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59641,53</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59641,53</w:t>
            </w:r>
          </w:p>
        </w:tc>
        <w:tc>
          <w:tcPr>
            <w:tcW w:w="1587" w:type="dxa"/>
          </w:tcPr>
          <w:p>
            <w:pPr>
              <w:pStyle w:val="0"/>
            </w:pPr>
            <w:r>
              <w:rPr>
                <w:sz w:val="20"/>
              </w:rPr>
              <w:t xml:space="preserve">-</w:t>
            </w:r>
          </w:p>
        </w:tc>
        <w:tc>
          <w:tcPr>
            <w:tcW w:w="1587" w:type="dxa"/>
          </w:tcPr>
          <w:p>
            <w:pPr>
              <w:pStyle w:val="0"/>
            </w:pPr>
            <w:r>
              <w:rPr>
                <w:sz w:val="20"/>
              </w:rPr>
              <w:t xml:space="preserve">35773,53</w:t>
            </w:r>
          </w:p>
        </w:tc>
        <w:tc>
          <w:tcPr>
            <w:tcW w:w="1701" w:type="dxa"/>
          </w:tcPr>
          <w:p>
            <w:pPr>
              <w:pStyle w:val="0"/>
            </w:pPr>
            <w:r>
              <w:rPr>
                <w:sz w:val="20"/>
              </w:rPr>
              <w:t xml:space="preserve">23868,00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59641,53</w:t>
            </w:r>
          </w:p>
        </w:tc>
        <w:tc>
          <w:tcPr>
            <w:tcW w:w="1587" w:type="dxa"/>
          </w:tcPr>
          <w:p>
            <w:pPr>
              <w:pStyle w:val="0"/>
            </w:pPr>
            <w:r>
              <w:rPr>
                <w:sz w:val="20"/>
              </w:rPr>
              <w:t xml:space="preserve">-</w:t>
            </w:r>
          </w:p>
        </w:tc>
        <w:tc>
          <w:tcPr>
            <w:tcW w:w="1587" w:type="dxa"/>
          </w:tcPr>
          <w:p>
            <w:pPr>
              <w:pStyle w:val="0"/>
            </w:pPr>
            <w:r>
              <w:rPr>
                <w:sz w:val="20"/>
              </w:rPr>
              <w:t xml:space="preserve">35773,53</w:t>
            </w:r>
          </w:p>
        </w:tc>
        <w:tc>
          <w:tcPr>
            <w:tcW w:w="1701" w:type="dxa"/>
          </w:tcPr>
          <w:p>
            <w:pPr>
              <w:pStyle w:val="0"/>
            </w:pPr>
            <w:r>
              <w:rPr>
                <w:sz w:val="20"/>
              </w:rPr>
              <w:t xml:space="preserve">23868,00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90000,00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90000,00</w:t>
            </w:r>
          </w:p>
        </w:tc>
        <w:tc>
          <w:tcPr>
            <w:tcW w:w="1587" w:type="dxa"/>
          </w:tcPr>
          <w:p>
            <w:pPr>
              <w:pStyle w:val="0"/>
            </w:pPr>
            <w:r>
              <w:rPr>
                <w:sz w:val="20"/>
              </w:rPr>
              <w:t xml:space="preserve">90000,00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90000,00</w:t>
            </w:r>
          </w:p>
        </w:tc>
        <w:tc>
          <w:tcPr>
            <w:tcW w:w="1587" w:type="dxa"/>
          </w:tcPr>
          <w:p>
            <w:pPr>
              <w:pStyle w:val="0"/>
            </w:pPr>
            <w:r>
              <w:rPr>
                <w:sz w:val="20"/>
              </w:rPr>
              <w:t xml:space="preserve">90000,00</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1.5</w:t>
            </w:r>
          </w:p>
        </w:tc>
        <w:tc>
          <w:tcPr>
            <w:tcW w:w="2608" w:type="dxa"/>
            <w:vMerge w:val="restart"/>
          </w:tcPr>
          <w:p>
            <w:pPr>
              <w:pStyle w:val="0"/>
            </w:pPr>
            <w:r>
              <w:rPr>
                <w:sz w:val="20"/>
              </w:rPr>
              <w:t xml:space="preserve">Газопровод индустриального парка "Дмитров"</w:t>
            </w:r>
          </w:p>
        </w:tc>
        <w:tc>
          <w:tcPr>
            <w:tcW w:w="2438" w:type="dxa"/>
            <w:vMerge w:val="restart"/>
          </w:tcPr>
          <w:p>
            <w:pPr>
              <w:pStyle w:val="0"/>
            </w:pPr>
            <w:r>
              <w:rPr>
                <w:sz w:val="20"/>
              </w:rPr>
              <w:t xml:space="preserve">01.11.23-15.12.25</w:t>
            </w:r>
          </w:p>
        </w:tc>
        <w:tc>
          <w:tcPr>
            <w:tcW w:w="1531" w:type="dxa"/>
            <w:vMerge w:val="restart"/>
          </w:tcPr>
          <w:p>
            <w:pPr>
              <w:pStyle w:val="0"/>
            </w:pPr>
            <w:r>
              <w:rPr>
                <w:sz w:val="20"/>
              </w:rPr>
              <w:t xml:space="preserve">15.12.25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w:t>
              </w:r>
            </w:hyperlink>
          </w:p>
        </w:tc>
        <w:tc>
          <w:tcPr>
            <w:tcW w:w="1757" w:type="dxa"/>
            <w:vMerge w:val="restart"/>
          </w:tcPr>
          <w:p>
            <w:pPr>
              <w:pStyle w:val="0"/>
            </w:pPr>
            <w:r>
              <w:rPr>
                <w:sz w:val="20"/>
              </w:rPr>
              <w:t xml:space="preserve">99102,41</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99102,41</w:t>
            </w:r>
          </w:p>
        </w:tc>
        <w:tc>
          <w:tcPr>
            <w:tcW w:w="1587" w:type="dxa"/>
          </w:tcPr>
          <w:p>
            <w:pPr>
              <w:pStyle w:val="0"/>
            </w:pPr>
            <w:r>
              <w:rPr>
                <w:sz w:val="20"/>
              </w:rPr>
              <w:t xml:space="preserve">-</w:t>
            </w:r>
          </w:p>
        </w:tc>
        <w:tc>
          <w:tcPr>
            <w:tcW w:w="1587" w:type="dxa"/>
          </w:tcPr>
          <w:p>
            <w:pPr>
              <w:pStyle w:val="0"/>
            </w:pPr>
            <w:r>
              <w:rPr>
                <w:sz w:val="20"/>
              </w:rPr>
              <w:t xml:space="preserve">68551,68</w:t>
            </w:r>
          </w:p>
        </w:tc>
        <w:tc>
          <w:tcPr>
            <w:tcW w:w="1701" w:type="dxa"/>
          </w:tcPr>
          <w:p>
            <w:pPr>
              <w:pStyle w:val="0"/>
            </w:pPr>
            <w:r>
              <w:rPr>
                <w:sz w:val="20"/>
              </w:rPr>
              <w:t xml:space="preserve">30550,73</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99102,41</w:t>
            </w:r>
          </w:p>
        </w:tc>
        <w:tc>
          <w:tcPr>
            <w:tcW w:w="1587" w:type="dxa"/>
          </w:tcPr>
          <w:p>
            <w:pPr>
              <w:pStyle w:val="0"/>
            </w:pPr>
            <w:r>
              <w:rPr>
                <w:sz w:val="20"/>
              </w:rPr>
              <w:t xml:space="preserve">-</w:t>
            </w:r>
          </w:p>
        </w:tc>
        <w:tc>
          <w:tcPr>
            <w:tcW w:w="1587" w:type="dxa"/>
          </w:tcPr>
          <w:p>
            <w:pPr>
              <w:pStyle w:val="0"/>
            </w:pPr>
            <w:r>
              <w:rPr>
                <w:sz w:val="20"/>
              </w:rPr>
              <w:t xml:space="preserve">68551,68</w:t>
            </w:r>
          </w:p>
        </w:tc>
        <w:tc>
          <w:tcPr>
            <w:tcW w:w="1701" w:type="dxa"/>
          </w:tcPr>
          <w:p>
            <w:pPr>
              <w:pStyle w:val="0"/>
            </w:pPr>
            <w:r>
              <w:rPr>
                <w:sz w:val="20"/>
              </w:rPr>
              <w:t xml:space="preserve">30550,73</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80216,19</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80216,19</w:t>
            </w:r>
          </w:p>
        </w:tc>
        <w:tc>
          <w:tcPr>
            <w:tcW w:w="1587" w:type="dxa"/>
          </w:tcPr>
          <w:p>
            <w:pPr>
              <w:pStyle w:val="0"/>
            </w:pPr>
            <w:r>
              <w:rPr>
                <w:sz w:val="20"/>
              </w:rPr>
              <w:t xml:space="preserve">-</w:t>
            </w:r>
          </w:p>
        </w:tc>
        <w:tc>
          <w:tcPr>
            <w:tcW w:w="1587" w:type="dxa"/>
          </w:tcPr>
          <w:p>
            <w:pPr>
              <w:pStyle w:val="0"/>
            </w:pPr>
            <w:r>
              <w:rPr>
                <w:sz w:val="20"/>
              </w:rPr>
              <w:t xml:space="preserve">50243,62</w:t>
            </w:r>
          </w:p>
        </w:tc>
        <w:tc>
          <w:tcPr>
            <w:tcW w:w="1701" w:type="dxa"/>
          </w:tcPr>
          <w:p>
            <w:pPr>
              <w:pStyle w:val="0"/>
            </w:pPr>
            <w:r>
              <w:rPr>
                <w:sz w:val="20"/>
              </w:rPr>
              <w:t xml:space="preserve">29972,57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80216,19</w:t>
            </w:r>
          </w:p>
        </w:tc>
        <w:tc>
          <w:tcPr>
            <w:tcW w:w="1587" w:type="dxa"/>
          </w:tcPr>
          <w:p>
            <w:pPr>
              <w:pStyle w:val="0"/>
            </w:pPr>
            <w:r>
              <w:rPr>
                <w:sz w:val="20"/>
              </w:rPr>
            </w:r>
          </w:p>
        </w:tc>
        <w:tc>
          <w:tcPr>
            <w:tcW w:w="1587" w:type="dxa"/>
          </w:tcPr>
          <w:p>
            <w:pPr>
              <w:pStyle w:val="0"/>
            </w:pPr>
            <w:r>
              <w:rPr>
                <w:sz w:val="20"/>
              </w:rPr>
              <w:t xml:space="preserve">50243,62</w:t>
            </w:r>
          </w:p>
        </w:tc>
        <w:tc>
          <w:tcPr>
            <w:tcW w:w="1701" w:type="dxa"/>
          </w:tcPr>
          <w:p>
            <w:pPr>
              <w:pStyle w:val="0"/>
            </w:pPr>
            <w:r>
              <w:rPr>
                <w:sz w:val="20"/>
              </w:rPr>
              <w:t xml:space="preserve">29972,57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12077,70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12077,70</w:t>
            </w:r>
          </w:p>
        </w:tc>
        <w:tc>
          <w:tcPr>
            <w:tcW w:w="1587" w:type="dxa"/>
          </w:tcPr>
          <w:p>
            <w:pPr>
              <w:pStyle w:val="0"/>
            </w:pPr>
            <w:r>
              <w:rPr>
                <w:sz w:val="20"/>
              </w:rPr>
              <w:t xml:space="preserve">-</w:t>
            </w:r>
          </w:p>
        </w:tc>
        <w:tc>
          <w:tcPr>
            <w:tcW w:w="1587" w:type="dxa"/>
          </w:tcPr>
          <w:p>
            <w:pPr>
              <w:pStyle w:val="0"/>
            </w:pPr>
            <w:r>
              <w:rPr>
                <w:sz w:val="20"/>
              </w:rPr>
              <w:t xml:space="preserve">12077,70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12077,70</w:t>
            </w:r>
          </w:p>
        </w:tc>
        <w:tc>
          <w:tcPr>
            <w:tcW w:w="1587" w:type="dxa"/>
          </w:tcPr>
          <w:p>
            <w:pPr>
              <w:pStyle w:val="0"/>
            </w:pPr>
            <w:r>
              <w:rPr>
                <w:sz w:val="20"/>
              </w:rPr>
              <w:t xml:space="preserve">-</w:t>
            </w:r>
          </w:p>
        </w:tc>
        <w:tc>
          <w:tcPr>
            <w:tcW w:w="1587" w:type="dxa"/>
          </w:tcPr>
          <w:p>
            <w:pPr>
              <w:pStyle w:val="0"/>
            </w:pPr>
            <w:r>
              <w:rPr>
                <w:sz w:val="20"/>
              </w:rPr>
              <w:t xml:space="preserve">12077,70</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578,16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578,16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578,16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578,16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578,16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6230,36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6230,36</w:t>
            </w:r>
          </w:p>
        </w:tc>
        <w:tc>
          <w:tcPr>
            <w:tcW w:w="1587" w:type="dxa"/>
          </w:tcPr>
          <w:p>
            <w:pPr>
              <w:pStyle w:val="0"/>
            </w:pPr>
            <w:r>
              <w:rPr>
                <w:sz w:val="20"/>
              </w:rPr>
              <w:t xml:space="preserve">-</w:t>
            </w:r>
          </w:p>
        </w:tc>
        <w:tc>
          <w:tcPr>
            <w:tcW w:w="1587" w:type="dxa"/>
          </w:tcPr>
          <w:p>
            <w:pPr>
              <w:pStyle w:val="0"/>
            </w:pPr>
            <w:r>
              <w:rPr>
                <w:sz w:val="20"/>
              </w:rPr>
              <w:t xml:space="preserve">6230,36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6230,36</w:t>
            </w:r>
          </w:p>
        </w:tc>
        <w:tc>
          <w:tcPr>
            <w:tcW w:w="1587" w:type="dxa"/>
          </w:tcPr>
          <w:p>
            <w:pPr>
              <w:pStyle w:val="0"/>
            </w:pPr>
            <w:r>
              <w:rPr>
                <w:sz w:val="20"/>
              </w:rPr>
              <w:t xml:space="preserve">-</w:t>
            </w:r>
          </w:p>
        </w:tc>
        <w:tc>
          <w:tcPr>
            <w:tcW w:w="1587" w:type="dxa"/>
          </w:tcPr>
          <w:p>
            <w:pPr>
              <w:pStyle w:val="0"/>
            </w:pPr>
            <w:r>
              <w:rPr>
                <w:sz w:val="20"/>
              </w:rPr>
              <w:t xml:space="preserve">6230,36</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1.6</w:t>
            </w:r>
          </w:p>
        </w:tc>
        <w:tc>
          <w:tcPr>
            <w:tcW w:w="2608" w:type="dxa"/>
            <w:vMerge w:val="restart"/>
          </w:tcPr>
          <w:p>
            <w:pPr>
              <w:pStyle w:val="0"/>
            </w:pPr>
            <w:r>
              <w:rPr>
                <w:sz w:val="20"/>
              </w:rPr>
              <w:t xml:space="preserve">Инженерная инфраструктура индустриального парка "Ленинский"</w:t>
            </w:r>
          </w:p>
        </w:tc>
        <w:tc>
          <w:tcPr>
            <w:tcW w:w="2438" w:type="dxa"/>
            <w:vMerge w:val="restart"/>
          </w:tcPr>
          <w:p>
            <w:pPr>
              <w:pStyle w:val="0"/>
            </w:pPr>
            <w:r>
              <w:rPr>
                <w:sz w:val="20"/>
              </w:rPr>
              <w:t xml:space="preserve">01.01.2024-15.12.2025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2542648,19</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2542648,19</w:t>
            </w:r>
          </w:p>
        </w:tc>
        <w:tc>
          <w:tcPr>
            <w:tcW w:w="1587" w:type="dxa"/>
          </w:tcPr>
          <w:p>
            <w:pPr>
              <w:pStyle w:val="0"/>
            </w:pPr>
            <w:r>
              <w:rPr>
                <w:sz w:val="20"/>
              </w:rPr>
              <w:t xml:space="preserve">-</w:t>
            </w:r>
          </w:p>
        </w:tc>
        <w:tc>
          <w:tcPr>
            <w:tcW w:w="1587" w:type="dxa"/>
          </w:tcPr>
          <w:p>
            <w:pPr>
              <w:pStyle w:val="0"/>
            </w:pPr>
            <w:r>
              <w:rPr>
                <w:sz w:val="20"/>
              </w:rPr>
              <w:t xml:space="preserve">1710832,18</w:t>
            </w:r>
          </w:p>
        </w:tc>
        <w:tc>
          <w:tcPr>
            <w:tcW w:w="1701" w:type="dxa"/>
          </w:tcPr>
          <w:p>
            <w:pPr>
              <w:pStyle w:val="0"/>
            </w:pPr>
            <w:r>
              <w:rPr>
                <w:sz w:val="20"/>
              </w:rPr>
              <w:t xml:space="preserve">831816,01</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2542648,19</w:t>
            </w:r>
          </w:p>
        </w:tc>
        <w:tc>
          <w:tcPr>
            <w:tcW w:w="1587" w:type="dxa"/>
          </w:tcPr>
          <w:p>
            <w:pPr>
              <w:pStyle w:val="0"/>
            </w:pPr>
            <w:r>
              <w:rPr>
                <w:sz w:val="20"/>
              </w:rPr>
              <w:t xml:space="preserve">-</w:t>
            </w:r>
          </w:p>
        </w:tc>
        <w:tc>
          <w:tcPr>
            <w:tcW w:w="1587" w:type="dxa"/>
          </w:tcPr>
          <w:p>
            <w:pPr>
              <w:pStyle w:val="0"/>
            </w:pPr>
            <w:r>
              <w:rPr>
                <w:sz w:val="20"/>
              </w:rPr>
              <w:t xml:space="preserve">1710832,18</w:t>
            </w:r>
          </w:p>
        </w:tc>
        <w:tc>
          <w:tcPr>
            <w:tcW w:w="1701" w:type="dxa"/>
          </w:tcPr>
          <w:p>
            <w:pPr>
              <w:pStyle w:val="0"/>
            </w:pPr>
            <w:r>
              <w:rPr>
                <w:sz w:val="20"/>
              </w:rPr>
              <w:t xml:space="preserve">831816,01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1593154,48</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1593154,48</w:t>
            </w:r>
          </w:p>
        </w:tc>
        <w:tc>
          <w:tcPr>
            <w:tcW w:w="1587" w:type="dxa"/>
          </w:tcPr>
          <w:p>
            <w:pPr>
              <w:pStyle w:val="0"/>
            </w:pPr>
            <w:r>
              <w:rPr>
                <w:sz w:val="20"/>
              </w:rPr>
              <w:t xml:space="preserve">-</w:t>
            </w:r>
          </w:p>
        </w:tc>
        <w:tc>
          <w:tcPr>
            <w:tcW w:w="1587" w:type="dxa"/>
          </w:tcPr>
          <w:p>
            <w:pPr>
              <w:pStyle w:val="0"/>
            </w:pPr>
            <w:r>
              <w:rPr>
                <w:sz w:val="20"/>
              </w:rPr>
              <w:t xml:space="preserve">772366,47</w:t>
            </w:r>
          </w:p>
        </w:tc>
        <w:tc>
          <w:tcPr>
            <w:tcW w:w="1701" w:type="dxa"/>
          </w:tcPr>
          <w:p>
            <w:pPr>
              <w:pStyle w:val="0"/>
            </w:pPr>
            <w:r>
              <w:rPr>
                <w:sz w:val="20"/>
              </w:rPr>
              <w:t xml:space="preserve">820788,01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1593154,48</w:t>
            </w:r>
          </w:p>
        </w:tc>
        <w:tc>
          <w:tcPr>
            <w:tcW w:w="1587" w:type="dxa"/>
          </w:tcPr>
          <w:p>
            <w:pPr>
              <w:pStyle w:val="0"/>
            </w:pPr>
            <w:r>
              <w:rPr>
                <w:sz w:val="20"/>
              </w:rPr>
            </w:r>
          </w:p>
        </w:tc>
        <w:tc>
          <w:tcPr>
            <w:tcW w:w="1587" w:type="dxa"/>
          </w:tcPr>
          <w:p>
            <w:pPr>
              <w:pStyle w:val="0"/>
            </w:pPr>
            <w:r>
              <w:rPr>
                <w:sz w:val="20"/>
              </w:rPr>
              <w:t xml:space="preserve">772366,47</w:t>
            </w:r>
          </w:p>
        </w:tc>
        <w:tc>
          <w:tcPr>
            <w:tcW w:w="1701" w:type="dxa"/>
          </w:tcPr>
          <w:p>
            <w:pPr>
              <w:pStyle w:val="0"/>
            </w:pPr>
            <w:r>
              <w:rPr>
                <w:sz w:val="20"/>
              </w:rPr>
              <w:t xml:space="preserve">820788,01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88768,23</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88768,23</w:t>
            </w:r>
          </w:p>
        </w:tc>
        <w:tc>
          <w:tcPr>
            <w:tcW w:w="1587" w:type="dxa"/>
          </w:tcPr>
          <w:p>
            <w:pPr>
              <w:pStyle w:val="0"/>
            </w:pPr>
            <w:r>
              <w:rPr>
                <w:sz w:val="20"/>
              </w:rPr>
              <w:t xml:space="preserve">-</w:t>
            </w:r>
          </w:p>
        </w:tc>
        <w:tc>
          <w:tcPr>
            <w:tcW w:w="1587" w:type="dxa"/>
          </w:tcPr>
          <w:p>
            <w:pPr>
              <w:pStyle w:val="0"/>
            </w:pPr>
            <w:r>
              <w:rPr>
                <w:sz w:val="20"/>
              </w:rPr>
              <w:t xml:space="preserve">88768,23</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88768,23</w:t>
            </w:r>
          </w:p>
        </w:tc>
        <w:tc>
          <w:tcPr>
            <w:tcW w:w="1587" w:type="dxa"/>
          </w:tcPr>
          <w:p>
            <w:pPr>
              <w:pStyle w:val="0"/>
            </w:pPr>
            <w:r>
              <w:rPr>
                <w:sz w:val="20"/>
              </w:rPr>
              <w:t xml:space="preserve">-</w:t>
            </w:r>
          </w:p>
        </w:tc>
        <w:tc>
          <w:tcPr>
            <w:tcW w:w="1587" w:type="dxa"/>
          </w:tcPr>
          <w:p>
            <w:pPr>
              <w:pStyle w:val="0"/>
            </w:pPr>
            <w:r>
              <w:rPr>
                <w:sz w:val="20"/>
              </w:rPr>
              <w:t xml:space="preserve">88768,23</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23887,00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23887,00</w:t>
            </w:r>
          </w:p>
        </w:tc>
        <w:tc>
          <w:tcPr>
            <w:tcW w:w="1587" w:type="dxa"/>
          </w:tcPr>
          <w:p>
            <w:pPr>
              <w:pStyle w:val="0"/>
            </w:pPr>
            <w:r>
              <w:rPr>
                <w:sz w:val="20"/>
              </w:rPr>
              <w:t xml:space="preserve">-</w:t>
            </w:r>
          </w:p>
        </w:tc>
        <w:tc>
          <w:tcPr>
            <w:tcW w:w="1587" w:type="dxa"/>
          </w:tcPr>
          <w:p>
            <w:pPr>
              <w:pStyle w:val="0"/>
            </w:pPr>
            <w:r>
              <w:rPr>
                <w:sz w:val="20"/>
              </w:rPr>
              <w:t xml:space="preserve">12859,00</w:t>
            </w:r>
          </w:p>
        </w:tc>
        <w:tc>
          <w:tcPr>
            <w:tcW w:w="1701" w:type="dxa"/>
          </w:tcPr>
          <w:p>
            <w:pPr>
              <w:pStyle w:val="0"/>
            </w:pPr>
            <w:r>
              <w:rPr>
                <w:sz w:val="20"/>
              </w:rPr>
              <w:t xml:space="preserve">11028,00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23887,00</w:t>
            </w:r>
          </w:p>
        </w:tc>
        <w:tc>
          <w:tcPr>
            <w:tcW w:w="1587" w:type="dxa"/>
          </w:tcPr>
          <w:p>
            <w:pPr>
              <w:pStyle w:val="0"/>
            </w:pPr>
            <w:r>
              <w:rPr>
                <w:sz w:val="20"/>
              </w:rPr>
            </w:r>
          </w:p>
        </w:tc>
        <w:tc>
          <w:tcPr>
            <w:tcW w:w="1587" w:type="dxa"/>
          </w:tcPr>
          <w:p>
            <w:pPr>
              <w:pStyle w:val="0"/>
            </w:pPr>
            <w:r>
              <w:rPr>
                <w:sz w:val="20"/>
              </w:rPr>
              <w:t xml:space="preserve">12859,00</w:t>
            </w:r>
          </w:p>
        </w:tc>
        <w:tc>
          <w:tcPr>
            <w:tcW w:w="1701" w:type="dxa"/>
          </w:tcPr>
          <w:p>
            <w:pPr>
              <w:pStyle w:val="0"/>
            </w:pPr>
            <w:r>
              <w:rPr>
                <w:sz w:val="20"/>
              </w:rPr>
              <w:t xml:space="preserve">11028,00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836838,48</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836838,48</w:t>
            </w:r>
          </w:p>
        </w:tc>
        <w:tc>
          <w:tcPr>
            <w:tcW w:w="1587" w:type="dxa"/>
          </w:tcPr>
          <w:p>
            <w:pPr>
              <w:pStyle w:val="0"/>
            </w:pPr>
            <w:r>
              <w:rPr>
                <w:sz w:val="20"/>
              </w:rPr>
              <w:t xml:space="preserve">-</w:t>
            </w:r>
          </w:p>
        </w:tc>
        <w:tc>
          <w:tcPr>
            <w:tcW w:w="1587" w:type="dxa"/>
          </w:tcPr>
          <w:p>
            <w:pPr>
              <w:pStyle w:val="0"/>
            </w:pPr>
            <w:r>
              <w:rPr>
                <w:sz w:val="20"/>
              </w:rPr>
              <w:t xml:space="preserve">836838,48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836838,48</w:t>
            </w:r>
          </w:p>
        </w:tc>
        <w:tc>
          <w:tcPr>
            <w:tcW w:w="1587" w:type="dxa"/>
          </w:tcPr>
          <w:p>
            <w:pPr>
              <w:pStyle w:val="0"/>
            </w:pPr>
            <w:r>
              <w:rPr>
                <w:sz w:val="20"/>
              </w:rPr>
              <w:t xml:space="preserve">-</w:t>
            </w:r>
          </w:p>
        </w:tc>
        <w:tc>
          <w:tcPr>
            <w:tcW w:w="1587" w:type="dxa"/>
          </w:tcPr>
          <w:p>
            <w:pPr>
              <w:pStyle w:val="0"/>
            </w:pPr>
            <w:r>
              <w:rPr>
                <w:sz w:val="20"/>
              </w:rPr>
              <w:t xml:space="preserve">836838,48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1.7</w:t>
            </w:r>
          </w:p>
        </w:tc>
        <w:tc>
          <w:tcPr>
            <w:tcW w:w="2608" w:type="dxa"/>
            <w:vMerge w:val="restart"/>
          </w:tcPr>
          <w:p>
            <w:pPr>
              <w:pStyle w:val="0"/>
            </w:pPr>
            <w:r>
              <w:rPr>
                <w:sz w:val="20"/>
              </w:rPr>
              <w:t xml:space="preserve">Транспортная инфраструктура индустриального парка "Ленинский"</w:t>
            </w:r>
          </w:p>
        </w:tc>
        <w:tc>
          <w:tcPr>
            <w:tcW w:w="2438" w:type="dxa"/>
            <w:vMerge w:val="restart"/>
          </w:tcPr>
          <w:p>
            <w:pPr>
              <w:pStyle w:val="0"/>
            </w:pPr>
            <w:r>
              <w:rPr>
                <w:sz w:val="20"/>
              </w:rPr>
              <w:t xml:space="preserve">01.01.2024-15.12.2025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1337948,73</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1337948,73</w:t>
            </w:r>
          </w:p>
        </w:tc>
        <w:tc>
          <w:tcPr>
            <w:tcW w:w="1587" w:type="dxa"/>
          </w:tcPr>
          <w:p>
            <w:pPr>
              <w:pStyle w:val="0"/>
            </w:pPr>
            <w:r>
              <w:rPr>
                <w:sz w:val="20"/>
              </w:rPr>
              <w:t xml:space="preserve">-</w:t>
            </w:r>
          </w:p>
        </w:tc>
        <w:tc>
          <w:tcPr>
            <w:tcW w:w="1587" w:type="dxa"/>
          </w:tcPr>
          <w:p>
            <w:pPr>
              <w:pStyle w:val="0"/>
            </w:pPr>
            <w:r>
              <w:rPr>
                <w:sz w:val="20"/>
              </w:rPr>
              <w:t xml:space="preserve">652883,87</w:t>
            </w:r>
          </w:p>
        </w:tc>
        <w:tc>
          <w:tcPr>
            <w:tcW w:w="1701" w:type="dxa"/>
          </w:tcPr>
          <w:p>
            <w:pPr>
              <w:pStyle w:val="0"/>
            </w:pPr>
            <w:r>
              <w:rPr>
                <w:sz w:val="20"/>
              </w:rPr>
              <w:t xml:space="preserve">685064,86</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1337948,73</w:t>
            </w:r>
          </w:p>
        </w:tc>
        <w:tc>
          <w:tcPr>
            <w:tcW w:w="1587" w:type="dxa"/>
          </w:tcPr>
          <w:p>
            <w:pPr>
              <w:pStyle w:val="0"/>
            </w:pPr>
            <w:r>
              <w:rPr>
                <w:sz w:val="20"/>
              </w:rPr>
              <w:t xml:space="preserve">-</w:t>
            </w:r>
          </w:p>
        </w:tc>
        <w:tc>
          <w:tcPr>
            <w:tcW w:w="1587" w:type="dxa"/>
          </w:tcPr>
          <w:p>
            <w:pPr>
              <w:pStyle w:val="0"/>
            </w:pPr>
            <w:r>
              <w:rPr>
                <w:sz w:val="20"/>
              </w:rPr>
              <w:t xml:space="preserve">652883,87</w:t>
            </w:r>
          </w:p>
        </w:tc>
        <w:tc>
          <w:tcPr>
            <w:tcW w:w="1701" w:type="dxa"/>
          </w:tcPr>
          <w:p>
            <w:pPr>
              <w:pStyle w:val="0"/>
            </w:pPr>
            <w:r>
              <w:rPr>
                <w:sz w:val="20"/>
              </w:rPr>
              <w:t xml:space="preserve">685064,86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1237697,71</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1237697,71</w:t>
            </w:r>
          </w:p>
        </w:tc>
        <w:tc>
          <w:tcPr>
            <w:tcW w:w="1587" w:type="dxa"/>
          </w:tcPr>
          <w:p>
            <w:pPr>
              <w:pStyle w:val="0"/>
            </w:pPr>
            <w:r>
              <w:rPr>
                <w:sz w:val="20"/>
              </w:rPr>
              <w:t xml:space="preserve">-</w:t>
            </w:r>
          </w:p>
        </w:tc>
        <w:tc>
          <w:tcPr>
            <w:tcW w:w="1587" w:type="dxa"/>
          </w:tcPr>
          <w:p>
            <w:pPr>
              <w:pStyle w:val="0"/>
            </w:pPr>
            <w:r>
              <w:rPr>
                <w:sz w:val="20"/>
              </w:rPr>
              <w:t xml:space="preserve">574319,25</w:t>
            </w:r>
          </w:p>
        </w:tc>
        <w:tc>
          <w:tcPr>
            <w:tcW w:w="1701" w:type="dxa"/>
          </w:tcPr>
          <w:p>
            <w:pPr>
              <w:pStyle w:val="0"/>
            </w:pPr>
            <w:r>
              <w:rPr>
                <w:sz w:val="20"/>
              </w:rPr>
              <w:t xml:space="preserve">663378,46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1237697,71</w:t>
            </w:r>
          </w:p>
        </w:tc>
        <w:tc>
          <w:tcPr>
            <w:tcW w:w="1587" w:type="dxa"/>
          </w:tcPr>
          <w:p>
            <w:pPr>
              <w:pStyle w:val="0"/>
            </w:pPr>
            <w:r>
              <w:rPr>
                <w:sz w:val="20"/>
              </w:rPr>
              <w:t xml:space="preserve">-</w:t>
            </w:r>
          </w:p>
        </w:tc>
        <w:tc>
          <w:tcPr>
            <w:tcW w:w="1587" w:type="dxa"/>
          </w:tcPr>
          <w:p>
            <w:pPr>
              <w:pStyle w:val="0"/>
            </w:pPr>
            <w:r>
              <w:rPr>
                <w:sz w:val="20"/>
              </w:rPr>
              <w:t xml:space="preserve">574319,25</w:t>
            </w:r>
          </w:p>
        </w:tc>
        <w:tc>
          <w:tcPr>
            <w:tcW w:w="1701" w:type="dxa"/>
          </w:tcPr>
          <w:p>
            <w:pPr>
              <w:pStyle w:val="0"/>
            </w:pPr>
            <w:r>
              <w:rPr>
                <w:sz w:val="20"/>
              </w:rPr>
              <w:t xml:space="preserve">663378,46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73801,62</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73801,62</w:t>
            </w:r>
          </w:p>
        </w:tc>
        <w:tc>
          <w:tcPr>
            <w:tcW w:w="1587" w:type="dxa"/>
          </w:tcPr>
          <w:p>
            <w:pPr>
              <w:pStyle w:val="0"/>
            </w:pPr>
            <w:r>
              <w:rPr>
                <w:sz w:val="20"/>
              </w:rPr>
              <w:t xml:space="preserve">-</w:t>
            </w:r>
          </w:p>
        </w:tc>
        <w:tc>
          <w:tcPr>
            <w:tcW w:w="1587" w:type="dxa"/>
          </w:tcPr>
          <w:p>
            <w:pPr>
              <w:pStyle w:val="0"/>
            </w:pPr>
            <w:r>
              <w:rPr>
                <w:sz w:val="20"/>
              </w:rPr>
              <w:t xml:space="preserve">73801,62</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73801,62</w:t>
            </w:r>
          </w:p>
        </w:tc>
        <w:tc>
          <w:tcPr>
            <w:tcW w:w="1587" w:type="dxa"/>
          </w:tcPr>
          <w:p>
            <w:pPr>
              <w:pStyle w:val="0"/>
            </w:pPr>
            <w:r>
              <w:rPr>
                <w:sz w:val="20"/>
              </w:rPr>
              <w:t xml:space="preserve">-</w:t>
            </w:r>
          </w:p>
        </w:tc>
        <w:tc>
          <w:tcPr>
            <w:tcW w:w="1587" w:type="dxa"/>
          </w:tcPr>
          <w:p>
            <w:pPr>
              <w:pStyle w:val="0"/>
            </w:pPr>
            <w:r>
              <w:rPr>
                <w:sz w:val="20"/>
              </w:rPr>
              <w:t xml:space="preserve">73801,62</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26449,40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26449,40</w:t>
            </w:r>
          </w:p>
        </w:tc>
        <w:tc>
          <w:tcPr>
            <w:tcW w:w="1587" w:type="dxa"/>
          </w:tcPr>
          <w:p>
            <w:pPr>
              <w:pStyle w:val="0"/>
            </w:pPr>
            <w:r>
              <w:rPr>
                <w:sz w:val="20"/>
              </w:rPr>
              <w:t xml:space="preserve">-</w:t>
            </w:r>
          </w:p>
        </w:tc>
        <w:tc>
          <w:tcPr>
            <w:tcW w:w="1587" w:type="dxa"/>
          </w:tcPr>
          <w:p>
            <w:pPr>
              <w:pStyle w:val="0"/>
            </w:pPr>
            <w:r>
              <w:rPr>
                <w:sz w:val="20"/>
              </w:rPr>
              <w:t xml:space="preserve">4763,00</w:t>
            </w:r>
          </w:p>
        </w:tc>
        <w:tc>
          <w:tcPr>
            <w:tcW w:w="1701" w:type="dxa"/>
          </w:tcPr>
          <w:p>
            <w:pPr>
              <w:pStyle w:val="0"/>
            </w:pPr>
            <w:r>
              <w:rPr>
                <w:sz w:val="20"/>
              </w:rPr>
              <w:t xml:space="preserve">21686,40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26449,40</w:t>
            </w:r>
          </w:p>
        </w:tc>
        <w:tc>
          <w:tcPr>
            <w:tcW w:w="1587" w:type="dxa"/>
          </w:tcPr>
          <w:p>
            <w:pPr>
              <w:pStyle w:val="0"/>
            </w:pPr>
            <w:r>
              <w:rPr>
                <w:sz w:val="20"/>
              </w:rPr>
              <w:t xml:space="preserve">-</w:t>
            </w:r>
          </w:p>
        </w:tc>
        <w:tc>
          <w:tcPr>
            <w:tcW w:w="1587" w:type="dxa"/>
          </w:tcPr>
          <w:p>
            <w:pPr>
              <w:pStyle w:val="0"/>
            </w:pPr>
            <w:r>
              <w:rPr>
                <w:sz w:val="20"/>
              </w:rPr>
              <w:t xml:space="preserve">4763,00</w:t>
            </w:r>
          </w:p>
        </w:tc>
        <w:tc>
          <w:tcPr>
            <w:tcW w:w="1701" w:type="dxa"/>
          </w:tcPr>
          <w:p>
            <w:pPr>
              <w:pStyle w:val="0"/>
            </w:pPr>
            <w:r>
              <w:rPr>
                <w:sz w:val="20"/>
              </w:rPr>
              <w:t xml:space="preserve">21686,40</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1.8</w:t>
            </w:r>
          </w:p>
        </w:tc>
        <w:tc>
          <w:tcPr>
            <w:tcW w:w="2608" w:type="dxa"/>
            <w:vMerge w:val="restart"/>
          </w:tcPr>
          <w:p>
            <w:pPr>
              <w:pStyle w:val="0"/>
            </w:pPr>
            <w:r>
              <w:rPr>
                <w:sz w:val="20"/>
              </w:rPr>
              <w:t xml:space="preserve">Строительство производственного корпуса на территории индустриального парка "Ленинский"</w:t>
            </w:r>
          </w:p>
        </w:tc>
        <w:tc>
          <w:tcPr>
            <w:tcW w:w="2438" w:type="dxa"/>
            <w:vMerge w:val="restart"/>
          </w:tcPr>
          <w:p>
            <w:pPr>
              <w:pStyle w:val="0"/>
            </w:pPr>
            <w:r>
              <w:rPr>
                <w:sz w:val="20"/>
              </w:rPr>
              <w:t xml:space="preserve">01.01.2024-15.12.2026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4453688,13</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4453688,13</w:t>
            </w:r>
          </w:p>
        </w:tc>
        <w:tc>
          <w:tcPr>
            <w:tcW w:w="1587" w:type="dxa"/>
          </w:tcPr>
          <w:p>
            <w:pPr>
              <w:pStyle w:val="0"/>
            </w:pPr>
            <w:r>
              <w:rPr>
                <w:sz w:val="20"/>
              </w:rPr>
              <w:t xml:space="preserve">-</w:t>
            </w:r>
          </w:p>
        </w:tc>
        <w:tc>
          <w:tcPr>
            <w:tcW w:w="1587" w:type="dxa"/>
          </w:tcPr>
          <w:p>
            <w:pPr>
              <w:pStyle w:val="0"/>
            </w:pPr>
            <w:r>
              <w:rPr>
                <w:sz w:val="20"/>
              </w:rPr>
              <w:t xml:space="preserve">1497125,57</w:t>
            </w:r>
          </w:p>
        </w:tc>
        <w:tc>
          <w:tcPr>
            <w:tcW w:w="1701" w:type="dxa"/>
          </w:tcPr>
          <w:p>
            <w:pPr>
              <w:pStyle w:val="0"/>
            </w:pPr>
            <w:r>
              <w:rPr>
                <w:sz w:val="20"/>
              </w:rPr>
              <w:t xml:space="preserve">2067548,10</w:t>
            </w:r>
          </w:p>
        </w:tc>
        <w:tc>
          <w:tcPr>
            <w:tcW w:w="1587" w:type="dxa"/>
          </w:tcPr>
          <w:p>
            <w:pPr>
              <w:pStyle w:val="0"/>
            </w:pPr>
            <w:r>
              <w:rPr>
                <w:sz w:val="20"/>
              </w:rPr>
              <w:t xml:space="preserve">889014,46</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4453688,13</w:t>
            </w:r>
          </w:p>
        </w:tc>
        <w:tc>
          <w:tcPr>
            <w:tcW w:w="1587" w:type="dxa"/>
          </w:tcPr>
          <w:p>
            <w:pPr>
              <w:pStyle w:val="0"/>
            </w:pPr>
            <w:r>
              <w:rPr>
                <w:sz w:val="20"/>
              </w:rPr>
              <w:t xml:space="preserve">-</w:t>
            </w:r>
          </w:p>
        </w:tc>
        <w:tc>
          <w:tcPr>
            <w:tcW w:w="1587" w:type="dxa"/>
          </w:tcPr>
          <w:p>
            <w:pPr>
              <w:pStyle w:val="0"/>
            </w:pPr>
            <w:r>
              <w:rPr>
                <w:sz w:val="20"/>
              </w:rPr>
              <w:t xml:space="preserve">1497125,57</w:t>
            </w:r>
          </w:p>
        </w:tc>
        <w:tc>
          <w:tcPr>
            <w:tcW w:w="1701" w:type="dxa"/>
          </w:tcPr>
          <w:p>
            <w:pPr>
              <w:pStyle w:val="0"/>
            </w:pPr>
            <w:r>
              <w:rPr>
                <w:sz w:val="20"/>
              </w:rPr>
              <w:t xml:space="preserve">2067548,10</w:t>
            </w:r>
          </w:p>
        </w:tc>
        <w:tc>
          <w:tcPr>
            <w:tcW w:w="1587" w:type="dxa"/>
          </w:tcPr>
          <w:p>
            <w:pPr>
              <w:pStyle w:val="0"/>
            </w:pPr>
            <w:r>
              <w:rPr>
                <w:sz w:val="20"/>
              </w:rPr>
              <w:t xml:space="preserve">889014,46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4281579,02</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4281579,02</w:t>
            </w:r>
          </w:p>
        </w:tc>
        <w:tc>
          <w:tcPr>
            <w:tcW w:w="1587" w:type="dxa"/>
          </w:tcPr>
          <w:p>
            <w:pPr>
              <w:pStyle w:val="0"/>
            </w:pPr>
            <w:r>
              <w:rPr>
                <w:sz w:val="20"/>
              </w:rPr>
              <w:t xml:space="preserve">-</w:t>
            </w:r>
          </w:p>
        </w:tc>
        <w:tc>
          <w:tcPr>
            <w:tcW w:w="1587" w:type="dxa"/>
          </w:tcPr>
          <w:p>
            <w:pPr>
              <w:pStyle w:val="0"/>
            </w:pPr>
            <w:r>
              <w:rPr>
                <w:sz w:val="20"/>
              </w:rPr>
              <w:t xml:space="preserve">1382111,89</w:t>
            </w:r>
          </w:p>
        </w:tc>
        <w:tc>
          <w:tcPr>
            <w:tcW w:w="1701" w:type="dxa"/>
          </w:tcPr>
          <w:p>
            <w:pPr>
              <w:pStyle w:val="0"/>
            </w:pPr>
            <w:r>
              <w:rPr>
                <w:sz w:val="20"/>
              </w:rPr>
              <w:t xml:space="preserve">2024539,01</w:t>
            </w:r>
          </w:p>
        </w:tc>
        <w:tc>
          <w:tcPr>
            <w:tcW w:w="1587" w:type="dxa"/>
          </w:tcPr>
          <w:p>
            <w:pPr>
              <w:pStyle w:val="0"/>
            </w:pPr>
            <w:r>
              <w:rPr>
                <w:sz w:val="20"/>
              </w:rPr>
              <w:t xml:space="preserve">874928,12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4281579,02</w:t>
            </w:r>
          </w:p>
        </w:tc>
        <w:tc>
          <w:tcPr>
            <w:tcW w:w="1587" w:type="dxa"/>
          </w:tcPr>
          <w:p>
            <w:pPr>
              <w:pStyle w:val="0"/>
            </w:pPr>
            <w:r>
              <w:rPr>
                <w:sz w:val="20"/>
              </w:rPr>
              <w:t xml:space="preserve">-</w:t>
            </w:r>
          </w:p>
        </w:tc>
        <w:tc>
          <w:tcPr>
            <w:tcW w:w="1587" w:type="dxa"/>
          </w:tcPr>
          <w:p>
            <w:pPr>
              <w:pStyle w:val="0"/>
            </w:pPr>
            <w:r>
              <w:rPr>
                <w:sz w:val="20"/>
              </w:rPr>
              <w:t xml:space="preserve">1382111,89</w:t>
            </w:r>
          </w:p>
        </w:tc>
        <w:tc>
          <w:tcPr>
            <w:tcW w:w="1701" w:type="dxa"/>
          </w:tcPr>
          <w:p>
            <w:pPr>
              <w:pStyle w:val="0"/>
            </w:pPr>
            <w:r>
              <w:rPr>
                <w:sz w:val="20"/>
              </w:rPr>
              <w:t xml:space="preserve">2024539,01</w:t>
            </w:r>
          </w:p>
        </w:tc>
        <w:tc>
          <w:tcPr>
            <w:tcW w:w="1587" w:type="dxa"/>
          </w:tcPr>
          <w:p>
            <w:pPr>
              <w:pStyle w:val="0"/>
            </w:pPr>
            <w:r>
              <w:rPr>
                <w:sz w:val="20"/>
              </w:rPr>
              <w:t xml:space="preserve">874928,12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106929,68</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106929,68</w:t>
            </w:r>
          </w:p>
        </w:tc>
        <w:tc>
          <w:tcPr>
            <w:tcW w:w="1587" w:type="dxa"/>
          </w:tcPr>
          <w:p>
            <w:pPr>
              <w:pStyle w:val="0"/>
            </w:pPr>
            <w:r>
              <w:rPr>
                <w:sz w:val="20"/>
              </w:rPr>
              <w:t xml:space="preserve">-</w:t>
            </w:r>
          </w:p>
        </w:tc>
        <w:tc>
          <w:tcPr>
            <w:tcW w:w="1587" w:type="dxa"/>
          </w:tcPr>
          <w:p>
            <w:pPr>
              <w:pStyle w:val="0"/>
            </w:pPr>
            <w:r>
              <w:rPr>
                <w:sz w:val="20"/>
              </w:rPr>
              <w:t xml:space="preserve">106929,68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106929,68</w:t>
            </w:r>
          </w:p>
        </w:tc>
        <w:tc>
          <w:tcPr>
            <w:tcW w:w="1587" w:type="dxa"/>
          </w:tcPr>
          <w:p>
            <w:pPr>
              <w:pStyle w:val="0"/>
            </w:pPr>
            <w:r>
              <w:rPr>
                <w:sz w:val="20"/>
              </w:rPr>
              <w:t xml:space="preserve">-</w:t>
            </w:r>
          </w:p>
        </w:tc>
        <w:tc>
          <w:tcPr>
            <w:tcW w:w="1587" w:type="dxa"/>
          </w:tcPr>
          <w:p>
            <w:pPr>
              <w:pStyle w:val="0"/>
            </w:pPr>
            <w:r>
              <w:rPr>
                <w:sz w:val="20"/>
              </w:rPr>
              <w:t xml:space="preserve">106929,68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65179,43</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65179,43</w:t>
            </w:r>
          </w:p>
        </w:tc>
        <w:tc>
          <w:tcPr>
            <w:tcW w:w="1587" w:type="dxa"/>
          </w:tcPr>
          <w:p>
            <w:pPr>
              <w:pStyle w:val="0"/>
            </w:pPr>
            <w:r>
              <w:rPr>
                <w:sz w:val="20"/>
              </w:rPr>
              <w:t xml:space="preserve">-</w:t>
            </w:r>
          </w:p>
        </w:tc>
        <w:tc>
          <w:tcPr>
            <w:tcW w:w="1587" w:type="dxa"/>
          </w:tcPr>
          <w:p>
            <w:pPr>
              <w:pStyle w:val="0"/>
            </w:pPr>
            <w:r>
              <w:rPr>
                <w:sz w:val="20"/>
              </w:rPr>
              <w:t xml:space="preserve">8084,00</w:t>
            </w:r>
          </w:p>
        </w:tc>
        <w:tc>
          <w:tcPr>
            <w:tcW w:w="1701" w:type="dxa"/>
          </w:tcPr>
          <w:p>
            <w:pPr>
              <w:pStyle w:val="0"/>
            </w:pPr>
            <w:r>
              <w:rPr>
                <w:sz w:val="20"/>
              </w:rPr>
              <w:t xml:space="preserve">43009,09</w:t>
            </w:r>
          </w:p>
        </w:tc>
        <w:tc>
          <w:tcPr>
            <w:tcW w:w="1587" w:type="dxa"/>
          </w:tcPr>
          <w:p>
            <w:pPr>
              <w:pStyle w:val="0"/>
            </w:pPr>
            <w:r>
              <w:rPr>
                <w:sz w:val="20"/>
              </w:rPr>
              <w:t xml:space="preserve">14086,34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65179,43</w:t>
            </w:r>
          </w:p>
        </w:tc>
        <w:tc>
          <w:tcPr>
            <w:tcW w:w="1587" w:type="dxa"/>
          </w:tcPr>
          <w:p>
            <w:pPr>
              <w:pStyle w:val="0"/>
            </w:pPr>
            <w:r>
              <w:rPr>
                <w:sz w:val="20"/>
              </w:rPr>
              <w:t xml:space="preserve">-</w:t>
            </w:r>
          </w:p>
        </w:tc>
        <w:tc>
          <w:tcPr>
            <w:tcW w:w="1587" w:type="dxa"/>
          </w:tcPr>
          <w:p>
            <w:pPr>
              <w:pStyle w:val="0"/>
            </w:pPr>
            <w:r>
              <w:rPr>
                <w:sz w:val="20"/>
              </w:rPr>
              <w:t xml:space="preserve">8084,00</w:t>
            </w:r>
          </w:p>
        </w:tc>
        <w:tc>
          <w:tcPr>
            <w:tcW w:w="1701" w:type="dxa"/>
          </w:tcPr>
          <w:p>
            <w:pPr>
              <w:pStyle w:val="0"/>
            </w:pPr>
            <w:r>
              <w:rPr>
                <w:sz w:val="20"/>
              </w:rPr>
              <w:t xml:space="preserve">43009,09</w:t>
            </w:r>
          </w:p>
        </w:tc>
        <w:tc>
          <w:tcPr>
            <w:tcW w:w="1587" w:type="dxa"/>
          </w:tcPr>
          <w:p>
            <w:pPr>
              <w:pStyle w:val="0"/>
            </w:pPr>
            <w:r>
              <w:rPr>
                <w:sz w:val="20"/>
              </w:rPr>
              <w:t xml:space="preserve">14086,34</w:t>
            </w:r>
          </w:p>
        </w:tc>
        <w:tc>
          <w:tcPr>
            <w:vMerge w:val="continue"/>
          </w:tcPr>
          <w:p/>
        </w:tc>
        <w:tc>
          <w:tcPr>
            <w:vMerge w:val="continue"/>
          </w:tcPr>
          <w:p/>
        </w:tc>
      </w:tr>
      <w:tr>
        <w:tc>
          <w:tcPr>
            <w:tcW w:w="907" w:type="dxa"/>
            <w:vMerge w:val="restart"/>
          </w:tcPr>
          <w:p>
            <w:pPr>
              <w:pStyle w:val="0"/>
            </w:pPr>
            <w:r>
              <w:rPr>
                <w:sz w:val="20"/>
              </w:rPr>
              <w:t xml:space="preserve">1.9</w:t>
            </w:r>
          </w:p>
        </w:tc>
        <w:tc>
          <w:tcPr>
            <w:tcW w:w="2608" w:type="dxa"/>
            <w:vMerge w:val="restart"/>
          </w:tcPr>
          <w:p>
            <w:pPr>
              <w:pStyle w:val="0"/>
            </w:pPr>
            <w:r>
              <w:rPr>
                <w:sz w:val="20"/>
              </w:rPr>
              <w:t xml:space="preserve">Строительство водозаборного узла и объектов водоотведения индустриального парка "Ленинский"</w:t>
            </w:r>
          </w:p>
        </w:tc>
        <w:tc>
          <w:tcPr>
            <w:tcW w:w="2438" w:type="dxa"/>
            <w:vMerge w:val="restart"/>
          </w:tcPr>
          <w:p>
            <w:pPr>
              <w:pStyle w:val="0"/>
            </w:pPr>
            <w:r>
              <w:rPr>
                <w:sz w:val="20"/>
              </w:rPr>
              <w:t xml:space="preserve">01.01.2025-15.12.2025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1000000,00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1000000,00</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925181,00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925181,00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925181,00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925181,00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925181,00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52770,00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52770,00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52770,00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52770,00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52770,00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22049,00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22049,00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22049,00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22049,00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22049,00</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1.10</w:t>
            </w:r>
          </w:p>
        </w:tc>
        <w:tc>
          <w:tcPr>
            <w:tcW w:w="2608" w:type="dxa"/>
            <w:vMerge w:val="restart"/>
          </w:tcPr>
          <w:p>
            <w:pPr>
              <w:pStyle w:val="0"/>
            </w:pPr>
            <w:r>
              <w:rPr>
                <w:sz w:val="20"/>
              </w:rPr>
              <w:t xml:space="preserve">Строительство сетей электроснабжения со строительством распределительных подстанций индустриального парка "Ленинский"</w:t>
            </w:r>
          </w:p>
        </w:tc>
        <w:tc>
          <w:tcPr>
            <w:tcW w:w="2438" w:type="dxa"/>
            <w:vMerge w:val="restart"/>
          </w:tcPr>
          <w:p>
            <w:pPr>
              <w:pStyle w:val="0"/>
            </w:pPr>
            <w:r>
              <w:rPr>
                <w:sz w:val="20"/>
              </w:rPr>
              <w:t xml:space="preserve">01.01.2025-15.12.2025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1200000,00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1200000,00</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1200000,00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1165545,98</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1165545,98</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1165545,98</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1165545,98</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1165545,98</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12000,00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12000,00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12000,00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20454,02</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20454,02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20454,02</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20454,02</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20454,02</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2000,00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2000,00</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1.11</w:t>
            </w:r>
          </w:p>
        </w:tc>
        <w:tc>
          <w:tcPr>
            <w:tcW w:w="2608" w:type="dxa"/>
            <w:vMerge w:val="restart"/>
          </w:tcPr>
          <w:p>
            <w:pPr>
              <w:pStyle w:val="0"/>
            </w:pPr>
            <w:r>
              <w:rPr>
                <w:sz w:val="20"/>
              </w:rPr>
              <w:t xml:space="preserve">Инженерная инфраструктура индустриального парка "Раменский"</w:t>
            </w:r>
          </w:p>
        </w:tc>
        <w:tc>
          <w:tcPr>
            <w:tcW w:w="2438" w:type="dxa"/>
            <w:vMerge w:val="restart"/>
          </w:tcPr>
          <w:p>
            <w:pPr>
              <w:pStyle w:val="0"/>
            </w:pPr>
            <w:r>
              <w:rPr>
                <w:sz w:val="20"/>
              </w:rPr>
              <w:t xml:space="preserve">01.01.2024-15.12.2025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1309552,95</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1309552,95</w:t>
            </w:r>
          </w:p>
        </w:tc>
        <w:tc>
          <w:tcPr>
            <w:tcW w:w="1587" w:type="dxa"/>
          </w:tcPr>
          <w:p>
            <w:pPr>
              <w:pStyle w:val="0"/>
            </w:pPr>
            <w:r>
              <w:rPr>
                <w:sz w:val="20"/>
              </w:rPr>
              <w:t xml:space="preserve">-</w:t>
            </w:r>
          </w:p>
        </w:tc>
        <w:tc>
          <w:tcPr>
            <w:tcW w:w="1587" w:type="dxa"/>
          </w:tcPr>
          <w:p>
            <w:pPr>
              <w:pStyle w:val="0"/>
            </w:pPr>
            <w:r>
              <w:rPr>
                <w:sz w:val="20"/>
              </w:rPr>
              <w:t xml:space="preserve">622240,64</w:t>
            </w:r>
          </w:p>
        </w:tc>
        <w:tc>
          <w:tcPr>
            <w:tcW w:w="1701" w:type="dxa"/>
          </w:tcPr>
          <w:p>
            <w:pPr>
              <w:pStyle w:val="0"/>
            </w:pPr>
            <w:r>
              <w:rPr>
                <w:sz w:val="20"/>
              </w:rPr>
              <w:t xml:space="preserve">687312,31</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1309552,95</w:t>
            </w:r>
          </w:p>
        </w:tc>
        <w:tc>
          <w:tcPr>
            <w:tcW w:w="1587" w:type="dxa"/>
          </w:tcPr>
          <w:p>
            <w:pPr>
              <w:pStyle w:val="0"/>
            </w:pPr>
            <w:r>
              <w:rPr>
                <w:sz w:val="20"/>
              </w:rPr>
              <w:t xml:space="preserve">-</w:t>
            </w:r>
          </w:p>
        </w:tc>
        <w:tc>
          <w:tcPr>
            <w:tcW w:w="1587" w:type="dxa"/>
          </w:tcPr>
          <w:p>
            <w:pPr>
              <w:pStyle w:val="0"/>
            </w:pPr>
            <w:r>
              <w:rPr>
                <w:sz w:val="20"/>
              </w:rPr>
              <w:t xml:space="preserve">622240,64</w:t>
            </w:r>
          </w:p>
        </w:tc>
        <w:tc>
          <w:tcPr>
            <w:tcW w:w="1701" w:type="dxa"/>
          </w:tcPr>
          <w:p>
            <w:pPr>
              <w:pStyle w:val="0"/>
            </w:pPr>
            <w:r>
              <w:rPr>
                <w:sz w:val="20"/>
              </w:rPr>
              <w:t xml:space="preserve">687312,31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1093702,16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1093702,16</w:t>
            </w:r>
          </w:p>
        </w:tc>
        <w:tc>
          <w:tcPr>
            <w:tcW w:w="1587" w:type="dxa"/>
          </w:tcPr>
          <w:p>
            <w:pPr>
              <w:pStyle w:val="0"/>
            </w:pPr>
            <w:r>
              <w:rPr>
                <w:sz w:val="20"/>
              </w:rPr>
              <w:t xml:space="preserve">-</w:t>
            </w:r>
          </w:p>
        </w:tc>
        <w:tc>
          <w:tcPr>
            <w:tcW w:w="1587" w:type="dxa"/>
          </w:tcPr>
          <w:p>
            <w:pPr>
              <w:pStyle w:val="0"/>
            </w:pPr>
            <w:r>
              <w:rPr>
                <w:sz w:val="20"/>
              </w:rPr>
              <w:t xml:space="preserve">483053,16</w:t>
            </w:r>
          </w:p>
        </w:tc>
        <w:tc>
          <w:tcPr>
            <w:tcW w:w="1701" w:type="dxa"/>
          </w:tcPr>
          <w:p>
            <w:pPr>
              <w:pStyle w:val="0"/>
            </w:pPr>
            <w:r>
              <w:rPr>
                <w:sz w:val="20"/>
              </w:rPr>
              <w:t xml:space="preserve">610649,00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1093702,16</w:t>
            </w:r>
          </w:p>
        </w:tc>
        <w:tc>
          <w:tcPr>
            <w:tcW w:w="1587" w:type="dxa"/>
          </w:tcPr>
          <w:p>
            <w:pPr>
              <w:pStyle w:val="0"/>
            </w:pPr>
            <w:r>
              <w:rPr>
                <w:sz w:val="20"/>
              </w:rPr>
              <w:t xml:space="preserve">-</w:t>
            </w:r>
          </w:p>
        </w:tc>
        <w:tc>
          <w:tcPr>
            <w:tcW w:w="1587" w:type="dxa"/>
          </w:tcPr>
          <w:p>
            <w:pPr>
              <w:pStyle w:val="0"/>
            </w:pPr>
            <w:r>
              <w:rPr>
                <w:sz w:val="20"/>
              </w:rPr>
              <w:t xml:space="preserve">483053,16</w:t>
            </w:r>
          </w:p>
        </w:tc>
        <w:tc>
          <w:tcPr>
            <w:tcW w:w="1701" w:type="dxa"/>
          </w:tcPr>
          <w:p>
            <w:pPr>
              <w:pStyle w:val="0"/>
            </w:pPr>
            <w:r>
              <w:rPr>
                <w:sz w:val="20"/>
              </w:rPr>
              <w:t xml:space="preserve">610649,00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76576,53</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76576,53</w:t>
            </w:r>
          </w:p>
        </w:tc>
        <w:tc>
          <w:tcPr>
            <w:tcW w:w="1587" w:type="dxa"/>
          </w:tcPr>
          <w:p>
            <w:pPr>
              <w:pStyle w:val="0"/>
            </w:pPr>
            <w:r>
              <w:rPr>
                <w:sz w:val="20"/>
              </w:rPr>
              <w:t xml:space="preserve">-</w:t>
            </w:r>
          </w:p>
        </w:tc>
        <w:tc>
          <w:tcPr>
            <w:tcW w:w="1587" w:type="dxa"/>
          </w:tcPr>
          <w:p>
            <w:pPr>
              <w:pStyle w:val="0"/>
            </w:pPr>
            <w:r>
              <w:rPr>
                <w:sz w:val="20"/>
              </w:rPr>
              <w:t xml:space="preserve">76576,53</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76576,53</w:t>
            </w:r>
          </w:p>
        </w:tc>
        <w:tc>
          <w:tcPr>
            <w:tcW w:w="1587" w:type="dxa"/>
          </w:tcPr>
          <w:p>
            <w:pPr>
              <w:pStyle w:val="0"/>
            </w:pPr>
            <w:r>
              <w:rPr>
                <w:sz w:val="20"/>
              </w:rPr>
              <w:t xml:space="preserve">-</w:t>
            </w:r>
          </w:p>
        </w:tc>
        <w:tc>
          <w:tcPr>
            <w:tcW w:w="1587" w:type="dxa"/>
          </w:tcPr>
          <w:p>
            <w:pPr>
              <w:pStyle w:val="0"/>
            </w:pPr>
            <w:r>
              <w:rPr>
                <w:sz w:val="20"/>
              </w:rPr>
              <w:t xml:space="preserve">76576,53</w:t>
            </w:r>
          </w:p>
        </w:tc>
        <w:tc>
          <w:tcPr>
            <w:tcW w:w="1701" w:type="dxa"/>
          </w:tcPr>
          <w:p>
            <w:pPr>
              <w:pStyle w:val="0"/>
            </w:pPr>
            <w:r>
              <w:rPr>
                <w:sz w:val="20"/>
              </w:rPr>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18274,26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18274,26</w:t>
            </w:r>
          </w:p>
        </w:tc>
        <w:tc>
          <w:tcPr>
            <w:tcW w:w="1587" w:type="dxa"/>
          </w:tcPr>
          <w:p>
            <w:pPr>
              <w:pStyle w:val="0"/>
            </w:pPr>
            <w:r>
              <w:rPr>
                <w:sz w:val="20"/>
              </w:rPr>
              <w:t xml:space="preserve">-</w:t>
            </w:r>
          </w:p>
        </w:tc>
        <w:tc>
          <w:tcPr>
            <w:tcW w:w="1587" w:type="dxa"/>
          </w:tcPr>
          <w:p>
            <w:pPr>
              <w:pStyle w:val="0"/>
            </w:pPr>
            <w:r>
              <w:rPr>
                <w:sz w:val="20"/>
              </w:rPr>
              <w:t xml:space="preserve">7610,95</w:t>
            </w:r>
          </w:p>
        </w:tc>
        <w:tc>
          <w:tcPr>
            <w:tcW w:w="1701" w:type="dxa"/>
          </w:tcPr>
          <w:p>
            <w:pPr>
              <w:pStyle w:val="0"/>
            </w:pPr>
            <w:r>
              <w:rPr>
                <w:sz w:val="20"/>
              </w:rPr>
              <w:t xml:space="preserve">10663,31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18274,26</w:t>
            </w:r>
          </w:p>
        </w:tc>
        <w:tc>
          <w:tcPr>
            <w:tcW w:w="1587" w:type="dxa"/>
          </w:tcPr>
          <w:p>
            <w:pPr>
              <w:pStyle w:val="0"/>
            </w:pPr>
            <w:r>
              <w:rPr>
                <w:sz w:val="20"/>
              </w:rPr>
              <w:t xml:space="preserve">-</w:t>
            </w:r>
          </w:p>
        </w:tc>
        <w:tc>
          <w:tcPr>
            <w:tcW w:w="1587" w:type="dxa"/>
          </w:tcPr>
          <w:p>
            <w:pPr>
              <w:pStyle w:val="0"/>
            </w:pPr>
            <w:r>
              <w:rPr>
                <w:sz w:val="20"/>
              </w:rPr>
              <w:t xml:space="preserve">7610,95</w:t>
            </w:r>
          </w:p>
        </w:tc>
        <w:tc>
          <w:tcPr>
            <w:tcW w:w="1701" w:type="dxa"/>
          </w:tcPr>
          <w:p>
            <w:pPr>
              <w:pStyle w:val="0"/>
            </w:pPr>
            <w:r>
              <w:rPr>
                <w:sz w:val="20"/>
              </w:rPr>
              <w:t xml:space="preserve">10663,31</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121000,00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121000,00</w:t>
            </w:r>
          </w:p>
        </w:tc>
        <w:tc>
          <w:tcPr>
            <w:tcW w:w="1587" w:type="dxa"/>
          </w:tcPr>
          <w:p>
            <w:pPr>
              <w:pStyle w:val="0"/>
            </w:pPr>
            <w:r>
              <w:rPr>
                <w:sz w:val="20"/>
              </w:rPr>
              <w:t xml:space="preserve">-</w:t>
            </w:r>
          </w:p>
        </w:tc>
        <w:tc>
          <w:tcPr>
            <w:tcW w:w="1587" w:type="dxa"/>
          </w:tcPr>
          <w:p>
            <w:pPr>
              <w:pStyle w:val="0"/>
            </w:pPr>
            <w:r>
              <w:rPr>
                <w:sz w:val="20"/>
              </w:rPr>
              <w:t xml:space="preserve">55000,00</w:t>
            </w:r>
          </w:p>
        </w:tc>
        <w:tc>
          <w:tcPr>
            <w:tcW w:w="1701" w:type="dxa"/>
          </w:tcPr>
          <w:p>
            <w:pPr>
              <w:pStyle w:val="0"/>
            </w:pPr>
            <w:r>
              <w:rPr>
                <w:sz w:val="20"/>
              </w:rPr>
              <w:t xml:space="preserve">66000,00</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121000,00</w:t>
            </w:r>
          </w:p>
        </w:tc>
        <w:tc>
          <w:tcPr>
            <w:tcW w:w="1587" w:type="dxa"/>
          </w:tcPr>
          <w:p>
            <w:pPr>
              <w:pStyle w:val="0"/>
            </w:pPr>
            <w:r>
              <w:rPr>
                <w:sz w:val="20"/>
              </w:rPr>
              <w:t xml:space="preserve">-</w:t>
            </w:r>
          </w:p>
        </w:tc>
        <w:tc>
          <w:tcPr>
            <w:tcW w:w="1587" w:type="dxa"/>
          </w:tcPr>
          <w:p>
            <w:pPr>
              <w:pStyle w:val="0"/>
            </w:pPr>
            <w:r>
              <w:rPr>
                <w:sz w:val="20"/>
              </w:rPr>
              <w:t xml:space="preserve">55000,00</w:t>
            </w:r>
          </w:p>
        </w:tc>
        <w:tc>
          <w:tcPr>
            <w:tcW w:w="1701" w:type="dxa"/>
          </w:tcPr>
          <w:p>
            <w:pPr>
              <w:pStyle w:val="0"/>
            </w:pPr>
            <w:r>
              <w:rPr>
                <w:sz w:val="20"/>
              </w:rPr>
              <w:t xml:space="preserve">66000,00</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1.12</w:t>
            </w:r>
          </w:p>
        </w:tc>
        <w:tc>
          <w:tcPr>
            <w:tcW w:w="2608" w:type="dxa"/>
            <w:vMerge w:val="restart"/>
          </w:tcPr>
          <w:p>
            <w:pPr>
              <w:pStyle w:val="0"/>
            </w:pPr>
            <w:r>
              <w:rPr>
                <w:sz w:val="20"/>
              </w:rPr>
              <w:t xml:space="preserve">Транспортная инфраструктура индустриального парка "Раменский"</w:t>
            </w:r>
          </w:p>
        </w:tc>
        <w:tc>
          <w:tcPr>
            <w:tcW w:w="2438" w:type="dxa"/>
            <w:vMerge w:val="restart"/>
          </w:tcPr>
          <w:p>
            <w:pPr>
              <w:pStyle w:val="0"/>
            </w:pPr>
            <w:r>
              <w:rPr>
                <w:sz w:val="20"/>
              </w:rPr>
              <w:t xml:space="preserve">01.01.2024-15.12.2025</w:t>
            </w:r>
          </w:p>
        </w:tc>
        <w:tc>
          <w:tcPr>
            <w:tcW w:w="1531" w:type="dxa"/>
            <w:vMerge w:val="restart"/>
          </w:tcPr>
          <w:p>
            <w:pPr>
              <w:pStyle w:val="0"/>
            </w:pPr>
            <w:r>
              <w:rPr>
                <w:sz w:val="20"/>
              </w:rPr>
              <w:t xml:space="preserve">15.12.2025</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891417,97</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891417,97</w:t>
            </w:r>
          </w:p>
        </w:tc>
        <w:tc>
          <w:tcPr>
            <w:tcW w:w="1587" w:type="dxa"/>
          </w:tcPr>
          <w:p>
            <w:pPr>
              <w:pStyle w:val="0"/>
            </w:pPr>
            <w:r>
              <w:rPr>
                <w:sz w:val="20"/>
              </w:rPr>
              <w:t xml:space="preserve">-</w:t>
            </w:r>
          </w:p>
        </w:tc>
        <w:tc>
          <w:tcPr>
            <w:tcW w:w="1587" w:type="dxa"/>
          </w:tcPr>
          <w:p>
            <w:pPr>
              <w:pStyle w:val="0"/>
            </w:pPr>
            <w:r>
              <w:rPr>
                <w:sz w:val="20"/>
              </w:rPr>
              <w:t xml:space="preserve">388330,28</w:t>
            </w:r>
          </w:p>
        </w:tc>
        <w:tc>
          <w:tcPr>
            <w:tcW w:w="1701" w:type="dxa"/>
          </w:tcPr>
          <w:p>
            <w:pPr>
              <w:pStyle w:val="0"/>
            </w:pPr>
            <w:r>
              <w:rPr>
                <w:sz w:val="20"/>
              </w:rPr>
              <w:t xml:space="preserve">503087,69</w:t>
            </w:r>
          </w:p>
        </w:tc>
        <w:tc>
          <w:tcPr>
            <w:tcW w:w="1587" w:type="dxa"/>
          </w:tcPr>
          <w:p>
            <w:pPr>
              <w:pStyle w:val="0"/>
            </w:pPr>
            <w:r>
              <w:rPr>
                <w:sz w:val="20"/>
              </w:rPr>
              <w:t xml:space="preserve">-</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891417,97</w:t>
            </w:r>
          </w:p>
        </w:tc>
        <w:tc>
          <w:tcPr>
            <w:tcW w:w="1587" w:type="dxa"/>
          </w:tcPr>
          <w:p>
            <w:pPr>
              <w:pStyle w:val="0"/>
            </w:pPr>
            <w:r>
              <w:rPr>
                <w:sz w:val="20"/>
              </w:rPr>
              <w:t xml:space="preserve">-</w:t>
            </w:r>
          </w:p>
        </w:tc>
        <w:tc>
          <w:tcPr>
            <w:tcW w:w="1587" w:type="dxa"/>
          </w:tcPr>
          <w:p>
            <w:pPr>
              <w:pStyle w:val="0"/>
            </w:pPr>
            <w:r>
              <w:rPr>
                <w:sz w:val="20"/>
              </w:rPr>
              <w:t xml:space="preserve">388330,28</w:t>
            </w:r>
          </w:p>
        </w:tc>
        <w:tc>
          <w:tcPr>
            <w:tcW w:w="1701" w:type="dxa"/>
          </w:tcPr>
          <w:p>
            <w:pPr>
              <w:pStyle w:val="0"/>
            </w:pPr>
            <w:r>
              <w:rPr>
                <w:sz w:val="20"/>
              </w:rPr>
              <w:t xml:space="preserve">503087,69</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834333,14</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834333,14</w:t>
            </w:r>
          </w:p>
        </w:tc>
        <w:tc>
          <w:tcPr>
            <w:tcW w:w="1587" w:type="dxa"/>
          </w:tcPr>
          <w:p>
            <w:pPr>
              <w:pStyle w:val="0"/>
            </w:pPr>
            <w:r>
              <w:rPr>
                <w:sz w:val="20"/>
              </w:rPr>
              <w:t xml:space="preserve">-</w:t>
            </w:r>
          </w:p>
        </w:tc>
        <w:tc>
          <w:tcPr>
            <w:tcW w:w="1587" w:type="dxa"/>
          </w:tcPr>
          <w:p>
            <w:pPr>
              <w:pStyle w:val="0"/>
            </w:pPr>
            <w:r>
              <w:rPr>
                <w:sz w:val="20"/>
              </w:rPr>
              <w:t xml:space="preserve">340014,08</w:t>
            </w:r>
          </w:p>
        </w:tc>
        <w:tc>
          <w:tcPr>
            <w:tcW w:w="1701" w:type="dxa"/>
          </w:tcPr>
          <w:p>
            <w:pPr>
              <w:pStyle w:val="0"/>
            </w:pPr>
            <w:r>
              <w:rPr>
                <w:sz w:val="20"/>
              </w:rPr>
              <w:t xml:space="preserve">494319,06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834333,14</w:t>
            </w:r>
          </w:p>
        </w:tc>
        <w:tc>
          <w:tcPr>
            <w:tcW w:w="1587" w:type="dxa"/>
          </w:tcPr>
          <w:p>
            <w:pPr>
              <w:pStyle w:val="0"/>
            </w:pPr>
            <w:r>
              <w:rPr>
                <w:sz w:val="20"/>
              </w:rPr>
              <w:t xml:space="preserve">-</w:t>
            </w:r>
          </w:p>
        </w:tc>
        <w:tc>
          <w:tcPr>
            <w:tcW w:w="1587" w:type="dxa"/>
          </w:tcPr>
          <w:p>
            <w:pPr>
              <w:pStyle w:val="0"/>
            </w:pPr>
            <w:r>
              <w:rPr>
                <w:sz w:val="20"/>
              </w:rPr>
              <w:t xml:space="preserve">340014,08</w:t>
            </w:r>
          </w:p>
        </w:tc>
        <w:tc>
          <w:tcPr>
            <w:tcW w:w="1701" w:type="dxa"/>
          </w:tcPr>
          <w:p>
            <w:pPr>
              <w:pStyle w:val="0"/>
            </w:pPr>
            <w:r>
              <w:rPr>
                <w:sz w:val="20"/>
              </w:rPr>
              <w:t xml:space="preserve">494319,06</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42330,28</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42330,28</w:t>
            </w:r>
          </w:p>
        </w:tc>
        <w:tc>
          <w:tcPr>
            <w:tcW w:w="1587" w:type="dxa"/>
          </w:tcPr>
          <w:p>
            <w:pPr>
              <w:pStyle w:val="0"/>
            </w:pPr>
            <w:r>
              <w:rPr>
                <w:sz w:val="20"/>
              </w:rPr>
              <w:t xml:space="preserve">-</w:t>
            </w:r>
          </w:p>
        </w:tc>
        <w:tc>
          <w:tcPr>
            <w:tcW w:w="1587" w:type="dxa"/>
          </w:tcPr>
          <w:p>
            <w:pPr>
              <w:pStyle w:val="0"/>
            </w:pPr>
            <w:r>
              <w:rPr>
                <w:sz w:val="20"/>
              </w:rPr>
              <w:t xml:space="preserve">42330,28</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42330,28</w:t>
            </w:r>
          </w:p>
        </w:tc>
        <w:tc>
          <w:tcPr>
            <w:tcW w:w="1587" w:type="dxa"/>
          </w:tcPr>
          <w:p>
            <w:pPr>
              <w:pStyle w:val="0"/>
            </w:pPr>
            <w:r>
              <w:rPr>
                <w:sz w:val="20"/>
              </w:rPr>
              <w:t xml:space="preserve">-</w:t>
            </w:r>
          </w:p>
        </w:tc>
        <w:tc>
          <w:tcPr>
            <w:tcW w:w="1587" w:type="dxa"/>
          </w:tcPr>
          <w:p>
            <w:pPr>
              <w:pStyle w:val="0"/>
            </w:pPr>
            <w:r>
              <w:rPr>
                <w:sz w:val="20"/>
              </w:rPr>
              <w:t xml:space="preserve">42330,28</w:t>
            </w:r>
          </w:p>
        </w:tc>
        <w:tc>
          <w:tcPr>
            <w:tcW w:w="1701" w:type="dxa"/>
          </w:tcPr>
          <w:p>
            <w:pPr>
              <w:pStyle w:val="0"/>
            </w:pPr>
            <w:r>
              <w:rPr>
                <w:sz w:val="20"/>
              </w:rPr>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14754,55</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14754,55</w:t>
            </w:r>
          </w:p>
        </w:tc>
        <w:tc>
          <w:tcPr>
            <w:tcW w:w="1587" w:type="dxa"/>
          </w:tcPr>
          <w:p>
            <w:pPr>
              <w:pStyle w:val="0"/>
            </w:pPr>
            <w:r>
              <w:rPr>
                <w:sz w:val="20"/>
              </w:rPr>
              <w:t xml:space="preserve">-</w:t>
            </w:r>
          </w:p>
        </w:tc>
        <w:tc>
          <w:tcPr>
            <w:tcW w:w="1587" w:type="dxa"/>
          </w:tcPr>
          <w:p>
            <w:pPr>
              <w:pStyle w:val="0"/>
            </w:pPr>
            <w:r>
              <w:rPr>
                <w:sz w:val="20"/>
              </w:rPr>
              <w:t xml:space="preserve">5985,92</w:t>
            </w:r>
          </w:p>
        </w:tc>
        <w:tc>
          <w:tcPr>
            <w:tcW w:w="1701" w:type="dxa"/>
          </w:tcPr>
          <w:p>
            <w:pPr>
              <w:pStyle w:val="0"/>
            </w:pPr>
            <w:r>
              <w:rPr>
                <w:sz w:val="20"/>
              </w:rPr>
              <w:t xml:space="preserve">8768,63</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14754,55</w:t>
            </w:r>
          </w:p>
        </w:tc>
        <w:tc>
          <w:tcPr>
            <w:tcW w:w="1587" w:type="dxa"/>
          </w:tcPr>
          <w:p>
            <w:pPr>
              <w:pStyle w:val="0"/>
            </w:pPr>
            <w:r>
              <w:rPr>
                <w:sz w:val="20"/>
              </w:rPr>
              <w:t xml:space="preserve">-</w:t>
            </w:r>
          </w:p>
        </w:tc>
        <w:tc>
          <w:tcPr>
            <w:tcW w:w="1587" w:type="dxa"/>
          </w:tcPr>
          <w:p>
            <w:pPr>
              <w:pStyle w:val="0"/>
            </w:pPr>
            <w:r>
              <w:rPr>
                <w:sz w:val="20"/>
              </w:rPr>
              <w:t xml:space="preserve">5985,92</w:t>
            </w:r>
          </w:p>
        </w:tc>
        <w:tc>
          <w:tcPr>
            <w:tcW w:w="1701" w:type="dxa"/>
          </w:tcPr>
          <w:p>
            <w:pPr>
              <w:pStyle w:val="0"/>
            </w:pPr>
            <w:r>
              <w:rPr>
                <w:sz w:val="20"/>
              </w:rPr>
              <w:t xml:space="preserve">8768,63</w:t>
            </w:r>
          </w:p>
        </w:tc>
        <w:tc>
          <w:tcPr>
            <w:tcW w:w="1587" w:type="dxa"/>
          </w:tcPr>
          <w:p>
            <w:pPr>
              <w:pStyle w:val="0"/>
            </w:pPr>
            <w:r>
              <w:rPr>
                <w:sz w:val="20"/>
              </w:rPr>
              <w:t xml:space="preserve">-</w:t>
            </w:r>
          </w:p>
        </w:tc>
        <w:tc>
          <w:tcPr>
            <w:vMerge w:val="continue"/>
          </w:tcPr>
          <w:p/>
        </w:tc>
        <w:tc>
          <w:tcPr>
            <w:vMerge w:val="continue"/>
          </w:tcPr>
          <w:p/>
        </w:tc>
      </w:tr>
      <w:tr>
        <w:tc>
          <w:tcPr>
            <w:tcW w:w="907" w:type="dxa"/>
            <w:vMerge w:val="restart"/>
          </w:tcPr>
          <w:p>
            <w:pPr>
              <w:pStyle w:val="0"/>
            </w:pPr>
            <w:r>
              <w:rPr>
                <w:sz w:val="20"/>
              </w:rPr>
              <w:t xml:space="preserve">1.13</w:t>
            </w:r>
          </w:p>
        </w:tc>
        <w:tc>
          <w:tcPr>
            <w:tcW w:w="2608" w:type="dxa"/>
            <w:vMerge w:val="restart"/>
          </w:tcPr>
          <w:p>
            <w:pPr>
              <w:pStyle w:val="0"/>
            </w:pPr>
            <w:r>
              <w:rPr>
                <w:sz w:val="20"/>
              </w:rPr>
              <w:t xml:space="preserve">Инженерная инфраструктура индустриального парка "Орехово-Зуево"</w:t>
            </w:r>
          </w:p>
        </w:tc>
        <w:tc>
          <w:tcPr>
            <w:tcW w:w="2438" w:type="dxa"/>
            <w:vMerge w:val="restart"/>
          </w:tcPr>
          <w:p>
            <w:pPr>
              <w:pStyle w:val="0"/>
            </w:pPr>
            <w:r>
              <w:rPr>
                <w:sz w:val="20"/>
              </w:rPr>
              <w:t xml:space="preserve">01.01.2024-15.12.2026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666404,61</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666404,61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666404,61</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666404,61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666404,61</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449426,30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449426,30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449426,30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449426,30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449426,30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4873,70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4873,70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4873,70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4873,70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4873,70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vMerge w:val="continue"/>
          </w:tcPr>
          <w:p/>
        </w:tc>
        <w:tc>
          <w:tcPr>
            <w:tcW w:w="1757" w:type="dxa"/>
            <w:vMerge w:val="restart"/>
          </w:tcPr>
          <w:p>
            <w:pPr>
              <w:pStyle w:val="0"/>
            </w:pPr>
            <w:r>
              <w:rPr>
                <w:sz w:val="20"/>
              </w:rPr>
              <w:t xml:space="preserve">212104,61</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212104,61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212104,61</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212104,61</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212104,61</w:t>
            </w:r>
          </w:p>
        </w:tc>
        <w:tc>
          <w:tcPr>
            <w:vMerge w:val="continue"/>
          </w:tcPr>
          <w:p/>
        </w:tc>
        <w:tc>
          <w:tcPr>
            <w:vMerge w:val="continue"/>
          </w:tcPr>
          <w:p/>
        </w:tc>
      </w:tr>
      <w:tr>
        <w:tc>
          <w:tcPr>
            <w:tcW w:w="907" w:type="dxa"/>
            <w:vMerge w:val="restart"/>
          </w:tcPr>
          <w:p>
            <w:pPr>
              <w:pStyle w:val="0"/>
            </w:pPr>
            <w:r>
              <w:rPr>
                <w:sz w:val="20"/>
              </w:rPr>
              <w:t xml:space="preserve">1.14</w:t>
            </w:r>
          </w:p>
        </w:tc>
        <w:tc>
          <w:tcPr>
            <w:tcW w:w="2608" w:type="dxa"/>
            <w:vMerge w:val="restart"/>
          </w:tcPr>
          <w:p>
            <w:pPr>
              <w:pStyle w:val="0"/>
            </w:pPr>
            <w:r>
              <w:rPr>
                <w:sz w:val="20"/>
              </w:rPr>
              <w:t xml:space="preserve">Транспортная инфраструктура индустриального парка "Орехово-Зуево"</w:t>
            </w:r>
          </w:p>
        </w:tc>
        <w:tc>
          <w:tcPr>
            <w:tcW w:w="2438" w:type="dxa"/>
            <w:vMerge w:val="restart"/>
          </w:tcPr>
          <w:p>
            <w:pPr>
              <w:pStyle w:val="0"/>
            </w:pPr>
            <w:r>
              <w:rPr>
                <w:sz w:val="20"/>
              </w:rPr>
              <w:t xml:space="preserve">01.01.2024-15.12.2026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262350,00</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262350,00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262350,00</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262350,00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262350,00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257914,00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257914,00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257914,00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257914,00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257914,00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4436,00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4436,00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4436,00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4436,00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4436,00</w:t>
            </w:r>
          </w:p>
        </w:tc>
        <w:tc>
          <w:tcPr>
            <w:vMerge w:val="continue"/>
          </w:tcPr>
          <w:p/>
        </w:tc>
        <w:tc>
          <w:tcPr>
            <w:vMerge w:val="continue"/>
          </w:tcPr>
          <w:p/>
        </w:tc>
      </w:tr>
      <w:tr>
        <w:tc>
          <w:tcPr>
            <w:tcW w:w="907" w:type="dxa"/>
            <w:vMerge w:val="restart"/>
          </w:tcPr>
          <w:p>
            <w:pPr>
              <w:pStyle w:val="0"/>
            </w:pPr>
            <w:r>
              <w:rPr>
                <w:sz w:val="20"/>
              </w:rPr>
              <w:t xml:space="preserve">1.15</w:t>
            </w:r>
          </w:p>
        </w:tc>
        <w:tc>
          <w:tcPr>
            <w:tcW w:w="2608" w:type="dxa"/>
            <w:vMerge w:val="restart"/>
          </w:tcPr>
          <w:p>
            <w:pPr>
              <w:pStyle w:val="0"/>
            </w:pPr>
            <w:r>
              <w:rPr>
                <w:sz w:val="20"/>
              </w:rPr>
              <w:t xml:space="preserve">Инженерная инфраструктура индустриального парка "Сергиев Посад"</w:t>
            </w:r>
          </w:p>
        </w:tc>
        <w:tc>
          <w:tcPr>
            <w:tcW w:w="2438" w:type="dxa"/>
            <w:vMerge w:val="restart"/>
          </w:tcPr>
          <w:p>
            <w:pPr>
              <w:pStyle w:val="0"/>
            </w:pPr>
            <w:r>
              <w:rPr>
                <w:sz w:val="20"/>
              </w:rPr>
              <w:t xml:space="preserve">01.01.2025-15.12.2026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2300000,00</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2300000,00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339615,69</w:t>
            </w:r>
          </w:p>
        </w:tc>
        <w:tc>
          <w:tcPr>
            <w:tcW w:w="1587" w:type="dxa"/>
          </w:tcPr>
          <w:p>
            <w:pPr>
              <w:pStyle w:val="0"/>
            </w:pPr>
            <w:r>
              <w:rPr>
                <w:sz w:val="20"/>
              </w:rPr>
              <w:t xml:space="preserve">1960384,31</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2300000,00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339615,69</w:t>
            </w:r>
          </w:p>
        </w:tc>
        <w:tc>
          <w:tcPr>
            <w:tcW w:w="1587" w:type="dxa"/>
          </w:tcPr>
          <w:p>
            <w:pPr>
              <w:pStyle w:val="0"/>
            </w:pPr>
            <w:r>
              <w:rPr>
                <w:sz w:val="20"/>
              </w:rPr>
              <w:t xml:space="preserve">1960384,31</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1664450,89</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1664450,89</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135971,50</w:t>
            </w:r>
          </w:p>
        </w:tc>
        <w:tc>
          <w:tcPr>
            <w:tcW w:w="1587" w:type="dxa"/>
          </w:tcPr>
          <w:p>
            <w:pPr>
              <w:pStyle w:val="0"/>
            </w:pPr>
            <w:r>
              <w:rPr>
                <w:sz w:val="20"/>
              </w:rPr>
              <w:t xml:space="preserve">1528479,39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1664450,89</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135971,50</w:t>
            </w:r>
          </w:p>
        </w:tc>
        <w:tc>
          <w:tcPr>
            <w:tcW w:w="1587" w:type="dxa"/>
          </w:tcPr>
          <w:p>
            <w:pPr>
              <w:pStyle w:val="0"/>
            </w:pPr>
            <w:r>
              <w:rPr>
                <w:sz w:val="20"/>
              </w:rPr>
              <w:t xml:space="preserve">1528479,39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100848,07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100848,07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100848,07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100848,07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100848,07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34701,04</w:t>
            </w:r>
          </w:p>
        </w:tc>
        <w:tc>
          <w:tcPr>
            <w:tcW w:w="1644" w:type="dxa"/>
            <w:vMerge w:val="restart"/>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34701,04</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2796,12</w:t>
            </w:r>
          </w:p>
        </w:tc>
        <w:tc>
          <w:tcPr>
            <w:tcW w:w="1587" w:type="dxa"/>
          </w:tcPr>
          <w:p>
            <w:pPr>
              <w:pStyle w:val="0"/>
            </w:pPr>
            <w:r>
              <w:rPr>
                <w:sz w:val="20"/>
              </w:rPr>
              <w:t xml:space="preserve">31904,92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34701,04</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2796,12</w:t>
            </w:r>
          </w:p>
        </w:tc>
        <w:tc>
          <w:tcPr>
            <w:tcW w:w="1587" w:type="dxa"/>
          </w:tcPr>
          <w:p>
            <w:pPr>
              <w:pStyle w:val="0"/>
            </w:pPr>
            <w:r>
              <w:rPr>
                <w:sz w:val="20"/>
              </w:rPr>
              <w:t xml:space="preserve">31904,92</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tcW w:w="2268" w:type="dxa"/>
            <w:vMerge w:val="restart"/>
          </w:tcPr>
          <w:p>
            <w:pPr>
              <w:pStyle w:val="0"/>
            </w:pPr>
            <w:r>
              <w:rPr>
                <w:sz w:val="20"/>
              </w:rPr>
            </w:r>
          </w:p>
        </w:tc>
        <w:tc>
          <w:tcPr>
            <w:tcW w:w="1757" w:type="dxa"/>
            <w:vMerge w:val="restart"/>
          </w:tcPr>
          <w:p>
            <w:pPr>
              <w:pStyle w:val="0"/>
            </w:pPr>
            <w:r>
              <w:rPr>
                <w:sz w:val="20"/>
              </w:rPr>
              <w:t xml:space="preserve">500000,00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500000,00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100000,00</w:t>
            </w:r>
          </w:p>
        </w:tc>
        <w:tc>
          <w:tcPr>
            <w:tcW w:w="1587" w:type="dxa"/>
          </w:tcPr>
          <w:p>
            <w:pPr>
              <w:pStyle w:val="0"/>
            </w:pPr>
            <w:r>
              <w:rPr>
                <w:sz w:val="20"/>
              </w:rPr>
              <w:t xml:space="preserve">400000,00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500000,00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100000,00</w:t>
            </w:r>
          </w:p>
        </w:tc>
        <w:tc>
          <w:tcPr>
            <w:tcW w:w="1587" w:type="dxa"/>
          </w:tcPr>
          <w:p>
            <w:pPr>
              <w:pStyle w:val="0"/>
            </w:pPr>
            <w:r>
              <w:rPr>
                <w:sz w:val="20"/>
              </w:rPr>
              <w:t xml:space="preserve">400000,00</w:t>
            </w:r>
          </w:p>
        </w:tc>
        <w:tc>
          <w:tcPr>
            <w:vMerge w:val="continue"/>
          </w:tcPr>
          <w:p/>
        </w:tc>
        <w:tc>
          <w:tcPr>
            <w:vMerge w:val="continue"/>
          </w:tcPr>
          <w:p/>
        </w:tc>
      </w:tr>
      <w:tr>
        <w:tc>
          <w:tcPr>
            <w:tcW w:w="907" w:type="dxa"/>
            <w:vMerge w:val="restart"/>
          </w:tcPr>
          <w:p>
            <w:pPr>
              <w:pStyle w:val="0"/>
            </w:pPr>
            <w:r>
              <w:rPr>
                <w:sz w:val="20"/>
              </w:rPr>
              <w:t xml:space="preserve">1.16</w:t>
            </w:r>
          </w:p>
        </w:tc>
        <w:tc>
          <w:tcPr>
            <w:tcW w:w="2608" w:type="dxa"/>
            <w:vMerge w:val="restart"/>
          </w:tcPr>
          <w:p>
            <w:pPr>
              <w:pStyle w:val="0"/>
            </w:pPr>
            <w:r>
              <w:rPr>
                <w:sz w:val="20"/>
              </w:rPr>
              <w:t xml:space="preserve">Транспортная инфраструктура индустриального парка "Сергиев Посад"</w:t>
            </w:r>
          </w:p>
        </w:tc>
        <w:tc>
          <w:tcPr>
            <w:tcW w:w="2438" w:type="dxa"/>
            <w:vMerge w:val="restart"/>
          </w:tcPr>
          <w:p>
            <w:pPr>
              <w:pStyle w:val="0"/>
            </w:pPr>
            <w:r>
              <w:rPr>
                <w:sz w:val="20"/>
              </w:rPr>
              <w:t xml:space="preserve">01.01.2025-15.12.2026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2380000,00</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2380000,00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596384,31</w:t>
            </w:r>
          </w:p>
        </w:tc>
        <w:tc>
          <w:tcPr>
            <w:tcW w:w="1587" w:type="dxa"/>
          </w:tcPr>
          <w:p>
            <w:pPr>
              <w:pStyle w:val="0"/>
            </w:pPr>
            <w:r>
              <w:rPr>
                <w:sz w:val="20"/>
              </w:rPr>
              <w:t xml:space="preserve">1783615,69</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2380000,00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596384,31</w:t>
            </w:r>
          </w:p>
        </w:tc>
        <w:tc>
          <w:tcPr>
            <w:tcW w:w="1587" w:type="dxa"/>
          </w:tcPr>
          <w:p>
            <w:pPr>
              <w:pStyle w:val="0"/>
            </w:pPr>
            <w:r>
              <w:rPr>
                <w:sz w:val="20"/>
              </w:rPr>
              <w:t xml:space="preserve">1783615,69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2256688,07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2256688,07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509541,68</w:t>
            </w:r>
          </w:p>
        </w:tc>
        <w:tc>
          <w:tcPr>
            <w:tcW w:w="1587" w:type="dxa"/>
          </w:tcPr>
          <w:p>
            <w:pPr>
              <w:pStyle w:val="0"/>
            </w:pPr>
            <w:r>
              <w:rPr>
                <w:sz w:val="20"/>
              </w:rPr>
              <w:t xml:space="preserve">1747146,39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2256688,07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509541,68</w:t>
            </w:r>
          </w:p>
        </w:tc>
        <w:tc>
          <w:tcPr>
            <w:tcW w:w="1587" w:type="dxa"/>
          </w:tcPr>
          <w:p>
            <w:pPr>
              <w:pStyle w:val="0"/>
            </w:pPr>
            <w:r>
              <w:rPr>
                <w:sz w:val="20"/>
              </w:rPr>
              <w:t xml:space="preserve">1747146,39</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76238,47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76238,47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76238,47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76238,47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76238,47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47073,46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47073,46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10604,16</w:t>
            </w:r>
          </w:p>
        </w:tc>
        <w:tc>
          <w:tcPr>
            <w:tcW w:w="1587" w:type="dxa"/>
          </w:tcPr>
          <w:p>
            <w:pPr>
              <w:pStyle w:val="0"/>
            </w:pPr>
            <w:r>
              <w:rPr>
                <w:sz w:val="20"/>
              </w:rPr>
              <w:t xml:space="preserve">36469,30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47073,46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10604,16</w:t>
            </w:r>
          </w:p>
        </w:tc>
        <w:tc>
          <w:tcPr>
            <w:tcW w:w="1587" w:type="dxa"/>
          </w:tcPr>
          <w:p>
            <w:pPr>
              <w:pStyle w:val="0"/>
            </w:pPr>
            <w:r>
              <w:rPr>
                <w:sz w:val="20"/>
              </w:rPr>
              <w:t xml:space="preserve">36469,30</w:t>
            </w:r>
          </w:p>
        </w:tc>
        <w:tc>
          <w:tcPr>
            <w:vMerge w:val="continue"/>
          </w:tcPr>
          <w:p/>
        </w:tc>
        <w:tc>
          <w:tcPr>
            <w:vMerge w:val="continue"/>
          </w:tcPr>
          <w:p/>
        </w:tc>
      </w:tr>
      <w:tr>
        <w:tc>
          <w:tcPr>
            <w:tcW w:w="907" w:type="dxa"/>
            <w:vMerge w:val="restart"/>
          </w:tcPr>
          <w:p>
            <w:pPr>
              <w:pStyle w:val="0"/>
            </w:pPr>
            <w:r>
              <w:rPr>
                <w:sz w:val="20"/>
              </w:rPr>
              <w:t xml:space="preserve">1.17</w:t>
            </w:r>
          </w:p>
        </w:tc>
        <w:tc>
          <w:tcPr>
            <w:tcW w:w="2608" w:type="dxa"/>
            <w:vMerge w:val="restart"/>
          </w:tcPr>
          <w:p>
            <w:pPr>
              <w:pStyle w:val="0"/>
            </w:pPr>
            <w:r>
              <w:rPr>
                <w:sz w:val="20"/>
              </w:rPr>
              <w:t xml:space="preserve">Инженерная инфраструктура индустриального парка "Волоколамск"</w:t>
            </w:r>
          </w:p>
        </w:tc>
        <w:tc>
          <w:tcPr>
            <w:tcW w:w="2438" w:type="dxa"/>
            <w:vMerge w:val="restart"/>
          </w:tcPr>
          <w:p>
            <w:pPr>
              <w:pStyle w:val="0"/>
            </w:pPr>
            <w:r>
              <w:rPr>
                <w:sz w:val="20"/>
              </w:rPr>
              <w:t xml:space="preserve">01.01.2025-15.12.2026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1080000,00</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1080000,00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309116,93</w:t>
            </w:r>
          </w:p>
        </w:tc>
        <w:tc>
          <w:tcPr>
            <w:tcW w:w="1587" w:type="dxa"/>
          </w:tcPr>
          <w:p>
            <w:pPr>
              <w:pStyle w:val="0"/>
            </w:pPr>
            <w:r>
              <w:rPr>
                <w:sz w:val="20"/>
              </w:rPr>
              <w:t xml:space="preserve">770883,07</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1080000,00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309116,93</w:t>
            </w:r>
          </w:p>
        </w:tc>
        <w:tc>
          <w:tcPr>
            <w:tcW w:w="1587" w:type="dxa"/>
          </w:tcPr>
          <w:p>
            <w:pPr>
              <w:pStyle w:val="0"/>
            </w:pPr>
            <w:r>
              <w:rPr>
                <w:sz w:val="20"/>
              </w:rPr>
              <w:t xml:space="preserve">770883,07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829864,23</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829864,23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143312,00</w:t>
            </w:r>
          </w:p>
        </w:tc>
        <w:tc>
          <w:tcPr>
            <w:tcW w:w="1587" w:type="dxa"/>
          </w:tcPr>
          <w:p>
            <w:pPr>
              <w:pStyle w:val="0"/>
            </w:pPr>
            <w:r>
              <w:rPr>
                <w:sz w:val="20"/>
              </w:rPr>
              <w:t xml:space="preserve">686552,23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829864,23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143312,00</w:t>
            </w:r>
          </w:p>
        </w:tc>
        <w:tc>
          <w:tcPr>
            <w:tcW w:w="1587" w:type="dxa"/>
          </w:tcPr>
          <w:p>
            <w:pPr>
              <w:pStyle w:val="0"/>
            </w:pPr>
            <w:r>
              <w:rPr>
                <w:sz w:val="20"/>
              </w:rPr>
              <w:t xml:space="preserve">686552,23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82848,07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82848,07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82848,07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82848,07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82848,07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17287,70</w:t>
            </w:r>
          </w:p>
        </w:tc>
        <w:tc>
          <w:tcPr>
            <w:tcW w:w="1644" w:type="dxa"/>
            <w:vMerge w:val="restart"/>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17287,70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2956,86</w:t>
            </w:r>
          </w:p>
        </w:tc>
        <w:tc>
          <w:tcPr>
            <w:tcW w:w="1587" w:type="dxa"/>
          </w:tcPr>
          <w:p>
            <w:pPr>
              <w:pStyle w:val="0"/>
            </w:pPr>
            <w:r>
              <w:rPr>
                <w:sz w:val="20"/>
              </w:rPr>
              <w:t xml:space="preserve">14330,84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17287,70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2956,86</w:t>
            </w:r>
          </w:p>
        </w:tc>
        <w:tc>
          <w:tcPr>
            <w:tcW w:w="1587" w:type="dxa"/>
          </w:tcPr>
          <w:p>
            <w:pPr>
              <w:pStyle w:val="0"/>
            </w:pPr>
            <w:r>
              <w:rPr>
                <w:sz w:val="20"/>
              </w:rPr>
              <w:t xml:space="preserve">14330,84</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технологическое присоединение к сетям</w:t>
            </w:r>
          </w:p>
        </w:tc>
        <w:tc>
          <w:tcPr>
            <w:tcW w:w="2268" w:type="dxa"/>
            <w:vMerge w:val="restart"/>
          </w:tcPr>
          <w:p>
            <w:pPr>
              <w:pStyle w:val="0"/>
            </w:pPr>
            <w:r>
              <w:rPr>
                <w:sz w:val="20"/>
              </w:rPr>
            </w:r>
          </w:p>
        </w:tc>
        <w:tc>
          <w:tcPr>
            <w:tcW w:w="1757" w:type="dxa"/>
            <w:vMerge w:val="restart"/>
          </w:tcPr>
          <w:p>
            <w:pPr>
              <w:pStyle w:val="0"/>
            </w:pPr>
            <w:r>
              <w:rPr>
                <w:sz w:val="20"/>
              </w:rPr>
              <w:t xml:space="preserve">150000,00</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150000,00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80000,00</w:t>
            </w:r>
          </w:p>
        </w:tc>
        <w:tc>
          <w:tcPr>
            <w:tcW w:w="1587" w:type="dxa"/>
          </w:tcPr>
          <w:p>
            <w:pPr>
              <w:pStyle w:val="0"/>
            </w:pPr>
            <w:r>
              <w:rPr>
                <w:sz w:val="20"/>
              </w:rPr>
              <w:t xml:space="preserve">70000,00</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150000,00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80000,00</w:t>
            </w:r>
          </w:p>
        </w:tc>
        <w:tc>
          <w:tcPr>
            <w:tcW w:w="1587" w:type="dxa"/>
          </w:tcPr>
          <w:p>
            <w:pPr>
              <w:pStyle w:val="0"/>
            </w:pPr>
            <w:r>
              <w:rPr>
                <w:sz w:val="20"/>
              </w:rPr>
              <w:t xml:space="preserve">70000,00</w:t>
            </w:r>
          </w:p>
        </w:tc>
        <w:tc>
          <w:tcPr>
            <w:vMerge w:val="continue"/>
          </w:tcPr>
          <w:p/>
        </w:tc>
        <w:tc>
          <w:tcPr>
            <w:vMerge w:val="continue"/>
          </w:tcPr>
          <w:p/>
        </w:tc>
      </w:tr>
      <w:tr>
        <w:tc>
          <w:tcPr>
            <w:tcW w:w="907" w:type="dxa"/>
            <w:vMerge w:val="restart"/>
          </w:tcPr>
          <w:p>
            <w:pPr>
              <w:pStyle w:val="0"/>
            </w:pPr>
            <w:r>
              <w:rPr>
                <w:sz w:val="20"/>
              </w:rPr>
              <w:t xml:space="preserve">1.18</w:t>
            </w:r>
          </w:p>
        </w:tc>
        <w:tc>
          <w:tcPr>
            <w:tcW w:w="2608" w:type="dxa"/>
            <w:vMerge w:val="restart"/>
          </w:tcPr>
          <w:p>
            <w:pPr>
              <w:pStyle w:val="0"/>
            </w:pPr>
            <w:r>
              <w:rPr>
                <w:sz w:val="20"/>
              </w:rPr>
              <w:t xml:space="preserve">Транспортная инфраструктура индустриального парка "Волоколамск"</w:t>
            </w:r>
          </w:p>
        </w:tc>
        <w:tc>
          <w:tcPr>
            <w:tcW w:w="2438" w:type="dxa"/>
            <w:vMerge w:val="restart"/>
          </w:tcPr>
          <w:p>
            <w:pPr>
              <w:pStyle w:val="0"/>
            </w:pPr>
            <w:r>
              <w:rPr>
                <w:sz w:val="20"/>
              </w:rPr>
              <w:t xml:space="preserve">01.01.2025-15.12.2026</w:t>
            </w:r>
          </w:p>
        </w:tc>
        <w:tc>
          <w:tcPr>
            <w:tcW w:w="1531" w:type="dxa"/>
            <w:vMerge w:val="restart"/>
          </w:tcPr>
          <w:p>
            <w:pPr>
              <w:pStyle w:val="0"/>
            </w:pPr>
            <w:r>
              <w:rPr>
                <w:sz w:val="20"/>
              </w:rPr>
              <w:t xml:space="preserve">15.12.2026</w:t>
            </w:r>
          </w:p>
        </w:tc>
        <w:tc>
          <w:tcPr>
            <w:tcW w:w="2608" w:type="dxa"/>
            <w:vMerge w:val="restart"/>
          </w:tcPr>
          <w:p>
            <w:pPr>
              <w:pStyle w:val="0"/>
            </w:pPr>
            <w:r>
              <w:rPr>
                <w:sz w:val="20"/>
              </w:rPr>
              <w:t xml:space="preserve">Строительство</w:t>
            </w:r>
          </w:p>
          <w:p>
            <w:pPr>
              <w:pStyle w:val="0"/>
            </w:pPr>
            <w:r>
              <w:rPr>
                <w:sz w:val="20"/>
              </w:rPr>
              <w:t xml:space="preserve">(в том числе проектные и изыскательские работы)</w:t>
            </w:r>
          </w:p>
        </w:tc>
        <w:tc>
          <w:tcPr>
            <w:tcW w:w="2268" w:type="dxa"/>
            <w:vMerge w:val="restart"/>
          </w:tcPr>
          <w:p>
            <w:pPr>
              <w:pStyle w:val="0"/>
            </w:pPr>
            <w:hyperlink w:history="0" w:anchor="P11781" w:tooltip="&lt;*&gt; Графа 6 &quot;Мощность/прирост мощности объекта&quot; будет скорректирована после подготовки проектно-сметной документации.">
              <w:r>
                <w:rPr>
                  <w:sz w:val="20"/>
                  <w:color w:val="0000ff"/>
                </w:rPr>
                <w:t xml:space="preserve">&lt;*&gt;</w:t>
              </w:r>
            </w:hyperlink>
          </w:p>
        </w:tc>
        <w:tc>
          <w:tcPr>
            <w:tcW w:w="1757" w:type="dxa"/>
            <w:vMerge w:val="restart"/>
          </w:tcPr>
          <w:p>
            <w:pPr>
              <w:pStyle w:val="0"/>
            </w:pPr>
            <w:r>
              <w:rPr>
                <w:sz w:val="20"/>
              </w:rPr>
              <w:t xml:space="preserve">780000,00</w:t>
            </w:r>
          </w:p>
        </w:tc>
        <w:tc>
          <w:tcPr>
            <w:tcW w:w="1644" w:type="dxa"/>
          </w:tcPr>
          <w:p>
            <w:pPr>
              <w:pStyle w:val="0"/>
            </w:pPr>
            <w:r>
              <w:rPr>
                <w:sz w:val="20"/>
              </w:rPr>
            </w:r>
          </w:p>
        </w:tc>
        <w:tc>
          <w:tcPr>
            <w:tcW w:w="1814" w:type="dxa"/>
          </w:tcPr>
          <w:p>
            <w:pPr>
              <w:pStyle w:val="0"/>
            </w:pPr>
            <w:r>
              <w:rPr>
                <w:sz w:val="20"/>
              </w:rPr>
              <w:t xml:space="preserve">Итого по объекту:</w:t>
            </w:r>
          </w:p>
        </w:tc>
        <w:tc>
          <w:tcPr>
            <w:tcW w:w="1587" w:type="dxa"/>
          </w:tcPr>
          <w:p>
            <w:pPr>
              <w:pStyle w:val="0"/>
            </w:pPr>
            <w:r>
              <w:rPr>
                <w:sz w:val="20"/>
              </w:rPr>
              <w:t xml:space="preserve">780000,00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248883,07</w:t>
            </w:r>
          </w:p>
        </w:tc>
        <w:tc>
          <w:tcPr>
            <w:tcW w:w="1587" w:type="dxa"/>
          </w:tcPr>
          <w:p>
            <w:pPr>
              <w:pStyle w:val="0"/>
            </w:pPr>
            <w:r>
              <w:rPr>
                <w:sz w:val="20"/>
              </w:rPr>
              <w:t xml:space="preserve">531116,93</w:t>
            </w:r>
          </w:p>
        </w:tc>
        <w:tc>
          <w:tcPr>
            <w:tcW w:w="1701" w:type="dxa"/>
            <w:vMerge w:val="restart"/>
          </w:tcPr>
          <w:p>
            <w:pPr>
              <w:pStyle w:val="0"/>
            </w:pPr>
            <w:r>
              <w:rPr>
                <w:sz w:val="20"/>
              </w:rPr>
              <w:t xml:space="preserve">Мининвест Московской области</w:t>
            </w:r>
          </w:p>
        </w:tc>
        <w:tc>
          <w:tcPr>
            <w:tcW w:w="164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780000,00</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248883,07</w:t>
            </w:r>
          </w:p>
        </w:tc>
        <w:tc>
          <w:tcPr>
            <w:tcW w:w="1587" w:type="dxa"/>
          </w:tcPr>
          <w:p>
            <w:pPr>
              <w:pStyle w:val="0"/>
            </w:pPr>
            <w:r>
              <w:rPr>
                <w:sz w:val="20"/>
              </w:rPr>
              <w:t xml:space="preserve">531116,93</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строительные работы</w:t>
            </w:r>
          </w:p>
        </w:tc>
        <w:tc>
          <w:tcPr>
            <w:vMerge w:val="continue"/>
          </w:tcPr>
          <w:p/>
        </w:tc>
        <w:tc>
          <w:tcPr>
            <w:tcW w:w="1757" w:type="dxa"/>
            <w:vMerge w:val="restart"/>
          </w:tcPr>
          <w:p>
            <w:pPr>
              <w:pStyle w:val="0"/>
            </w:pPr>
            <w:r>
              <w:rPr>
                <w:sz w:val="20"/>
              </w:rPr>
              <w:t xml:space="preserve">709805,07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709805,07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187945,31</w:t>
            </w:r>
          </w:p>
        </w:tc>
        <w:tc>
          <w:tcPr>
            <w:tcW w:w="1587" w:type="dxa"/>
          </w:tcPr>
          <w:p>
            <w:pPr>
              <w:pStyle w:val="0"/>
            </w:pPr>
            <w:r>
              <w:rPr>
                <w:sz w:val="20"/>
              </w:rPr>
              <w:t xml:space="preserve">521859,76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709805,07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187945,31</w:t>
            </w:r>
          </w:p>
        </w:tc>
        <w:tc>
          <w:tcPr>
            <w:tcW w:w="1587" w:type="dxa"/>
          </w:tcPr>
          <w:p>
            <w:pPr>
              <w:pStyle w:val="0"/>
            </w:pPr>
            <w:r>
              <w:rPr>
                <w:sz w:val="20"/>
              </w:rPr>
              <w:t xml:space="preserve">521859,76</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проектные и изыскательские работы</w:t>
            </w:r>
          </w:p>
        </w:tc>
        <w:tc>
          <w:tcPr>
            <w:vMerge w:val="continue"/>
          </w:tcPr>
          <w:p/>
        </w:tc>
        <w:tc>
          <w:tcPr>
            <w:tcW w:w="1757" w:type="dxa"/>
            <w:vMerge w:val="restart"/>
          </w:tcPr>
          <w:p>
            <w:pPr>
              <w:pStyle w:val="0"/>
            </w:pPr>
            <w:r>
              <w:rPr>
                <w:sz w:val="20"/>
              </w:rPr>
              <w:t xml:space="preserve">57038,47</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57038,47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57038,47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57038,47</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57038,47</w:t>
            </w:r>
          </w:p>
        </w:tc>
        <w:tc>
          <w:tcPr>
            <w:tcW w:w="1587" w:type="dxa"/>
          </w:tcPr>
          <w:p>
            <w:pPr>
              <w:pStyle w:val="0"/>
            </w:pPr>
            <w:r>
              <w:rPr>
                <w:sz w:val="20"/>
              </w:rPr>
              <w:t xml:space="preserve">-</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608" w:type="dxa"/>
            <w:vMerge w:val="restart"/>
          </w:tcPr>
          <w:p>
            <w:pPr>
              <w:pStyle w:val="0"/>
            </w:pPr>
            <w:r>
              <w:rPr>
                <w:sz w:val="20"/>
              </w:rPr>
              <w:t xml:space="preserve">в том числе: содержание дирекции и технический надзор (в т.ч. авторский надзор)</w:t>
            </w:r>
          </w:p>
        </w:tc>
        <w:tc>
          <w:tcPr>
            <w:vMerge w:val="continue"/>
          </w:tcPr>
          <w:p/>
        </w:tc>
        <w:tc>
          <w:tcPr>
            <w:tcW w:w="1757" w:type="dxa"/>
            <w:vMerge w:val="restart"/>
          </w:tcPr>
          <w:p>
            <w:pPr>
              <w:pStyle w:val="0"/>
            </w:pPr>
            <w:r>
              <w:rPr>
                <w:sz w:val="20"/>
              </w:rPr>
              <w:t xml:space="preserve">13156,46</w:t>
            </w:r>
          </w:p>
        </w:tc>
        <w:tc>
          <w:tcPr>
            <w:tcW w:w="1644" w:type="dxa"/>
          </w:tcPr>
          <w:p>
            <w:pPr>
              <w:pStyle w:val="0"/>
            </w:pPr>
            <w:r>
              <w:rPr>
                <w:sz w:val="20"/>
              </w:rPr>
            </w:r>
          </w:p>
        </w:tc>
        <w:tc>
          <w:tcPr>
            <w:tcW w:w="1814" w:type="dxa"/>
          </w:tcPr>
          <w:p>
            <w:pPr>
              <w:pStyle w:val="0"/>
            </w:pPr>
            <w:r>
              <w:rPr>
                <w:sz w:val="20"/>
              </w:rPr>
              <w:t xml:space="preserve">Итого:</w:t>
            </w:r>
          </w:p>
        </w:tc>
        <w:tc>
          <w:tcPr>
            <w:tcW w:w="1587" w:type="dxa"/>
          </w:tcPr>
          <w:p>
            <w:pPr>
              <w:pStyle w:val="0"/>
            </w:pPr>
            <w:r>
              <w:rPr>
                <w:sz w:val="20"/>
              </w:rPr>
              <w:t xml:space="preserve">13156,46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3899,29</w:t>
            </w:r>
          </w:p>
        </w:tc>
        <w:tc>
          <w:tcPr>
            <w:tcW w:w="1587" w:type="dxa"/>
          </w:tcPr>
          <w:p>
            <w:pPr>
              <w:pStyle w:val="0"/>
            </w:pPr>
            <w:r>
              <w:rPr>
                <w:sz w:val="20"/>
              </w:rPr>
              <w:t xml:space="preserve">9257,17</w:t>
            </w: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13156,46</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3899,29</w:t>
            </w:r>
          </w:p>
        </w:tc>
        <w:tc>
          <w:tcPr>
            <w:tcW w:w="1587" w:type="dxa"/>
          </w:tcPr>
          <w:p>
            <w:pPr>
              <w:pStyle w:val="0"/>
            </w:pPr>
            <w:r>
              <w:rPr>
                <w:sz w:val="20"/>
              </w:rPr>
              <w:t xml:space="preserve">9257,17</w:t>
            </w:r>
          </w:p>
        </w:tc>
        <w:tc>
          <w:tcPr>
            <w:vMerge w:val="continue"/>
          </w:tcPr>
          <w:p/>
        </w:tc>
        <w:tc>
          <w:tcPr>
            <w:vMerge w:val="continue"/>
          </w:tcPr>
          <w:p/>
        </w:tc>
      </w:tr>
      <w:tr>
        <w:tc>
          <w:tcPr>
            <w:gridSpan w:val="8"/>
            <w:tcW w:w="15761" w:type="dxa"/>
            <w:vMerge w:val="restart"/>
          </w:tcPr>
          <w:p>
            <w:pPr>
              <w:pStyle w:val="0"/>
            </w:pPr>
            <w:r>
              <w:rPr>
                <w:sz w:val="20"/>
              </w:rPr>
              <w:t xml:space="preserve">Нераспределенный остаток</w:t>
            </w:r>
          </w:p>
        </w:tc>
        <w:tc>
          <w:tcPr>
            <w:tcW w:w="1814" w:type="dxa"/>
          </w:tcPr>
          <w:p>
            <w:pPr>
              <w:pStyle w:val="0"/>
            </w:pPr>
            <w:r>
              <w:rPr>
                <w:sz w:val="20"/>
              </w:rPr>
              <w:t xml:space="preserve">Всего</w:t>
            </w:r>
          </w:p>
        </w:tc>
        <w:tc>
          <w:tcPr>
            <w:tcW w:w="1587" w:type="dxa"/>
          </w:tcPr>
          <w:p>
            <w:pPr>
              <w:pStyle w:val="0"/>
            </w:pPr>
            <w:r>
              <w:rPr>
                <w:sz w:val="20"/>
              </w:rPr>
              <w:t xml:space="preserve">0,93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0,93</w:t>
            </w:r>
          </w:p>
        </w:tc>
        <w:tc>
          <w:tcPr>
            <w:tcW w:w="1701" w:type="dxa"/>
            <w:vMerge w:val="restart"/>
          </w:tcPr>
          <w:p>
            <w:pPr>
              <w:pStyle w:val="0"/>
            </w:pPr>
            <w:r>
              <w:rPr>
                <w:sz w:val="20"/>
              </w:rPr>
              <w:t xml:space="preserve">X</w:t>
            </w:r>
          </w:p>
        </w:tc>
        <w:tc>
          <w:tcPr>
            <w:tcW w:w="1644" w:type="dxa"/>
            <w:vMerge w:val="restart"/>
          </w:tcPr>
          <w:p>
            <w:pPr>
              <w:pStyle w:val="0"/>
            </w:pPr>
            <w:r>
              <w:rPr>
                <w:sz w:val="20"/>
              </w:rPr>
              <w:t xml:space="preserve">X</w:t>
            </w:r>
          </w:p>
        </w:tc>
      </w:tr>
      <w:tr>
        <w:tc>
          <w:tcPr>
            <w:gridSpan w:val="8"/>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0,93</w:t>
            </w:r>
          </w:p>
        </w:tc>
        <w:tc>
          <w:tcPr>
            <w:tcW w:w="1587" w:type="dxa"/>
          </w:tcPr>
          <w:p>
            <w:pPr>
              <w:pStyle w:val="0"/>
            </w:pPr>
            <w:r>
              <w:rPr>
                <w:sz w:val="20"/>
              </w:rPr>
              <w:t xml:space="preserve">-</w:t>
            </w:r>
          </w:p>
        </w:tc>
        <w:tc>
          <w:tcPr>
            <w:tcW w:w="1587" w:type="dxa"/>
          </w:tcPr>
          <w:p>
            <w:pPr>
              <w:pStyle w:val="0"/>
            </w:pPr>
            <w:r>
              <w:rPr>
                <w:sz w:val="20"/>
              </w:rPr>
              <w:t xml:space="preserve">-</w:t>
            </w:r>
          </w:p>
        </w:tc>
        <w:tc>
          <w:tcPr>
            <w:tcW w:w="1701" w:type="dxa"/>
          </w:tcPr>
          <w:p>
            <w:pPr>
              <w:pStyle w:val="0"/>
            </w:pPr>
            <w:r>
              <w:rPr>
                <w:sz w:val="20"/>
              </w:rPr>
              <w:t xml:space="preserve">-</w:t>
            </w:r>
          </w:p>
        </w:tc>
        <w:tc>
          <w:tcPr>
            <w:tcW w:w="1587" w:type="dxa"/>
          </w:tcPr>
          <w:p>
            <w:pPr>
              <w:pStyle w:val="0"/>
            </w:pPr>
            <w:r>
              <w:rPr>
                <w:sz w:val="20"/>
              </w:rPr>
              <w:t xml:space="preserve">0,93</w:t>
            </w:r>
          </w:p>
        </w:tc>
        <w:tc>
          <w:tcPr>
            <w:vMerge w:val="continue"/>
          </w:tcPr>
          <w:p/>
        </w:tc>
        <w:tc>
          <w:tcPr>
            <w:vMerge w:val="continue"/>
          </w:tcPr>
          <w:p/>
        </w:tc>
      </w:tr>
      <w:tr>
        <w:tc>
          <w:tcPr>
            <w:gridSpan w:val="8"/>
            <w:tcW w:w="15761" w:type="dxa"/>
            <w:vMerge w:val="restart"/>
          </w:tcPr>
          <w:p>
            <w:pPr>
              <w:pStyle w:val="0"/>
            </w:pPr>
            <w:r>
              <w:rPr>
                <w:sz w:val="20"/>
              </w:rPr>
              <w:t xml:space="preserve">Всего по мероприятию</w:t>
            </w:r>
          </w:p>
        </w:tc>
        <w:tc>
          <w:tcPr>
            <w:tcW w:w="1814" w:type="dxa"/>
          </w:tcPr>
          <w:p>
            <w:pPr>
              <w:pStyle w:val="0"/>
            </w:pPr>
            <w:r>
              <w:rPr>
                <w:sz w:val="20"/>
              </w:rPr>
              <w:t xml:space="preserve">Всего</w:t>
            </w:r>
          </w:p>
        </w:tc>
        <w:tc>
          <w:tcPr>
            <w:tcW w:w="1587" w:type="dxa"/>
          </w:tcPr>
          <w:p>
            <w:pPr>
              <w:pStyle w:val="0"/>
            </w:pPr>
            <w:r>
              <w:rPr>
                <w:sz w:val="20"/>
              </w:rPr>
              <w:t xml:space="preserve">28268707,00</w:t>
            </w:r>
          </w:p>
        </w:tc>
        <w:tc>
          <w:tcPr>
            <w:tcW w:w="1587" w:type="dxa"/>
          </w:tcPr>
          <w:p>
            <w:pPr>
              <w:pStyle w:val="0"/>
            </w:pPr>
            <w:r>
              <w:rPr>
                <w:sz w:val="20"/>
              </w:rPr>
              <w:t xml:space="preserve">1879929,00</w:t>
            </w:r>
          </w:p>
        </w:tc>
        <w:tc>
          <w:tcPr>
            <w:tcW w:w="1587" w:type="dxa"/>
          </w:tcPr>
          <w:p>
            <w:pPr>
              <w:pStyle w:val="0"/>
            </w:pPr>
            <w:r>
              <w:rPr>
                <w:sz w:val="20"/>
              </w:rPr>
              <w:t xml:space="preserve">8248088,00</w:t>
            </w:r>
          </w:p>
        </w:tc>
        <w:tc>
          <w:tcPr>
            <w:tcW w:w="1701" w:type="dxa"/>
          </w:tcPr>
          <w:p>
            <w:pPr>
              <w:pStyle w:val="0"/>
            </w:pPr>
            <w:r>
              <w:rPr>
                <w:sz w:val="20"/>
              </w:rPr>
              <w:t xml:space="preserve">11276920,00</w:t>
            </w:r>
          </w:p>
        </w:tc>
        <w:tc>
          <w:tcPr>
            <w:tcW w:w="1587" w:type="dxa"/>
          </w:tcPr>
          <w:p>
            <w:pPr>
              <w:pStyle w:val="0"/>
            </w:pPr>
            <w:r>
              <w:rPr>
                <w:sz w:val="20"/>
              </w:rPr>
              <w:t xml:space="preserve">6863770,00</w:t>
            </w:r>
          </w:p>
        </w:tc>
        <w:tc>
          <w:tcPr>
            <w:tcW w:w="1701" w:type="dxa"/>
            <w:vMerge w:val="restart"/>
          </w:tcPr>
          <w:p>
            <w:pPr>
              <w:pStyle w:val="0"/>
            </w:pPr>
            <w:r>
              <w:rPr>
                <w:sz w:val="20"/>
              </w:rPr>
              <w:t xml:space="preserve">X</w:t>
            </w:r>
          </w:p>
        </w:tc>
        <w:tc>
          <w:tcPr>
            <w:tcW w:w="1644" w:type="dxa"/>
            <w:vMerge w:val="restart"/>
          </w:tcPr>
          <w:p>
            <w:pPr>
              <w:pStyle w:val="0"/>
            </w:pPr>
            <w:r>
              <w:rPr>
                <w:sz w:val="20"/>
              </w:rPr>
              <w:t xml:space="preserve">X</w:t>
            </w:r>
          </w:p>
        </w:tc>
      </w:tr>
      <w:tr>
        <w:tc>
          <w:tcPr>
            <w:gridSpan w:val="8"/>
            <w:vMerge w:val="continue"/>
          </w:tcPr>
          <w:p/>
        </w:tc>
        <w:tc>
          <w:tcPr>
            <w:tcW w:w="1814" w:type="dxa"/>
          </w:tcPr>
          <w:p>
            <w:pPr>
              <w:pStyle w:val="0"/>
            </w:pPr>
            <w:r>
              <w:rPr>
                <w:sz w:val="20"/>
              </w:rPr>
              <w:t xml:space="preserve">Средства бюджета Московской области</w:t>
            </w:r>
          </w:p>
        </w:tc>
        <w:tc>
          <w:tcPr>
            <w:tcW w:w="1587" w:type="dxa"/>
          </w:tcPr>
          <w:p>
            <w:pPr>
              <w:pStyle w:val="0"/>
            </w:pPr>
            <w:r>
              <w:rPr>
                <w:sz w:val="20"/>
              </w:rPr>
              <w:t xml:space="preserve">28268707,00</w:t>
            </w:r>
          </w:p>
        </w:tc>
        <w:tc>
          <w:tcPr>
            <w:tcW w:w="1587" w:type="dxa"/>
          </w:tcPr>
          <w:p>
            <w:pPr>
              <w:pStyle w:val="0"/>
            </w:pPr>
            <w:r>
              <w:rPr>
                <w:sz w:val="20"/>
              </w:rPr>
              <w:t xml:space="preserve">1879929,00</w:t>
            </w:r>
          </w:p>
        </w:tc>
        <w:tc>
          <w:tcPr>
            <w:tcW w:w="1587" w:type="dxa"/>
          </w:tcPr>
          <w:p>
            <w:pPr>
              <w:pStyle w:val="0"/>
            </w:pPr>
            <w:r>
              <w:rPr>
                <w:sz w:val="20"/>
              </w:rPr>
              <w:t xml:space="preserve">8248088,00</w:t>
            </w:r>
          </w:p>
        </w:tc>
        <w:tc>
          <w:tcPr>
            <w:tcW w:w="1701" w:type="dxa"/>
          </w:tcPr>
          <w:p>
            <w:pPr>
              <w:pStyle w:val="0"/>
            </w:pPr>
            <w:r>
              <w:rPr>
                <w:sz w:val="20"/>
              </w:rPr>
              <w:t xml:space="preserve">11276920,00</w:t>
            </w:r>
          </w:p>
        </w:tc>
        <w:tc>
          <w:tcPr>
            <w:tcW w:w="1587" w:type="dxa"/>
          </w:tcPr>
          <w:p>
            <w:pPr>
              <w:pStyle w:val="0"/>
            </w:pPr>
            <w:r>
              <w:rPr>
                <w:sz w:val="20"/>
              </w:rPr>
              <w:t xml:space="preserve">6863770,00</w:t>
            </w:r>
          </w:p>
        </w:tc>
        <w:tc>
          <w:tcPr>
            <w:vMerge w:val="continue"/>
          </w:tcP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1781" w:name="P11781"/>
    <w:bookmarkEnd w:id="11781"/>
    <w:p>
      <w:pPr>
        <w:pStyle w:val="0"/>
        <w:spacing w:before="200" w:line-rule="auto"/>
        <w:ind w:firstLine="540"/>
        <w:jc w:val="both"/>
      </w:pPr>
      <w:r>
        <w:rPr>
          <w:sz w:val="20"/>
        </w:rPr>
        <w:t xml:space="preserve">&lt;*&gt; </w:t>
      </w:r>
      <w:hyperlink w:history="0" w:anchor="P10275" w:tooltip="6">
        <w:r>
          <w:rPr>
            <w:sz w:val="20"/>
            <w:color w:val="0000ff"/>
          </w:rPr>
          <w:t xml:space="preserve">Графа 6</w:t>
        </w:r>
      </w:hyperlink>
      <w:r>
        <w:rPr>
          <w:sz w:val="20"/>
        </w:rPr>
        <w:t xml:space="preserve"> "Мощность/прирост мощности объекта" будет скорректирована после подготовки проектно-сметной документации.</w:t>
      </w:r>
    </w:p>
    <w:p>
      <w:pPr>
        <w:pStyle w:val="0"/>
        <w:jc w:val="both"/>
      </w:pPr>
      <w:r>
        <w:rPr>
          <w:sz w:val="20"/>
        </w:rPr>
      </w:r>
    </w:p>
    <w:p>
      <w:pPr>
        <w:pStyle w:val="0"/>
        <w:ind w:firstLine="540"/>
        <w:jc w:val="both"/>
      </w:pPr>
      <w:r>
        <w:rPr>
          <w:sz w:val="20"/>
        </w:rPr>
        <w:t xml:space="preserve">Справочная 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814"/>
        <w:gridCol w:w="1105"/>
        <w:gridCol w:w="1105"/>
        <w:gridCol w:w="1105"/>
        <w:gridCol w:w="1105"/>
      </w:tblGrid>
      <w:tr>
        <w:tc>
          <w:tcPr>
            <w:tcW w:w="1701" w:type="dxa"/>
          </w:tcPr>
          <w:p>
            <w:pPr>
              <w:pStyle w:val="0"/>
              <w:jc w:val="center"/>
            </w:pPr>
            <w:r>
              <w:rPr>
                <w:sz w:val="20"/>
              </w:rPr>
              <w:t xml:space="preserve">Количество объектов</w:t>
            </w:r>
          </w:p>
        </w:tc>
        <w:tc>
          <w:tcPr>
            <w:tcW w:w="1814" w:type="dxa"/>
          </w:tcPr>
          <w:p>
            <w:pPr>
              <w:pStyle w:val="0"/>
              <w:jc w:val="center"/>
            </w:pPr>
            <w:r>
              <w:rPr>
                <w:sz w:val="20"/>
              </w:rPr>
              <w:t xml:space="preserve">Всего, в том числе по годам реализации:</w:t>
            </w:r>
          </w:p>
        </w:tc>
        <w:tc>
          <w:tcPr>
            <w:tcW w:w="1105" w:type="dxa"/>
          </w:tcPr>
          <w:p>
            <w:pPr>
              <w:pStyle w:val="0"/>
              <w:jc w:val="center"/>
            </w:pPr>
            <w:r>
              <w:rPr>
                <w:sz w:val="20"/>
              </w:rPr>
              <w:t xml:space="preserve">2023 год</w:t>
            </w:r>
          </w:p>
        </w:tc>
        <w:tc>
          <w:tcPr>
            <w:tcW w:w="1105" w:type="dxa"/>
          </w:tcPr>
          <w:p>
            <w:pPr>
              <w:pStyle w:val="0"/>
              <w:jc w:val="center"/>
            </w:pPr>
            <w:r>
              <w:rPr>
                <w:sz w:val="20"/>
              </w:rPr>
              <w:t xml:space="preserve">2024 год</w:t>
            </w:r>
          </w:p>
        </w:tc>
        <w:tc>
          <w:tcPr>
            <w:tcW w:w="1105" w:type="dxa"/>
          </w:tcPr>
          <w:p>
            <w:pPr>
              <w:pStyle w:val="0"/>
              <w:jc w:val="center"/>
            </w:pPr>
            <w:r>
              <w:rPr>
                <w:sz w:val="20"/>
              </w:rPr>
              <w:t xml:space="preserve">2025 год</w:t>
            </w:r>
          </w:p>
        </w:tc>
        <w:tc>
          <w:tcPr>
            <w:tcW w:w="1105" w:type="dxa"/>
          </w:tcPr>
          <w:p>
            <w:pPr>
              <w:pStyle w:val="0"/>
              <w:jc w:val="center"/>
            </w:pPr>
            <w:r>
              <w:rPr>
                <w:sz w:val="20"/>
              </w:rPr>
              <w:t xml:space="preserve">2026 год</w:t>
            </w:r>
          </w:p>
        </w:tc>
      </w:tr>
      <w:tr>
        <w:tc>
          <w:tcPr>
            <w:tcW w:w="1701" w:type="dxa"/>
          </w:tcPr>
          <w:p>
            <w:pPr>
              <w:pStyle w:val="0"/>
            </w:pPr>
            <w:r>
              <w:rPr>
                <w:sz w:val="20"/>
              </w:rPr>
              <w:t xml:space="preserve">вводимых</w:t>
            </w:r>
          </w:p>
        </w:tc>
        <w:tc>
          <w:tcPr>
            <w:tcW w:w="1814" w:type="dxa"/>
          </w:tcPr>
          <w:p>
            <w:pPr>
              <w:pStyle w:val="0"/>
            </w:pPr>
            <w:r>
              <w:rPr>
                <w:sz w:val="20"/>
              </w:rPr>
              <w:t xml:space="preserve">18</w:t>
            </w:r>
          </w:p>
        </w:tc>
        <w:tc>
          <w:tcPr>
            <w:tcW w:w="1105" w:type="dxa"/>
          </w:tcPr>
          <w:p>
            <w:pPr>
              <w:pStyle w:val="0"/>
            </w:pPr>
            <w:r>
              <w:rPr>
                <w:sz w:val="20"/>
              </w:rPr>
              <w:t xml:space="preserve">-</w:t>
            </w:r>
          </w:p>
        </w:tc>
        <w:tc>
          <w:tcPr>
            <w:tcW w:w="1105" w:type="dxa"/>
          </w:tcPr>
          <w:p>
            <w:pPr>
              <w:pStyle w:val="0"/>
            </w:pPr>
            <w:r>
              <w:rPr>
                <w:sz w:val="20"/>
              </w:rPr>
              <w:t xml:space="preserve">-</w:t>
            </w:r>
          </w:p>
        </w:tc>
        <w:tc>
          <w:tcPr>
            <w:tcW w:w="1105" w:type="dxa"/>
          </w:tcPr>
          <w:p>
            <w:pPr>
              <w:pStyle w:val="0"/>
            </w:pPr>
            <w:r>
              <w:rPr>
                <w:sz w:val="20"/>
              </w:rPr>
              <w:t xml:space="preserve">11</w:t>
            </w:r>
          </w:p>
        </w:tc>
        <w:tc>
          <w:tcPr>
            <w:tcW w:w="1105" w:type="dxa"/>
          </w:tcPr>
          <w:p>
            <w:pPr>
              <w:pStyle w:val="0"/>
            </w:pPr>
            <w:r>
              <w:rPr>
                <w:sz w:val="20"/>
              </w:rPr>
              <w:t xml:space="preserve">7</w:t>
            </w:r>
          </w:p>
        </w:tc>
      </w:tr>
      <w:tr>
        <w:tc>
          <w:tcPr>
            <w:tcW w:w="1701" w:type="dxa"/>
          </w:tcPr>
          <w:p>
            <w:pPr>
              <w:pStyle w:val="0"/>
            </w:pPr>
            <w:r>
              <w:rPr>
                <w:sz w:val="20"/>
              </w:rPr>
              <w:t xml:space="preserve">открываемых</w:t>
            </w:r>
          </w:p>
        </w:tc>
        <w:tc>
          <w:tcPr>
            <w:tcW w:w="1814" w:type="dxa"/>
          </w:tcPr>
          <w:p>
            <w:pPr>
              <w:pStyle w:val="0"/>
            </w:pPr>
            <w:r>
              <w:rPr>
                <w:sz w:val="20"/>
              </w:rPr>
              <w:t xml:space="preserve">18</w:t>
            </w:r>
          </w:p>
        </w:tc>
        <w:tc>
          <w:tcPr>
            <w:tcW w:w="1105" w:type="dxa"/>
          </w:tcPr>
          <w:p>
            <w:pPr>
              <w:pStyle w:val="0"/>
            </w:pPr>
            <w:r>
              <w:rPr>
                <w:sz w:val="20"/>
              </w:rPr>
              <w:t xml:space="preserve">-</w:t>
            </w:r>
          </w:p>
        </w:tc>
        <w:tc>
          <w:tcPr>
            <w:tcW w:w="1105" w:type="dxa"/>
          </w:tcPr>
          <w:p>
            <w:pPr>
              <w:pStyle w:val="0"/>
            </w:pPr>
            <w:r>
              <w:rPr>
                <w:sz w:val="20"/>
              </w:rPr>
              <w:t xml:space="preserve">-</w:t>
            </w:r>
          </w:p>
        </w:tc>
        <w:tc>
          <w:tcPr>
            <w:tcW w:w="1105" w:type="dxa"/>
          </w:tcPr>
          <w:p>
            <w:pPr>
              <w:pStyle w:val="0"/>
            </w:pPr>
            <w:r>
              <w:rPr>
                <w:sz w:val="20"/>
              </w:rPr>
              <w:t xml:space="preserve">11</w:t>
            </w:r>
          </w:p>
        </w:tc>
        <w:tc>
          <w:tcPr>
            <w:tcW w:w="1105" w:type="dxa"/>
          </w:tcPr>
          <w:p>
            <w:pPr>
              <w:pStyle w:val="0"/>
            </w:pPr>
            <w:r>
              <w:rPr>
                <w:sz w:val="20"/>
              </w:rPr>
              <w:t xml:space="preserve">7</w:t>
            </w:r>
          </w:p>
        </w:tc>
      </w:tr>
    </w:tbl>
    <w:p>
      <w:pPr>
        <w:pStyle w:val="0"/>
        <w:jc w:val="both"/>
      </w:pPr>
      <w:r>
        <w:rPr>
          <w:sz w:val="20"/>
        </w:rPr>
      </w:r>
    </w:p>
    <w:p>
      <w:pPr>
        <w:pStyle w:val="2"/>
        <w:outlineLvl w:val="2"/>
        <w:jc w:val="center"/>
      </w:pPr>
      <w:r>
        <w:rPr>
          <w:sz w:val="20"/>
        </w:rPr>
        <w:t xml:space="preserve">5.8. Распределение субсидий (иных межбюджетных трансфертов)</w:t>
      </w:r>
    </w:p>
    <w:p>
      <w:pPr>
        <w:pStyle w:val="2"/>
        <w:jc w:val="center"/>
      </w:pPr>
      <w:r>
        <w:rPr>
          <w:sz w:val="20"/>
        </w:rPr>
        <w:t xml:space="preserve">из бюджета Московской области бюджетам муниципальных</w:t>
      </w:r>
    </w:p>
    <w:p>
      <w:pPr>
        <w:pStyle w:val="2"/>
        <w:jc w:val="center"/>
      </w:pPr>
      <w:r>
        <w:rPr>
          <w:sz w:val="20"/>
        </w:rPr>
        <w:t xml:space="preserve">образований Московской области, в том числе распределяемых</w:t>
      </w:r>
    </w:p>
    <w:p>
      <w:pPr>
        <w:pStyle w:val="2"/>
        <w:jc w:val="center"/>
      </w:pPr>
      <w:r>
        <w:rPr>
          <w:sz w:val="20"/>
        </w:rPr>
        <w:t xml:space="preserve">на конкурсной основе</w:t>
      </w:r>
    </w:p>
    <w:p>
      <w:pPr>
        <w:pStyle w:val="0"/>
        <w:jc w:val="center"/>
      </w:pPr>
      <w:r>
        <w:rPr>
          <w:sz w:val="20"/>
        </w:rPr>
      </w:r>
    </w:p>
    <w:p>
      <w:pPr>
        <w:pStyle w:val="0"/>
        <w:jc w:val="center"/>
      </w:pPr>
      <w:r>
        <w:rPr>
          <w:sz w:val="20"/>
        </w:rPr>
        <w:t xml:space="preserve">(в ред. </w:t>
      </w:r>
      <w:hyperlink w:history="0" r:id="rId560"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3"/>
        <w:jc w:val="center"/>
      </w:pPr>
      <w:r>
        <w:rPr>
          <w:sz w:val="20"/>
        </w:rPr>
        <w:t xml:space="preserve">5.8.1. Распределение субсидий из бюджета Московской области</w:t>
      </w:r>
    </w:p>
    <w:p>
      <w:pPr>
        <w:pStyle w:val="2"/>
        <w:jc w:val="center"/>
      </w:pPr>
      <w:r>
        <w:rPr>
          <w:sz w:val="20"/>
        </w:rPr>
        <w:t xml:space="preserve">бюджетам муниципальных образований Московской области,</w:t>
      </w:r>
    </w:p>
    <w:p>
      <w:pPr>
        <w:pStyle w:val="2"/>
        <w:jc w:val="center"/>
      </w:pPr>
      <w:r>
        <w:rPr>
          <w:sz w:val="20"/>
        </w:rPr>
        <w:t xml:space="preserve">предусмотренных мероприятием 03.01 Подпрограммы 1</w:t>
      </w:r>
    </w:p>
    <w:p>
      <w:pPr>
        <w:pStyle w:val="2"/>
        <w:jc w:val="center"/>
      </w:pPr>
      <w:r>
        <w:rPr>
          <w:sz w:val="20"/>
        </w:rPr>
        <w:t xml:space="preserve">на осуществление мероприятий по реализации стратегий</w:t>
      </w:r>
    </w:p>
    <w:p>
      <w:pPr>
        <w:pStyle w:val="2"/>
        <w:jc w:val="center"/>
      </w:pPr>
      <w:r>
        <w:rPr>
          <w:sz w:val="20"/>
        </w:rPr>
        <w:t xml:space="preserve">социально-экономического развития наукоградов</w:t>
      </w:r>
    </w:p>
    <w:p>
      <w:pPr>
        <w:pStyle w:val="2"/>
        <w:jc w:val="center"/>
      </w:pPr>
      <w:r>
        <w:rPr>
          <w:sz w:val="20"/>
        </w:rPr>
        <w:t xml:space="preserve">Российской Федерации, способствующих развитию</w:t>
      </w:r>
    </w:p>
    <w:p>
      <w:pPr>
        <w:pStyle w:val="2"/>
        <w:jc w:val="center"/>
      </w:pPr>
      <w:r>
        <w:rPr>
          <w:sz w:val="20"/>
        </w:rPr>
        <w:t xml:space="preserve">научно-производственного комплекса наукоградов</w:t>
      </w:r>
    </w:p>
    <w:p>
      <w:pPr>
        <w:pStyle w:val="2"/>
        <w:jc w:val="center"/>
      </w:pPr>
      <w:r>
        <w:rPr>
          <w:sz w:val="20"/>
        </w:rPr>
        <w:t xml:space="preserve">Российской Федерации, а также сохранению и развитию</w:t>
      </w:r>
    </w:p>
    <w:p>
      <w:pPr>
        <w:pStyle w:val="2"/>
        <w:jc w:val="center"/>
      </w:pPr>
      <w:r>
        <w:rPr>
          <w:sz w:val="20"/>
        </w:rPr>
        <w:t xml:space="preserve">инфраструктуры наукоградов 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35"/>
        <w:gridCol w:w="907"/>
        <w:gridCol w:w="1346"/>
        <w:gridCol w:w="1346"/>
        <w:gridCol w:w="1346"/>
        <w:gridCol w:w="1346"/>
        <w:gridCol w:w="850"/>
        <w:gridCol w:w="1310"/>
        <w:gridCol w:w="1361"/>
        <w:gridCol w:w="1361"/>
        <w:gridCol w:w="1247"/>
        <w:gridCol w:w="850"/>
        <w:gridCol w:w="1361"/>
        <w:gridCol w:w="1304"/>
        <w:gridCol w:w="1304"/>
        <w:gridCol w:w="1203"/>
        <w:gridCol w:w="794"/>
        <w:gridCol w:w="1361"/>
        <w:gridCol w:w="1247"/>
        <w:gridCol w:w="1304"/>
        <w:gridCol w:w="1247"/>
      </w:tblGrid>
      <w:tr>
        <w:tc>
          <w:tcPr>
            <w:tcW w:w="680"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Наименование муниципального образования Московской области</w:t>
            </w:r>
          </w:p>
        </w:tc>
        <w:tc>
          <w:tcPr>
            <w:gridSpan w:val="5"/>
            <w:tcW w:w="6291" w:type="dxa"/>
          </w:tcPr>
          <w:p>
            <w:pPr>
              <w:pStyle w:val="0"/>
              <w:jc w:val="center"/>
            </w:pPr>
            <w:r>
              <w:rPr>
                <w:sz w:val="20"/>
              </w:rPr>
              <w:t xml:space="preserve">2024 год</w:t>
            </w:r>
          </w:p>
        </w:tc>
        <w:tc>
          <w:tcPr>
            <w:gridSpan w:val="5"/>
            <w:tcW w:w="6129" w:type="dxa"/>
          </w:tcPr>
          <w:p>
            <w:pPr>
              <w:pStyle w:val="0"/>
              <w:jc w:val="center"/>
            </w:pPr>
            <w:r>
              <w:rPr>
                <w:sz w:val="20"/>
              </w:rPr>
              <w:t xml:space="preserve">2025 год</w:t>
            </w:r>
          </w:p>
        </w:tc>
        <w:tc>
          <w:tcPr>
            <w:gridSpan w:val="5"/>
            <w:tcW w:w="6022" w:type="dxa"/>
          </w:tcPr>
          <w:p>
            <w:pPr>
              <w:pStyle w:val="0"/>
              <w:jc w:val="center"/>
            </w:pPr>
            <w:r>
              <w:rPr>
                <w:sz w:val="20"/>
              </w:rPr>
              <w:t xml:space="preserve">2026 год</w:t>
            </w:r>
          </w:p>
        </w:tc>
        <w:tc>
          <w:tcPr>
            <w:gridSpan w:val="5"/>
            <w:tcW w:w="5953" w:type="dxa"/>
          </w:tcPr>
          <w:p>
            <w:pPr>
              <w:pStyle w:val="0"/>
              <w:jc w:val="center"/>
            </w:pPr>
            <w:r>
              <w:rPr>
                <w:sz w:val="20"/>
              </w:rPr>
              <w:t xml:space="preserve">2027 год</w:t>
            </w:r>
          </w:p>
        </w:tc>
      </w:tr>
      <w:tr>
        <w:tc>
          <w:tcPr>
            <w:vMerge w:val="continue"/>
          </w:tcPr>
          <w:p/>
        </w:tc>
        <w:tc>
          <w:tcPr>
            <w:vMerge w:val="continue"/>
          </w:tcPr>
          <w:p/>
        </w:tc>
        <w:tc>
          <w:tcPr>
            <w:tcW w:w="907" w:type="dxa"/>
            <w:vMerge w:val="restart"/>
          </w:tcPr>
          <w:p>
            <w:pPr>
              <w:pStyle w:val="0"/>
              <w:jc w:val="center"/>
            </w:pPr>
            <w:r>
              <w:rPr>
                <w:sz w:val="20"/>
              </w:rPr>
              <w:t xml:space="preserve">Результат 2 (единиц)</w:t>
            </w:r>
          </w:p>
        </w:tc>
        <w:tc>
          <w:tcPr>
            <w:gridSpan w:val="4"/>
            <w:tcW w:w="5384" w:type="dxa"/>
          </w:tcPr>
          <w:p>
            <w:pPr>
              <w:pStyle w:val="0"/>
              <w:jc w:val="center"/>
            </w:pPr>
            <w:r>
              <w:rPr>
                <w:sz w:val="20"/>
              </w:rPr>
              <w:t xml:space="preserve">Источники финансирования (тыс. рублей)</w:t>
            </w:r>
          </w:p>
        </w:tc>
        <w:tc>
          <w:tcPr>
            <w:tcW w:w="850" w:type="dxa"/>
            <w:vMerge w:val="restart"/>
          </w:tcPr>
          <w:p>
            <w:pPr>
              <w:pStyle w:val="0"/>
              <w:jc w:val="center"/>
            </w:pPr>
            <w:r>
              <w:rPr>
                <w:sz w:val="20"/>
              </w:rPr>
              <w:t xml:space="preserve">Результат 2 (единиц)</w:t>
            </w:r>
          </w:p>
        </w:tc>
        <w:tc>
          <w:tcPr>
            <w:gridSpan w:val="4"/>
            <w:tcW w:w="5279" w:type="dxa"/>
          </w:tcPr>
          <w:p>
            <w:pPr>
              <w:pStyle w:val="0"/>
              <w:jc w:val="center"/>
            </w:pPr>
            <w:r>
              <w:rPr>
                <w:sz w:val="20"/>
              </w:rPr>
              <w:t xml:space="preserve">Источники финансирования (тыс. рублей)</w:t>
            </w:r>
          </w:p>
        </w:tc>
        <w:tc>
          <w:tcPr>
            <w:tcW w:w="850" w:type="dxa"/>
            <w:vMerge w:val="restart"/>
          </w:tcPr>
          <w:p>
            <w:pPr>
              <w:pStyle w:val="0"/>
              <w:jc w:val="center"/>
            </w:pPr>
            <w:r>
              <w:rPr>
                <w:sz w:val="20"/>
              </w:rPr>
              <w:t xml:space="preserve">Результат 2 (единиц)</w:t>
            </w:r>
          </w:p>
        </w:tc>
        <w:tc>
          <w:tcPr>
            <w:gridSpan w:val="4"/>
            <w:tcW w:w="5172" w:type="dxa"/>
          </w:tcPr>
          <w:p>
            <w:pPr>
              <w:pStyle w:val="0"/>
              <w:jc w:val="center"/>
            </w:pPr>
            <w:r>
              <w:rPr>
                <w:sz w:val="20"/>
              </w:rPr>
              <w:t xml:space="preserve">Источники финансирования (тыс. рублей)</w:t>
            </w:r>
          </w:p>
        </w:tc>
        <w:tc>
          <w:tcPr>
            <w:tcW w:w="794" w:type="dxa"/>
            <w:vMerge w:val="restart"/>
          </w:tcPr>
          <w:p>
            <w:pPr>
              <w:pStyle w:val="0"/>
              <w:jc w:val="center"/>
            </w:pPr>
            <w:r>
              <w:rPr>
                <w:sz w:val="20"/>
              </w:rPr>
              <w:t xml:space="preserve">Результат 2 (единиц)</w:t>
            </w:r>
          </w:p>
        </w:tc>
        <w:tc>
          <w:tcPr>
            <w:gridSpan w:val="4"/>
            <w:tcW w:w="5159" w:type="dxa"/>
          </w:tcPr>
          <w:p>
            <w:pPr>
              <w:pStyle w:val="0"/>
              <w:jc w:val="center"/>
            </w:pPr>
            <w:r>
              <w:rPr>
                <w:sz w:val="20"/>
              </w:rPr>
              <w:t xml:space="preserve">Источники финансирования (тыс. рублей)</w:t>
            </w:r>
          </w:p>
        </w:tc>
      </w:tr>
      <w:tr>
        <w:tc>
          <w:tcPr>
            <w:vMerge w:val="continue"/>
          </w:tcPr>
          <w:p/>
        </w:tc>
        <w:tc>
          <w:tcPr>
            <w:vMerge w:val="continue"/>
          </w:tcPr>
          <w:p/>
        </w:tc>
        <w:tc>
          <w:tcPr>
            <w:vMerge w:val="continue"/>
          </w:tcPr>
          <w:p/>
        </w:tc>
        <w:tc>
          <w:tcPr>
            <w:tcW w:w="1346" w:type="dxa"/>
          </w:tcPr>
          <w:p>
            <w:pPr>
              <w:pStyle w:val="0"/>
              <w:jc w:val="center"/>
            </w:pPr>
            <w:r>
              <w:rPr>
                <w:sz w:val="20"/>
              </w:rPr>
              <w:t xml:space="preserve">Всего</w:t>
            </w:r>
          </w:p>
        </w:tc>
        <w:tc>
          <w:tcPr>
            <w:tcW w:w="1346" w:type="dxa"/>
          </w:tcPr>
          <w:p>
            <w:pPr>
              <w:pStyle w:val="0"/>
              <w:jc w:val="center"/>
            </w:pPr>
            <w:r>
              <w:rPr>
                <w:sz w:val="20"/>
              </w:rPr>
              <w:t xml:space="preserve">Бюджет Московской области</w:t>
            </w:r>
          </w:p>
        </w:tc>
        <w:tc>
          <w:tcPr>
            <w:tcW w:w="1346" w:type="dxa"/>
          </w:tcPr>
          <w:p>
            <w:pPr>
              <w:pStyle w:val="0"/>
              <w:jc w:val="center"/>
            </w:pPr>
            <w:r>
              <w:rPr>
                <w:sz w:val="20"/>
              </w:rPr>
              <w:t xml:space="preserve">Федеральный бюджет</w:t>
            </w:r>
          </w:p>
        </w:tc>
        <w:tc>
          <w:tcPr>
            <w:tcW w:w="1346" w:type="dxa"/>
          </w:tcPr>
          <w:p>
            <w:pPr>
              <w:pStyle w:val="0"/>
              <w:jc w:val="center"/>
            </w:pPr>
            <w:r>
              <w:rPr>
                <w:sz w:val="20"/>
              </w:rPr>
              <w:t xml:space="preserve">Бюджет муниципального образования</w:t>
            </w:r>
          </w:p>
        </w:tc>
        <w:tc>
          <w:tcPr>
            <w:vMerge w:val="continue"/>
          </w:tcPr>
          <w:p/>
        </w:tc>
        <w:tc>
          <w:tcPr>
            <w:tcW w:w="1310" w:type="dxa"/>
          </w:tcPr>
          <w:p>
            <w:pPr>
              <w:pStyle w:val="0"/>
              <w:jc w:val="center"/>
            </w:pPr>
            <w:r>
              <w:rPr>
                <w:sz w:val="20"/>
              </w:rPr>
              <w:t xml:space="preserve">Всего</w:t>
            </w:r>
          </w:p>
        </w:tc>
        <w:tc>
          <w:tcPr>
            <w:tcW w:w="1361" w:type="dxa"/>
          </w:tcPr>
          <w:p>
            <w:pPr>
              <w:pStyle w:val="0"/>
              <w:jc w:val="center"/>
            </w:pPr>
            <w:r>
              <w:rPr>
                <w:sz w:val="20"/>
              </w:rPr>
              <w:t xml:space="preserve">Бюджет Московской области</w:t>
            </w:r>
          </w:p>
        </w:tc>
        <w:tc>
          <w:tcPr>
            <w:tcW w:w="1361" w:type="dxa"/>
          </w:tcPr>
          <w:p>
            <w:pPr>
              <w:pStyle w:val="0"/>
              <w:jc w:val="center"/>
            </w:pPr>
            <w:r>
              <w:rPr>
                <w:sz w:val="20"/>
              </w:rPr>
              <w:t xml:space="preserve">Федеральный бюджет</w:t>
            </w:r>
          </w:p>
        </w:tc>
        <w:tc>
          <w:tcPr>
            <w:tcW w:w="1247" w:type="dxa"/>
          </w:tcPr>
          <w:p>
            <w:pPr>
              <w:pStyle w:val="0"/>
              <w:jc w:val="center"/>
            </w:pPr>
            <w:r>
              <w:rPr>
                <w:sz w:val="20"/>
              </w:rPr>
              <w:t xml:space="preserve">Бюджет муниципального образования</w:t>
            </w:r>
          </w:p>
        </w:tc>
        <w:tc>
          <w:tcPr>
            <w:vMerge w:val="continue"/>
          </w:tcPr>
          <w:p/>
        </w:tc>
        <w:tc>
          <w:tcPr>
            <w:tcW w:w="1361" w:type="dxa"/>
          </w:tcPr>
          <w:p>
            <w:pPr>
              <w:pStyle w:val="0"/>
              <w:jc w:val="center"/>
            </w:pPr>
            <w:r>
              <w:rPr>
                <w:sz w:val="20"/>
              </w:rPr>
              <w:t xml:space="preserve">Всего</w:t>
            </w:r>
          </w:p>
        </w:tc>
        <w:tc>
          <w:tcPr>
            <w:tcW w:w="1304" w:type="dxa"/>
          </w:tcPr>
          <w:p>
            <w:pPr>
              <w:pStyle w:val="0"/>
              <w:jc w:val="center"/>
            </w:pPr>
            <w:r>
              <w:rPr>
                <w:sz w:val="20"/>
              </w:rPr>
              <w:t xml:space="preserve">Бюджет Московской области</w:t>
            </w:r>
          </w:p>
        </w:tc>
        <w:tc>
          <w:tcPr>
            <w:tcW w:w="1304" w:type="dxa"/>
          </w:tcPr>
          <w:p>
            <w:pPr>
              <w:pStyle w:val="0"/>
              <w:jc w:val="center"/>
            </w:pPr>
            <w:r>
              <w:rPr>
                <w:sz w:val="20"/>
              </w:rPr>
              <w:t xml:space="preserve">Федеральный бюджет</w:t>
            </w:r>
          </w:p>
        </w:tc>
        <w:tc>
          <w:tcPr>
            <w:tcW w:w="1203" w:type="dxa"/>
          </w:tcPr>
          <w:p>
            <w:pPr>
              <w:pStyle w:val="0"/>
              <w:jc w:val="center"/>
            </w:pPr>
            <w:r>
              <w:rPr>
                <w:sz w:val="20"/>
              </w:rPr>
              <w:t xml:space="preserve">Бюджет муниципального образования</w:t>
            </w:r>
          </w:p>
        </w:tc>
        <w:tc>
          <w:tcPr>
            <w:vMerge w:val="continue"/>
          </w:tcPr>
          <w:p/>
        </w:tc>
        <w:tc>
          <w:tcPr>
            <w:tcW w:w="1361" w:type="dxa"/>
          </w:tcPr>
          <w:p>
            <w:pPr>
              <w:pStyle w:val="0"/>
              <w:jc w:val="center"/>
            </w:pPr>
            <w:r>
              <w:rPr>
                <w:sz w:val="20"/>
              </w:rPr>
              <w:t xml:space="preserve">Всего</w:t>
            </w:r>
          </w:p>
        </w:tc>
        <w:tc>
          <w:tcPr>
            <w:tcW w:w="1247" w:type="dxa"/>
          </w:tcPr>
          <w:p>
            <w:pPr>
              <w:pStyle w:val="0"/>
              <w:jc w:val="center"/>
            </w:pPr>
            <w:r>
              <w:rPr>
                <w:sz w:val="20"/>
              </w:rPr>
              <w:t xml:space="preserve">Бюджет Московской области</w:t>
            </w:r>
          </w:p>
        </w:tc>
        <w:tc>
          <w:tcPr>
            <w:tcW w:w="1304" w:type="dxa"/>
          </w:tcPr>
          <w:p>
            <w:pPr>
              <w:pStyle w:val="0"/>
              <w:jc w:val="center"/>
            </w:pPr>
            <w:r>
              <w:rPr>
                <w:sz w:val="20"/>
              </w:rPr>
              <w:t xml:space="preserve">Федеральный бюджет</w:t>
            </w:r>
          </w:p>
        </w:tc>
        <w:tc>
          <w:tcPr>
            <w:tcW w:w="1247" w:type="dxa"/>
          </w:tcPr>
          <w:p>
            <w:pPr>
              <w:pStyle w:val="0"/>
              <w:jc w:val="center"/>
            </w:pPr>
            <w:r>
              <w:rPr>
                <w:sz w:val="20"/>
              </w:rPr>
              <w:t xml:space="preserve">Бюджет муниципального образования</w:t>
            </w:r>
          </w:p>
        </w:tc>
      </w:tr>
      <w:tr>
        <w:tc>
          <w:tcPr>
            <w:tcW w:w="680" w:type="dxa"/>
          </w:tcPr>
          <w:p>
            <w:pPr>
              <w:pStyle w:val="0"/>
              <w:jc w:val="center"/>
            </w:pPr>
            <w:r>
              <w:rPr>
                <w:sz w:val="20"/>
              </w:rPr>
              <w:t xml:space="preserve">1</w:t>
            </w:r>
          </w:p>
        </w:tc>
        <w:tc>
          <w:tcPr>
            <w:tcW w:w="2835" w:type="dxa"/>
          </w:tcPr>
          <w:p>
            <w:pPr>
              <w:pStyle w:val="0"/>
              <w:jc w:val="center"/>
            </w:pPr>
            <w:r>
              <w:rPr>
                <w:sz w:val="20"/>
              </w:rPr>
              <w:t xml:space="preserve">2</w:t>
            </w:r>
          </w:p>
        </w:tc>
        <w:tc>
          <w:tcPr>
            <w:tcW w:w="907" w:type="dxa"/>
          </w:tcPr>
          <w:p>
            <w:pPr>
              <w:pStyle w:val="0"/>
              <w:jc w:val="center"/>
            </w:pPr>
            <w:r>
              <w:rPr>
                <w:sz w:val="20"/>
              </w:rPr>
              <w:t xml:space="preserve">3</w:t>
            </w:r>
          </w:p>
        </w:tc>
        <w:tc>
          <w:tcPr>
            <w:tcW w:w="1346" w:type="dxa"/>
          </w:tcPr>
          <w:p>
            <w:pPr>
              <w:pStyle w:val="0"/>
              <w:jc w:val="center"/>
            </w:pPr>
            <w:r>
              <w:rPr>
                <w:sz w:val="20"/>
              </w:rPr>
              <w:t xml:space="preserve">4</w:t>
            </w:r>
          </w:p>
        </w:tc>
        <w:tc>
          <w:tcPr>
            <w:tcW w:w="1346" w:type="dxa"/>
          </w:tcPr>
          <w:p>
            <w:pPr>
              <w:pStyle w:val="0"/>
              <w:jc w:val="center"/>
            </w:pPr>
            <w:r>
              <w:rPr>
                <w:sz w:val="20"/>
              </w:rPr>
              <w:t xml:space="preserve">5</w:t>
            </w:r>
          </w:p>
        </w:tc>
        <w:tc>
          <w:tcPr>
            <w:tcW w:w="1346" w:type="dxa"/>
          </w:tcPr>
          <w:p>
            <w:pPr>
              <w:pStyle w:val="0"/>
              <w:jc w:val="center"/>
            </w:pPr>
            <w:r>
              <w:rPr>
                <w:sz w:val="20"/>
              </w:rPr>
              <w:t xml:space="preserve">6</w:t>
            </w:r>
          </w:p>
        </w:tc>
        <w:tc>
          <w:tcPr>
            <w:tcW w:w="1346" w:type="dxa"/>
          </w:tcPr>
          <w:p>
            <w:pPr>
              <w:pStyle w:val="0"/>
              <w:jc w:val="center"/>
            </w:pPr>
            <w:r>
              <w:rPr>
                <w:sz w:val="20"/>
              </w:rPr>
              <w:t xml:space="preserve">7</w:t>
            </w:r>
          </w:p>
        </w:tc>
        <w:tc>
          <w:tcPr>
            <w:tcW w:w="850" w:type="dxa"/>
          </w:tcPr>
          <w:p>
            <w:pPr>
              <w:pStyle w:val="0"/>
              <w:jc w:val="center"/>
            </w:pPr>
            <w:r>
              <w:rPr>
                <w:sz w:val="20"/>
              </w:rPr>
              <w:t xml:space="preserve">8</w:t>
            </w:r>
          </w:p>
        </w:tc>
        <w:tc>
          <w:tcPr>
            <w:tcW w:w="1310" w:type="dxa"/>
          </w:tcPr>
          <w:p>
            <w:pPr>
              <w:pStyle w:val="0"/>
              <w:jc w:val="center"/>
            </w:pPr>
            <w:r>
              <w:rPr>
                <w:sz w:val="20"/>
              </w:rPr>
              <w:t xml:space="preserve">9</w:t>
            </w:r>
          </w:p>
        </w:tc>
        <w:tc>
          <w:tcPr>
            <w:tcW w:w="1361" w:type="dxa"/>
          </w:tcPr>
          <w:p>
            <w:pPr>
              <w:pStyle w:val="0"/>
              <w:jc w:val="center"/>
            </w:pPr>
            <w:r>
              <w:rPr>
                <w:sz w:val="20"/>
              </w:rPr>
              <w:t xml:space="preserve">10</w:t>
            </w:r>
          </w:p>
        </w:tc>
        <w:tc>
          <w:tcPr>
            <w:tcW w:w="1361" w:type="dxa"/>
          </w:tcPr>
          <w:p>
            <w:pPr>
              <w:pStyle w:val="0"/>
              <w:jc w:val="center"/>
            </w:pPr>
            <w:r>
              <w:rPr>
                <w:sz w:val="20"/>
              </w:rPr>
              <w:t xml:space="preserve">11</w:t>
            </w:r>
          </w:p>
        </w:tc>
        <w:tc>
          <w:tcPr>
            <w:tcW w:w="1247" w:type="dxa"/>
          </w:tcPr>
          <w:p>
            <w:pPr>
              <w:pStyle w:val="0"/>
              <w:jc w:val="center"/>
            </w:pPr>
            <w:r>
              <w:rPr>
                <w:sz w:val="20"/>
              </w:rPr>
              <w:t xml:space="preserve">12</w:t>
            </w:r>
          </w:p>
        </w:tc>
        <w:tc>
          <w:tcPr>
            <w:tcW w:w="850" w:type="dxa"/>
          </w:tcPr>
          <w:p>
            <w:pPr>
              <w:pStyle w:val="0"/>
              <w:jc w:val="center"/>
            </w:pPr>
            <w:r>
              <w:rPr>
                <w:sz w:val="20"/>
              </w:rPr>
              <w:t xml:space="preserve">13</w:t>
            </w:r>
          </w:p>
        </w:tc>
        <w:tc>
          <w:tcPr>
            <w:tcW w:w="1361" w:type="dxa"/>
          </w:tcPr>
          <w:p>
            <w:pPr>
              <w:pStyle w:val="0"/>
              <w:jc w:val="center"/>
            </w:pPr>
            <w:r>
              <w:rPr>
                <w:sz w:val="20"/>
              </w:rPr>
              <w:t xml:space="preserve">14</w:t>
            </w:r>
          </w:p>
        </w:tc>
        <w:tc>
          <w:tcPr>
            <w:tcW w:w="1304" w:type="dxa"/>
          </w:tcPr>
          <w:p>
            <w:pPr>
              <w:pStyle w:val="0"/>
              <w:jc w:val="center"/>
            </w:pPr>
            <w:r>
              <w:rPr>
                <w:sz w:val="20"/>
              </w:rPr>
              <w:t xml:space="preserve">15</w:t>
            </w:r>
          </w:p>
        </w:tc>
        <w:tc>
          <w:tcPr>
            <w:tcW w:w="1304" w:type="dxa"/>
          </w:tcPr>
          <w:p>
            <w:pPr>
              <w:pStyle w:val="0"/>
              <w:jc w:val="center"/>
            </w:pPr>
            <w:r>
              <w:rPr>
                <w:sz w:val="20"/>
              </w:rPr>
              <w:t xml:space="preserve">16</w:t>
            </w:r>
          </w:p>
        </w:tc>
        <w:tc>
          <w:tcPr>
            <w:tcW w:w="1203" w:type="dxa"/>
          </w:tcPr>
          <w:p>
            <w:pPr>
              <w:pStyle w:val="0"/>
              <w:jc w:val="center"/>
            </w:pPr>
            <w:r>
              <w:rPr>
                <w:sz w:val="20"/>
              </w:rPr>
              <w:t xml:space="preserve">17</w:t>
            </w:r>
          </w:p>
        </w:tc>
        <w:tc>
          <w:tcPr>
            <w:tcW w:w="794" w:type="dxa"/>
          </w:tcPr>
          <w:p>
            <w:pPr>
              <w:pStyle w:val="0"/>
              <w:jc w:val="center"/>
            </w:pPr>
            <w:r>
              <w:rPr>
                <w:sz w:val="20"/>
              </w:rPr>
              <w:t xml:space="preserve">18</w:t>
            </w:r>
          </w:p>
        </w:tc>
        <w:tc>
          <w:tcPr>
            <w:tcW w:w="1361" w:type="dxa"/>
          </w:tcPr>
          <w:p>
            <w:pPr>
              <w:pStyle w:val="0"/>
              <w:jc w:val="center"/>
            </w:pPr>
            <w:r>
              <w:rPr>
                <w:sz w:val="20"/>
              </w:rPr>
              <w:t xml:space="preserve">19</w:t>
            </w:r>
          </w:p>
        </w:tc>
        <w:tc>
          <w:tcPr>
            <w:tcW w:w="1247" w:type="dxa"/>
          </w:tcPr>
          <w:p>
            <w:pPr>
              <w:pStyle w:val="0"/>
              <w:jc w:val="center"/>
            </w:pPr>
            <w:r>
              <w:rPr>
                <w:sz w:val="20"/>
              </w:rPr>
              <w:t xml:space="preserve">20</w:t>
            </w:r>
          </w:p>
        </w:tc>
        <w:tc>
          <w:tcPr>
            <w:tcW w:w="1304" w:type="dxa"/>
          </w:tcPr>
          <w:p>
            <w:pPr>
              <w:pStyle w:val="0"/>
              <w:jc w:val="center"/>
            </w:pPr>
            <w:r>
              <w:rPr>
                <w:sz w:val="20"/>
              </w:rPr>
              <w:t xml:space="preserve">21</w:t>
            </w:r>
          </w:p>
        </w:tc>
        <w:tc>
          <w:tcPr>
            <w:tcW w:w="1247" w:type="dxa"/>
          </w:tcPr>
          <w:p>
            <w:pPr>
              <w:pStyle w:val="0"/>
              <w:jc w:val="center"/>
            </w:pPr>
            <w:r>
              <w:rPr>
                <w:sz w:val="20"/>
              </w:rPr>
              <w:t xml:space="preserve">22</w:t>
            </w:r>
          </w:p>
        </w:tc>
      </w:tr>
      <w:tr>
        <w:tc>
          <w:tcPr>
            <w:tcW w:w="680" w:type="dxa"/>
          </w:tcPr>
          <w:p>
            <w:pPr>
              <w:pStyle w:val="0"/>
            </w:pPr>
            <w:r>
              <w:rPr>
                <w:sz w:val="20"/>
              </w:rPr>
              <w:t xml:space="preserve">1</w:t>
            </w:r>
          </w:p>
        </w:tc>
        <w:tc>
          <w:tcPr>
            <w:tcW w:w="2835" w:type="dxa"/>
          </w:tcPr>
          <w:p>
            <w:pPr>
              <w:pStyle w:val="0"/>
            </w:pPr>
            <w:r>
              <w:rPr>
                <w:sz w:val="20"/>
              </w:rPr>
              <w:t xml:space="preserve">Городской округ Дубна</w:t>
            </w:r>
          </w:p>
        </w:tc>
        <w:tc>
          <w:tcPr>
            <w:tcW w:w="907" w:type="dxa"/>
          </w:tcPr>
          <w:p>
            <w:pPr>
              <w:pStyle w:val="0"/>
            </w:pPr>
            <w:r>
              <w:rPr>
                <w:sz w:val="20"/>
              </w:rPr>
              <w:t xml:space="preserve">1</w:t>
            </w:r>
          </w:p>
        </w:tc>
        <w:tc>
          <w:tcPr>
            <w:tcW w:w="1346" w:type="dxa"/>
          </w:tcPr>
          <w:p>
            <w:pPr>
              <w:pStyle w:val="0"/>
            </w:pPr>
            <w:r>
              <w:rPr>
                <w:sz w:val="20"/>
              </w:rPr>
              <w:t xml:space="preserve">24638,40</w:t>
            </w:r>
          </w:p>
        </w:tc>
        <w:tc>
          <w:tcPr>
            <w:tcW w:w="1346" w:type="dxa"/>
          </w:tcPr>
          <w:p>
            <w:pPr>
              <w:pStyle w:val="0"/>
            </w:pPr>
            <w:r>
              <w:rPr>
                <w:sz w:val="20"/>
              </w:rPr>
              <w:t xml:space="preserve">10003,30</w:t>
            </w:r>
          </w:p>
        </w:tc>
        <w:tc>
          <w:tcPr>
            <w:tcW w:w="1346" w:type="dxa"/>
          </w:tcPr>
          <w:p>
            <w:pPr>
              <w:pStyle w:val="0"/>
            </w:pPr>
            <w:r>
              <w:rPr>
                <w:sz w:val="20"/>
              </w:rPr>
              <w:t xml:space="preserve">12731,40</w:t>
            </w:r>
          </w:p>
        </w:tc>
        <w:tc>
          <w:tcPr>
            <w:tcW w:w="1346" w:type="dxa"/>
          </w:tcPr>
          <w:p>
            <w:pPr>
              <w:pStyle w:val="0"/>
            </w:pPr>
            <w:r>
              <w:rPr>
                <w:sz w:val="20"/>
              </w:rPr>
              <w:t xml:space="preserve">1903,70</w:t>
            </w:r>
          </w:p>
        </w:tc>
        <w:tc>
          <w:tcPr>
            <w:tcW w:w="850" w:type="dxa"/>
          </w:tcPr>
          <w:p>
            <w:pPr>
              <w:pStyle w:val="0"/>
            </w:pPr>
            <w:r>
              <w:rPr>
                <w:sz w:val="20"/>
              </w:rPr>
              <w:t xml:space="preserve">1</w:t>
            </w:r>
          </w:p>
        </w:tc>
        <w:tc>
          <w:tcPr>
            <w:tcW w:w="1310" w:type="dxa"/>
          </w:tcPr>
          <w:p>
            <w:pPr>
              <w:pStyle w:val="0"/>
            </w:pPr>
            <w:r>
              <w:rPr>
                <w:sz w:val="20"/>
              </w:rPr>
              <w:t xml:space="preserve">23747,20</w:t>
            </w:r>
          </w:p>
        </w:tc>
        <w:tc>
          <w:tcPr>
            <w:tcW w:w="1361" w:type="dxa"/>
          </w:tcPr>
          <w:p>
            <w:pPr>
              <w:pStyle w:val="0"/>
            </w:pPr>
            <w:r>
              <w:rPr>
                <w:sz w:val="20"/>
              </w:rPr>
              <w:t xml:space="preserve">9724,20</w:t>
            </w:r>
          </w:p>
        </w:tc>
        <w:tc>
          <w:tcPr>
            <w:tcW w:w="1361" w:type="dxa"/>
          </w:tcPr>
          <w:p>
            <w:pPr>
              <w:pStyle w:val="0"/>
            </w:pPr>
            <w:r>
              <w:rPr>
                <w:sz w:val="20"/>
              </w:rPr>
              <w:t xml:space="preserve">11885,10</w:t>
            </w:r>
          </w:p>
        </w:tc>
        <w:tc>
          <w:tcPr>
            <w:tcW w:w="1247" w:type="dxa"/>
          </w:tcPr>
          <w:p>
            <w:pPr>
              <w:pStyle w:val="0"/>
            </w:pPr>
            <w:r>
              <w:rPr>
                <w:sz w:val="20"/>
              </w:rPr>
              <w:t xml:space="preserve">2137,90</w:t>
            </w:r>
          </w:p>
        </w:tc>
        <w:tc>
          <w:tcPr>
            <w:tcW w:w="850" w:type="dxa"/>
          </w:tcPr>
          <w:p>
            <w:pPr>
              <w:pStyle w:val="0"/>
            </w:pPr>
            <w:r>
              <w:rPr>
                <w:sz w:val="20"/>
              </w:rPr>
              <w:t xml:space="preserve">-</w:t>
            </w:r>
          </w:p>
        </w:tc>
        <w:tc>
          <w:tcPr>
            <w:tcW w:w="1361" w:type="dxa"/>
          </w:tcPr>
          <w:p>
            <w:pPr>
              <w:pStyle w:val="0"/>
            </w:pPr>
            <w:r>
              <w:rPr>
                <w:sz w:val="20"/>
              </w:rPr>
              <w:t xml:space="preserve">-</w:t>
            </w:r>
          </w:p>
        </w:tc>
        <w:tc>
          <w:tcPr>
            <w:tcW w:w="1304" w:type="dxa"/>
          </w:tcPr>
          <w:p>
            <w:pPr>
              <w:pStyle w:val="0"/>
            </w:pPr>
            <w:r>
              <w:rPr>
                <w:sz w:val="20"/>
              </w:rPr>
              <w:t xml:space="preserve">-</w:t>
            </w:r>
          </w:p>
        </w:tc>
        <w:tc>
          <w:tcPr>
            <w:tcW w:w="1304" w:type="dxa"/>
          </w:tcPr>
          <w:p>
            <w:pPr>
              <w:pStyle w:val="0"/>
            </w:pPr>
            <w:r>
              <w:rPr>
                <w:sz w:val="20"/>
              </w:rPr>
              <w:t xml:space="preserve">-</w:t>
            </w:r>
          </w:p>
        </w:tc>
        <w:tc>
          <w:tcPr>
            <w:tcW w:w="1203" w:type="dxa"/>
          </w:tcPr>
          <w:p>
            <w:pPr>
              <w:pStyle w:val="0"/>
            </w:pPr>
            <w:r>
              <w:rPr>
                <w:sz w:val="20"/>
              </w:rPr>
              <w:t xml:space="preserve">-</w:t>
            </w:r>
          </w:p>
        </w:tc>
        <w:tc>
          <w:tcPr>
            <w:tcW w:w="794" w:type="dxa"/>
          </w:tcPr>
          <w:p>
            <w:pPr>
              <w:pStyle w:val="0"/>
            </w:pPr>
            <w:r>
              <w:rPr>
                <w:sz w:val="20"/>
              </w:rPr>
              <w:t xml:space="preserve">-</w:t>
            </w:r>
          </w:p>
        </w:tc>
        <w:tc>
          <w:tcPr>
            <w:tcW w:w="1361" w:type="dxa"/>
          </w:tcPr>
          <w:p>
            <w:pPr>
              <w:pStyle w:val="0"/>
            </w:pPr>
            <w:r>
              <w:rPr>
                <w:sz w:val="20"/>
              </w:rPr>
              <w:t xml:space="preserve">-</w:t>
            </w:r>
          </w:p>
        </w:tc>
        <w:tc>
          <w:tcPr>
            <w:tcW w:w="1247" w:type="dxa"/>
          </w:tcPr>
          <w:p>
            <w:pPr>
              <w:pStyle w:val="0"/>
            </w:pPr>
            <w:r>
              <w:rPr>
                <w:sz w:val="20"/>
              </w:rPr>
              <w:t xml:space="preserve">-</w:t>
            </w:r>
          </w:p>
        </w:tc>
        <w:tc>
          <w:tcPr>
            <w:tcW w:w="1304" w:type="dxa"/>
          </w:tcPr>
          <w:p>
            <w:pPr>
              <w:pStyle w:val="0"/>
            </w:pPr>
            <w:r>
              <w:rPr>
                <w:sz w:val="20"/>
              </w:rPr>
              <w:t xml:space="preserve">-</w:t>
            </w:r>
          </w:p>
        </w:tc>
        <w:tc>
          <w:tcPr>
            <w:tcW w:w="1247" w:type="dxa"/>
          </w:tcPr>
          <w:p>
            <w:pPr>
              <w:pStyle w:val="0"/>
            </w:pPr>
            <w:r>
              <w:rPr>
                <w:sz w:val="20"/>
              </w:rPr>
              <w:t xml:space="preserve">-</w:t>
            </w:r>
          </w:p>
        </w:tc>
      </w:tr>
      <w:tr>
        <w:tc>
          <w:tcPr>
            <w:tcW w:w="680" w:type="dxa"/>
          </w:tcPr>
          <w:p>
            <w:pPr>
              <w:pStyle w:val="0"/>
            </w:pPr>
            <w:r>
              <w:rPr>
                <w:sz w:val="20"/>
              </w:rPr>
              <w:t xml:space="preserve">2</w:t>
            </w:r>
          </w:p>
        </w:tc>
        <w:tc>
          <w:tcPr>
            <w:tcW w:w="2835" w:type="dxa"/>
          </w:tcPr>
          <w:p>
            <w:pPr>
              <w:pStyle w:val="0"/>
            </w:pPr>
            <w:r>
              <w:rPr>
                <w:sz w:val="20"/>
              </w:rPr>
              <w:t xml:space="preserve">Городской округ Жуковский</w:t>
            </w:r>
          </w:p>
        </w:tc>
        <w:tc>
          <w:tcPr>
            <w:tcW w:w="907" w:type="dxa"/>
          </w:tcPr>
          <w:p>
            <w:pPr>
              <w:pStyle w:val="0"/>
            </w:pPr>
            <w:r>
              <w:rPr>
                <w:sz w:val="20"/>
              </w:rPr>
              <w:t xml:space="preserve">2</w:t>
            </w:r>
          </w:p>
        </w:tc>
        <w:tc>
          <w:tcPr>
            <w:tcW w:w="1346" w:type="dxa"/>
          </w:tcPr>
          <w:p>
            <w:pPr>
              <w:pStyle w:val="0"/>
            </w:pPr>
            <w:r>
              <w:rPr>
                <w:sz w:val="20"/>
              </w:rPr>
              <w:t xml:space="preserve">128177,10</w:t>
            </w:r>
          </w:p>
        </w:tc>
        <w:tc>
          <w:tcPr>
            <w:tcW w:w="1346" w:type="dxa"/>
          </w:tcPr>
          <w:p>
            <w:pPr>
              <w:pStyle w:val="0"/>
            </w:pPr>
            <w:r>
              <w:rPr>
                <w:sz w:val="20"/>
              </w:rPr>
              <w:t xml:space="preserve">49987,70</w:t>
            </w:r>
          </w:p>
        </w:tc>
        <w:tc>
          <w:tcPr>
            <w:tcW w:w="1346" w:type="dxa"/>
          </w:tcPr>
          <w:p>
            <w:pPr>
              <w:pStyle w:val="0"/>
            </w:pPr>
            <w:r>
              <w:rPr>
                <w:sz w:val="20"/>
              </w:rPr>
              <w:t xml:space="preserve">63620,70</w:t>
            </w:r>
          </w:p>
        </w:tc>
        <w:tc>
          <w:tcPr>
            <w:tcW w:w="1346" w:type="dxa"/>
          </w:tcPr>
          <w:p>
            <w:pPr>
              <w:pStyle w:val="0"/>
            </w:pPr>
            <w:r>
              <w:rPr>
                <w:sz w:val="20"/>
              </w:rPr>
              <w:t xml:space="preserve">14568,70</w:t>
            </w:r>
          </w:p>
        </w:tc>
        <w:tc>
          <w:tcPr>
            <w:tcW w:w="850" w:type="dxa"/>
          </w:tcPr>
          <w:p>
            <w:pPr>
              <w:pStyle w:val="0"/>
            </w:pPr>
            <w:r>
              <w:rPr>
                <w:sz w:val="20"/>
              </w:rPr>
              <w:t xml:space="preserve">1</w:t>
            </w:r>
          </w:p>
        </w:tc>
        <w:tc>
          <w:tcPr>
            <w:tcW w:w="1310" w:type="dxa"/>
          </w:tcPr>
          <w:p>
            <w:pPr>
              <w:pStyle w:val="0"/>
            </w:pPr>
            <w:r>
              <w:rPr>
                <w:sz w:val="20"/>
              </w:rPr>
              <w:t xml:space="preserve">36805,10</w:t>
            </w:r>
          </w:p>
        </w:tc>
        <w:tc>
          <w:tcPr>
            <w:tcW w:w="1361" w:type="dxa"/>
          </w:tcPr>
          <w:p>
            <w:pPr>
              <w:pStyle w:val="0"/>
            </w:pPr>
            <w:r>
              <w:rPr>
                <w:sz w:val="20"/>
              </w:rPr>
              <w:t xml:space="preserve">14461,60</w:t>
            </w:r>
          </w:p>
        </w:tc>
        <w:tc>
          <w:tcPr>
            <w:tcW w:w="1361" w:type="dxa"/>
          </w:tcPr>
          <w:p>
            <w:pPr>
              <w:pStyle w:val="0"/>
            </w:pPr>
            <w:r>
              <w:rPr>
                <w:sz w:val="20"/>
              </w:rPr>
              <w:t xml:space="preserve">17675,20</w:t>
            </w:r>
          </w:p>
        </w:tc>
        <w:tc>
          <w:tcPr>
            <w:tcW w:w="1247" w:type="dxa"/>
          </w:tcPr>
          <w:p>
            <w:pPr>
              <w:pStyle w:val="0"/>
            </w:pPr>
            <w:r>
              <w:rPr>
                <w:sz w:val="20"/>
              </w:rPr>
              <w:t xml:space="preserve">4668,30</w:t>
            </w:r>
          </w:p>
        </w:tc>
        <w:tc>
          <w:tcPr>
            <w:tcW w:w="850" w:type="dxa"/>
          </w:tcPr>
          <w:p>
            <w:pPr>
              <w:pStyle w:val="0"/>
            </w:pPr>
            <w:r>
              <w:rPr>
                <w:sz w:val="20"/>
              </w:rPr>
              <w:t xml:space="preserve">1</w:t>
            </w:r>
          </w:p>
        </w:tc>
        <w:tc>
          <w:tcPr>
            <w:tcW w:w="1361" w:type="dxa"/>
          </w:tcPr>
          <w:p>
            <w:pPr>
              <w:pStyle w:val="0"/>
            </w:pPr>
            <w:r>
              <w:rPr>
                <w:sz w:val="20"/>
              </w:rPr>
              <w:t xml:space="preserve">49612,30</w:t>
            </w:r>
          </w:p>
        </w:tc>
        <w:tc>
          <w:tcPr>
            <w:tcW w:w="1304" w:type="dxa"/>
          </w:tcPr>
          <w:p>
            <w:pPr>
              <w:pStyle w:val="0"/>
            </w:pPr>
            <w:r>
              <w:rPr>
                <w:sz w:val="20"/>
              </w:rPr>
              <w:t xml:space="preserve">20793,40</w:t>
            </w:r>
          </w:p>
        </w:tc>
        <w:tc>
          <w:tcPr>
            <w:tcW w:w="1304" w:type="dxa"/>
          </w:tcPr>
          <w:p>
            <w:pPr>
              <w:pStyle w:val="0"/>
            </w:pPr>
            <w:r>
              <w:rPr>
                <w:sz w:val="20"/>
              </w:rPr>
              <w:t xml:space="preserve">22526,10</w:t>
            </w:r>
          </w:p>
        </w:tc>
        <w:tc>
          <w:tcPr>
            <w:tcW w:w="1203" w:type="dxa"/>
          </w:tcPr>
          <w:p>
            <w:pPr>
              <w:pStyle w:val="0"/>
            </w:pPr>
            <w:r>
              <w:rPr>
                <w:sz w:val="20"/>
              </w:rPr>
              <w:t xml:space="preserve">6292,80</w:t>
            </w:r>
          </w:p>
        </w:tc>
        <w:tc>
          <w:tcPr>
            <w:tcW w:w="794" w:type="dxa"/>
          </w:tcPr>
          <w:p>
            <w:pPr>
              <w:pStyle w:val="0"/>
            </w:pPr>
            <w:r>
              <w:rPr>
                <w:sz w:val="20"/>
              </w:rPr>
              <w:t xml:space="preserve">1</w:t>
            </w:r>
          </w:p>
        </w:tc>
        <w:tc>
          <w:tcPr>
            <w:tcW w:w="1361" w:type="dxa"/>
          </w:tcPr>
          <w:p>
            <w:pPr>
              <w:pStyle w:val="0"/>
            </w:pPr>
            <w:r>
              <w:rPr>
                <w:sz w:val="20"/>
              </w:rPr>
              <w:t xml:space="preserve">50710,70</w:t>
            </w:r>
          </w:p>
        </w:tc>
        <w:tc>
          <w:tcPr>
            <w:tcW w:w="1247" w:type="dxa"/>
          </w:tcPr>
          <w:p>
            <w:pPr>
              <w:pStyle w:val="0"/>
            </w:pPr>
            <w:r>
              <w:rPr>
                <w:sz w:val="20"/>
              </w:rPr>
              <w:t xml:space="preserve">22139,30</w:t>
            </w:r>
          </w:p>
        </w:tc>
        <w:tc>
          <w:tcPr>
            <w:tcW w:w="1304" w:type="dxa"/>
          </w:tcPr>
          <w:p>
            <w:pPr>
              <w:pStyle w:val="0"/>
            </w:pPr>
            <w:r>
              <w:rPr>
                <w:sz w:val="20"/>
              </w:rPr>
              <w:t xml:space="preserve">22139,30</w:t>
            </w:r>
          </w:p>
        </w:tc>
        <w:tc>
          <w:tcPr>
            <w:tcW w:w="1247" w:type="dxa"/>
          </w:tcPr>
          <w:p>
            <w:pPr>
              <w:pStyle w:val="0"/>
            </w:pPr>
            <w:r>
              <w:rPr>
                <w:sz w:val="20"/>
              </w:rPr>
              <w:t xml:space="preserve">6432,10</w:t>
            </w:r>
          </w:p>
        </w:tc>
      </w:tr>
      <w:tr>
        <w:tc>
          <w:tcPr>
            <w:tcW w:w="680" w:type="dxa"/>
          </w:tcPr>
          <w:p>
            <w:pPr>
              <w:pStyle w:val="0"/>
            </w:pPr>
            <w:r>
              <w:rPr>
                <w:sz w:val="20"/>
              </w:rPr>
              <w:t xml:space="preserve">3</w:t>
            </w:r>
          </w:p>
        </w:tc>
        <w:tc>
          <w:tcPr>
            <w:tcW w:w="2835" w:type="dxa"/>
          </w:tcPr>
          <w:p>
            <w:pPr>
              <w:pStyle w:val="0"/>
            </w:pPr>
            <w:r>
              <w:rPr>
                <w:sz w:val="20"/>
              </w:rPr>
              <w:t xml:space="preserve">Городской округ Королев</w:t>
            </w:r>
          </w:p>
        </w:tc>
        <w:tc>
          <w:tcPr>
            <w:tcW w:w="907" w:type="dxa"/>
          </w:tcPr>
          <w:p>
            <w:pPr>
              <w:pStyle w:val="0"/>
            </w:pPr>
            <w:r>
              <w:rPr>
                <w:sz w:val="20"/>
              </w:rPr>
              <w:t xml:space="preserve">1</w:t>
            </w:r>
          </w:p>
        </w:tc>
        <w:tc>
          <w:tcPr>
            <w:tcW w:w="1346" w:type="dxa"/>
          </w:tcPr>
          <w:p>
            <w:pPr>
              <w:pStyle w:val="0"/>
            </w:pPr>
            <w:r>
              <w:rPr>
                <w:sz w:val="20"/>
              </w:rPr>
              <w:t xml:space="preserve">76555,30</w:t>
            </w:r>
          </w:p>
        </w:tc>
        <w:tc>
          <w:tcPr>
            <w:tcW w:w="1346" w:type="dxa"/>
          </w:tcPr>
          <w:p>
            <w:pPr>
              <w:pStyle w:val="0"/>
            </w:pPr>
            <w:r>
              <w:rPr>
                <w:sz w:val="20"/>
              </w:rPr>
              <w:t xml:space="preserve">30595,00</w:t>
            </w:r>
          </w:p>
        </w:tc>
        <w:tc>
          <w:tcPr>
            <w:tcW w:w="1346" w:type="dxa"/>
          </w:tcPr>
          <w:p>
            <w:pPr>
              <w:pStyle w:val="0"/>
            </w:pPr>
            <w:r>
              <w:rPr>
                <w:sz w:val="20"/>
              </w:rPr>
              <w:t xml:space="preserve">38939,00</w:t>
            </w:r>
          </w:p>
        </w:tc>
        <w:tc>
          <w:tcPr>
            <w:tcW w:w="1346" w:type="dxa"/>
          </w:tcPr>
          <w:p>
            <w:pPr>
              <w:pStyle w:val="0"/>
            </w:pPr>
            <w:r>
              <w:rPr>
                <w:sz w:val="20"/>
              </w:rPr>
              <w:t xml:space="preserve">7021,30</w:t>
            </w:r>
          </w:p>
        </w:tc>
        <w:tc>
          <w:tcPr>
            <w:tcW w:w="850" w:type="dxa"/>
          </w:tcPr>
          <w:p>
            <w:pPr>
              <w:pStyle w:val="0"/>
            </w:pPr>
            <w:r>
              <w:rPr>
                <w:sz w:val="20"/>
              </w:rPr>
              <w:t xml:space="preserve">2</w:t>
            </w:r>
          </w:p>
        </w:tc>
        <w:tc>
          <w:tcPr>
            <w:tcW w:w="1310" w:type="dxa"/>
          </w:tcPr>
          <w:p>
            <w:pPr>
              <w:pStyle w:val="0"/>
            </w:pPr>
            <w:r>
              <w:rPr>
                <w:sz w:val="20"/>
              </w:rPr>
              <w:t xml:space="preserve">134905,60</w:t>
            </w:r>
          </w:p>
        </w:tc>
        <w:tc>
          <w:tcPr>
            <w:tcW w:w="1361" w:type="dxa"/>
          </w:tcPr>
          <w:p>
            <w:pPr>
              <w:pStyle w:val="0"/>
            </w:pPr>
            <w:r>
              <w:rPr>
                <w:sz w:val="20"/>
              </w:rPr>
              <w:t xml:space="preserve">54234,90</w:t>
            </w:r>
          </w:p>
        </w:tc>
        <w:tc>
          <w:tcPr>
            <w:tcW w:w="1361" w:type="dxa"/>
          </w:tcPr>
          <w:p>
            <w:pPr>
              <w:pStyle w:val="0"/>
            </w:pPr>
            <w:r>
              <w:rPr>
                <w:sz w:val="20"/>
              </w:rPr>
              <w:t xml:space="preserve">66287,00</w:t>
            </w:r>
          </w:p>
        </w:tc>
        <w:tc>
          <w:tcPr>
            <w:tcW w:w="1247" w:type="dxa"/>
          </w:tcPr>
          <w:p>
            <w:pPr>
              <w:pStyle w:val="0"/>
            </w:pPr>
            <w:r>
              <w:rPr>
                <w:sz w:val="20"/>
              </w:rPr>
              <w:t xml:space="preserve">14383,70</w:t>
            </w:r>
          </w:p>
        </w:tc>
        <w:tc>
          <w:tcPr>
            <w:tcW w:w="850" w:type="dxa"/>
          </w:tcPr>
          <w:p>
            <w:pPr>
              <w:pStyle w:val="0"/>
            </w:pPr>
            <w:r>
              <w:rPr>
                <w:sz w:val="20"/>
              </w:rPr>
              <w:t xml:space="preserve">-</w:t>
            </w:r>
          </w:p>
        </w:tc>
        <w:tc>
          <w:tcPr>
            <w:tcW w:w="1361" w:type="dxa"/>
          </w:tcPr>
          <w:p>
            <w:pPr>
              <w:pStyle w:val="0"/>
            </w:pPr>
            <w:r>
              <w:rPr>
                <w:sz w:val="20"/>
              </w:rPr>
              <w:t xml:space="preserve">-</w:t>
            </w:r>
          </w:p>
        </w:tc>
        <w:tc>
          <w:tcPr>
            <w:tcW w:w="1304" w:type="dxa"/>
          </w:tcPr>
          <w:p>
            <w:pPr>
              <w:pStyle w:val="0"/>
            </w:pPr>
            <w:r>
              <w:rPr>
                <w:sz w:val="20"/>
              </w:rPr>
              <w:t xml:space="preserve">-</w:t>
            </w:r>
          </w:p>
        </w:tc>
        <w:tc>
          <w:tcPr>
            <w:tcW w:w="1304" w:type="dxa"/>
          </w:tcPr>
          <w:p>
            <w:pPr>
              <w:pStyle w:val="0"/>
            </w:pPr>
            <w:r>
              <w:rPr>
                <w:sz w:val="20"/>
              </w:rPr>
              <w:t xml:space="preserve">-</w:t>
            </w:r>
          </w:p>
        </w:tc>
        <w:tc>
          <w:tcPr>
            <w:tcW w:w="1203" w:type="dxa"/>
          </w:tcPr>
          <w:p>
            <w:pPr>
              <w:pStyle w:val="0"/>
            </w:pPr>
            <w:r>
              <w:rPr>
                <w:sz w:val="20"/>
              </w:rPr>
            </w:r>
          </w:p>
        </w:tc>
        <w:tc>
          <w:tcPr>
            <w:tcW w:w="794" w:type="dxa"/>
          </w:tcPr>
          <w:p>
            <w:pPr>
              <w:pStyle w:val="0"/>
            </w:pPr>
            <w:r>
              <w:rPr>
                <w:sz w:val="20"/>
              </w:rPr>
              <w:t xml:space="preserve">-</w:t>
            </w:r>
          </w:p>
        </w:tc>
        <w:tc>
          <w:tcPr>
            <w:tcW w:w="1361" w:type="dxa"/>
          </w:tcPr>
          <w:p>
            <w:pPr>
              <w:pStyle w:val="0"/>
            </w:pPr>
            <w:r>
              <w:rPr>
                <w:sz w:val="20"/>
              </w:rPr>
              <w:t xml:space="preserve">-</w:t>
            </w:r>
          </w:p>
        </w:tc>
        <w:tc>
          <w:tcPr>
            <w:tcW w:w="1247" w:type="dxa"/>
          </w:tcPr>
          <w:p>
            <w:pPr>
              <w:pStyle w:val="0"/>
            </w:pPr>
            <w:r>
              <w:rPr>
                <w:sz w:val="20"/>
              </w:rPr>
              <w:t xml:space="preserve">-</w:t>
            </w:r>
          </w:p>
        </w:tc>
        <w:tc>
          <w:tcPr>
            <w:tcW w:w="1304" w:type="dxa"/>
          </w:tcPr>
          <w:p>
            <w:pPr>
              <w:pStyle w:val="0"/>
            </w:pPr>
            <w:r>
              <w:rPr>
                <w:sz w:val="20"/>
              </w:rPr>
              <w:t xml:space="preserve">-</w:t>
            </w:r>
          </w:p>
        </w:tc>
        <w:tc>
          <w:tcPr>
            <w:tcW w:w="1247" w:type="dxa"/>
          </w:tcPr>
          <w:p>
            <w:pPr>
              <w:pStyle w:val="0"/>
            </w:pPr>
            <w:r>
              <w:rPr>
                <w:sz w:val="20"/>
              </w:rPr>
              <w:t xml:space="preserve">-</w:t>
            </w:r>
          </w:p>
        </w:tc>
      </w:tr>
      <w:tr>
        <w:tc>
          <w:tcPr>
            <w:tcW w:w="680" w:type="dxa"/>
          </w:tcPr>
          <w:p>
            <w:pPr>
              <w:pStyle w:val="0"/>
            </w:pPr>
            <w:r>
              <w:rPr>
                <w:sz w:val="20"/>
              </w:rPr>
              <w:t xml:space="preserve">4</w:t>
            </w:r>
          </w:p>
        </w:tc>
        <w:tc>
          <w:tcPr>
            <w:tcW w:w="2835" w:type="dxa"/>
          </w:tcPr>
          <w:p>
            <w:pPr>
              <w:pStyle w:val="0"/>
            </w:pPr>
            <w:r>
              <w:rPr>
                <w:sz w:val="20"/>
              </w:rPr>
              <w:t xml:space="preserve">Городской округ Реутов</w:t>
            </w:r>
          </w:p>
        </w:tc>
        <w:tc>
          <w:tcPr>
            <w:tcW w:w="907" w:type="dxa"/>
          </w:tcPr>
          <w:p>
            <w:pPr>
              <w:pStyle w:val="0"/>
            </w:pPr>
            <w:r>
              <w:rPr>
                <w:sz w:val="20"/>
              </w:rPr>
              <w:t xml:space="preserve">1</w:t>
            </w:r>
          </w:p>
        </w:tc>
        <w:tc>
          <w:tcPr>
            <w:tcW w:w="1346" w:type="dxa"/>
          </w:tcPr>
          <w:p>
            <w:pPr>
              <w:pStyle w:val="0"/>
            </w:pPr>
            <w:r>
              <w:rPr>
                <w:sz w:val="20"/>
              </w:rPr>
              <w:t xml:space="preserve">38381,80</w:t>
            </w:r>
          </w:p>
        </w:tc>
        <w:tc>
          <w:tcPr>
            <w:tcW w:w="1346" w:type="dxa"/>
          </w:tcPr>
          <w:p>
            <w:pPr>
              <w:pStyle w:val="0"/>
            </w:pPr>
            <w:r>
              <w:rPr>
                <w:sz w:val="20"/>
              </w:rPr>
              <w:t xml:space="preserve">15252,90</w:t>
            </w:r>
          </w:p>
        </w:tc>
        <w:tc>
          <w:tcPr>
            <w:tcW w:w="1346" w:type="dxa"/>
          </w:tcPr>
          <w:p>
            <w:pPr>
              <w:pStyle w:val="0"/>
            </w:pPr>
            <w:r>
              <w:rPr>
                <w:sz w:val="20"/>
              </w:rPr>
              <w:t xml:space="preserve">19412,70</w:t>
            </w:r>
          </w:p>
        </w:tc>
        <w:tc>
          <w:tcPr>
            <w:tcW w:w="1346" w:type="dxa"/>
          </w:tcPr>
          <w:p>
            <w:pPr>
              <w:pStyle w:val="0"/>
            </w:pPr>
            <w:r>
              <w:rPr>
                <w:sz w:val="20"/>
              </w:rPr>
              <w:t xml:space="preserve">3716,20</w:t>
            </w:r>
          </w:p>
        </w:tc>
        <w:tc>
          <w:tcPr>
            <w:tcW w:w="850" w:type="dxa"/>
          </w:tcPr>
          <w:p>
            <w:pPr>
              <w:pStyle w:val="0"/>
            </w:pPr>
            <w:r>
              <w:rPr>
                <w:sz w:val="20"/>
              </w:rPr>
              <w:t xml:space="preserve">1</w:t>
            </w:r>
          </w:p>
        </w:tc>
        <w:tc>
          <w:tcPr>
            <w:tcW w:w="1310" w:type="dxa"/>
          </w:tcPr>
          <w:p>
            <w:pPr>
              <w:pStyle w:val="0"/>
            </w:pPr>
            <w:r>
              <w:rPr>
                <w:sz w:val="20"/>
              </w:rPr>
              <w:t xml:space="preserve">36381,50</w:t>
            </w:r>
          </w:p>
        </w:tc>
        <w:tc>
          <w:tcPr>
            <w:tcW w:w="1361" w:type="dxa"/>
          </w:tcPr>
          <w:p>
            <w:pPr>
              <w:pStyle w:val="0"/>
            </w:pPr>
            <w:r>
              <w:rPr>
                <w:sz w:val="20"/>
              </w:rPr>
              <w:t xml:space="preserve">14720,90</w:t>
            </w:r>
          </w:p>
        </w:tc>
        <w:tc>
          <w:tcPr>
            <w:tcW w:w="1361" w:type="dxa"/>
          </w:tcPr>
          <w:p>
            <w:pPr>
              <w:pStyle w:val="0"/>
            </w:pPr>
            <w:r>
              <w:rPr>
                <w:sz w:val="20"/>
              </w:rPr>
              <w:t xml:space="preserve">17992,10</w:t>
            </w:r>
          </w:p>
        </w:tc>
        <w:tc>
          <w:tcPr>
            <w:tcW w:w="1247" w:type="dxa"/>
          </w:tcPr>
          <w:p>
            <w:pPr>
              <w:pStyle w:val="0"/>
            </w:pPr>
            <w:r>
              <w:rPr>
                <w:sz w:val="20"/>
              </w:rPr>
              <w:t xml:space="preserve">3668,50</w:t>
            </w:r>
          </w:p>
        </w:tc>
        <w:tc>
          <w:tcPr>
            <w:tcW w:w="850" w:type="dxa"/>
          </w:tcPr>
          <w:p>
            <w:pPr>
              <w:pStyle w:val="0"/>
            </w:pPr>
            <w:r>
              <w:rPr>
                <w:sz w:val="20"/>
              </w:rPr>
              <w:t xml:space="preserve">1</w:t>
            </w:r>
          </w:p>
        </w:tc>
        <w:tc>
          <w:tcPr>
            <w:tcW w:w="1361" w:type="dxa"/>
          </w:tcPr>
          <w:p>
            <w:pPr>
              <w:pStyle w:val="0"/>
            </w:pPr>
            <w:r>
              <w:rPr>
                <w:sz w:val="20"/>
              </w:rPr>
              <w:t xml:space="preserve">49051,80</w:t>
            </w:r>
          </w:p>
        </w:tc>
        <w:tc>
          <w:tcPr>
            <w:tcW w:w="1304" w:type="dxa"/>
          </w:tcPr>
          <w:p>
            <w:pPr>
              <w:pStyle w:val="0"/>
            </w:pPr>
            <w:r>
              <w:rPr>
                <w:sz w:val="20"/>
              </w:rPr>
              <w:t xml:space="preserve">21170,80</w:t>
            </w:r>
          </w:p>
        </w:tc>
        <w:tc>
          <w:tcPr>
            <w:tcW w:w="1304" w:type="dxa"/>
          </w:tcPr>
          <w:p>
            <w:pPr>
              <w:pStyle w:val="0"/>
            </w:pPr>
            <w:r>
              <w:rPr>
                <w:sz w:val="20"/>
              </w:rPr>
              <w:t xml:space="preserve">22935,00</w:t>
            </w:r>
          </w:p>
        </w:tc>
        <w:tc>
          <w:tcPr>
            <w:tcW w:w="1203" w:type="dxa"/>
          </w:tcPr>
          <w:p>
            <w:pPr>
              <w:pStyle w:val="0"/>
            </w:pPr>
            <w:r>
              <w:rPr>
                <w:sz w:val="20"/>
              </w:rPr>
              <w:t xml:space="preserve">4946,00</w:t>
            </w:r>
          </w:p>
        </w:tc>
        <w:tc>
          <w:tcPr>
            <w:tcW w:w="794" w:type="dxa"/>
          </w:tcPr>
          <w:p>
            <w:pPr>
              <w:pStyle w:val="0"/>
            </w:pPr>
            <w:r>
              <w:rPr>
                <w:sz w:val="20"/>
              </w:rPr>
              <w:t xml:space="preserve">1</w:t>
            </w:r>
          </w:p>
        </w:tc>
        <w:tc>
          <w:tcPr>
            <w:tcW w:w="1361" w:type="dxa"/>
          </w:tcPr>
          <w:p>
            <w:pPr>
              <w:pStyle w:val="0"/>
            </w:pPr>
            <w:r>
              <w:rPr>
                <w:sz w:val="20"/>
              </w:rPr>
              <w:t xml:space="preserve">50130,20</w:t>
            </w:r>
          </w:p>
        </w:tc>
        <w:tc>
          <w:tcPr>
            <w:tcW w:w="1247" w:type="dxa"/>
          </w:tcPr>
          <w:p>
            <w:pPr>
              <w:pStyle w:val="0"/>
            </w:pPr>
            <w:r>
              <w:rPr>
                <w:sz w:val="20"/>
              </w:rPr>
              <w:t xml:space="preserve">22537,70</w:t>
            </w:r>
          </w:p>
        </w:tc>
        <w:tc>
          <w:tcPr>
            <w:tcW w:w="1304" w:type="dxa"/>
          </w:tcPr>
          <w:p>
            <w:pPr>
              <w:pStyle w:val="0"/>
            </w:pPr>
            <w:r>
              <w:rPr>
                <w:sz w:val="20"/>
              </w:rPr>
              <w:t xml:space="preserve">22537,70</w:t>
            </w:r>
          </w:p>
        </w:tc>
        <w:tc>
          <w:tcPr>
            <w:tcW w:w="1247" w:type="dxa"/>
          </w:tcPr>
          <w:p>
            <w:pPr>
              <w:pStyle w:val="0"/>
            </w:pPr>
            <w:r>
              <w:rPr>
                <w:sz w:val="20"/>
              </w:rPr>
              <w:t xml:space="preserve">5054,80</w:t>
            </w:r>
          </w:p>
        </w:tc>
      </w:tr>
      <w:tr>
        <w:tc>
          <w:tcPr>
            <w:tcW w:w="680" w:type="dxa"/>
          </w:tcPr>
          <w:p>
            <w:pPr>
              <w:pStyle w:val="0"/>
            </w:pPr>
            <w:r>
              <w:rPr>
                <w:sz w:val="20"/>
              </w:rPr>
              <w:t xml:space="preserve">5</w:t>
            </w:r>
          </w:p>
        </w:tc>
        <w:tc>
          <w:tcPr>
            <w:tcW w:w="2835" w:type="dxa"/>
          </w:tcPr>
          <w:p>
            <w:pPr>
              <w:pStyle w:val="0"/>
            </w:pPr>
            <w:r>
              <w:rPr>
                <w:sz w:val="20"/>
              </w:rPr>
              <w:t xml:space="preserve">Городской округ Серпухов</w:t>
            </w:r>
          </w:p>
        </w:tc>
        <w:tc>
          <w:tcPr>
            <w:tcW w:w="907" w:type="dxa"/>
          </w:tcPr>
          <w:p>
            <w:pPr>
              <w:pStyle w:val="0"/>
            </w:pPr>
            <w:r>
              <w:rPr>
                <w:sz w:val="20"/>
              </w:rPr>
              <w:t xml:space="preserve">-</w:t>
            </w:r>
          </w:p>
        </w:tc>
        <w:tc>
          <w:tcPr>
            <w:tcW w:w="1346" w:type="dxa"/>
          </w:tcPr>
          <w:p>
            <w:pPr>
              <w:pStyle w:val="0"/>
            </w:pPr>
            <w:r>
              <w:rPr>
                <w:sz w:val="20"/>
              </w:rPr>
              <w:t xml:space="preserve">-</w:t>
            </w:r>
          </w:p>
        </w:tc>
        <w:tc>
          <w:tcPr>
            <w:tcW w:w="1346" w:type="dxa"/>
          </w:tcPr>
          <w:p>
            <w:pPr>
              <w:pStyle w:val="0"/>
            </w:pPr>
            <w:r>
              <w:rPr>
                <w:sz w:val="20"/>
              </w:rPr>
              <w:t xml:space="preserve">-</w:t>
            </w:r>
          </w:p>
        </w:tc>
        <w:tc>
          <w:tcPr>
            <w:tcW w:w="1346" w:type="dxa"/>
          </w:tcPr>
          <w:p>
            <w:pPr>
              <w:pStyle w:val="0"/>
            </w:pPr>
            <w:r>
              <w:rPr>
                <w:sz w:val="20"/>
              </w:rPr>
              <w:t xml:space="preserve">-</w:t>
            </w:r>
          </w:p>
        </w:tc>
        <w:tc>
          <w:tcPr>
            <w:tcW w:w="1346" w:type="dxa"/>
          </w:tcPr>
          <w:p>
            <w:pPr>
              <w:pStyle w:val="0"/>
            </w:pPr>
            <w:r>
              <w:rPr>
                <w:sz w:val="20"/>
              </w:rPr>
              <w:t xml:space="preserve">-</w:t>
            </w:r>
          </w:p>
        </w:tc>
        <w:tc>
          <w:tcPr>
            <w:tcW w:w="850" w:type="dxa"/>
          </w:tcPr>
          <w:p>
            <w:pPr>
              <w:pStyle w:val="0"/>
            </w:pPr>
            <w:r>
              <w:rPr>
                <w:sz w:val="20"/>
              </w:rPr>
              <w:t xml:space="preserve">1</w:t>
            </w:r>
          </w:p>
        </w:tc>
        <w:tc>
          <w:tcPr>
            <w:tcW w:w="1310" w:type="dxa"/>
          </w:tcPr>
          <w:p>
            <w:pPr>
              <w:pStyle w:val="0"/>
            </w:pPr>
            <w:r>
              <w:rPr>
                <w:sz w:val="20"/>
              </w:rPr>
              <w:t xml:space="preserve">54788,60</w:t>
            </w:r>
          </w:p>
        </w:tc>
        <w:tc>
          <w:tcPr>
            <w:tcW w:w="1361" w:type="dxa"/>
          </w:tcPr>
          <w:p>
            <w:pPr>
              <w:pStyle w:val="0"/>
            </w:pPr>
            <w:r>
              <w:rPr>
                <w:sz w:val="20"/>
              </w:rPr>
              <w:t xml:space="preserve">23866,50</w:t>
            </w:r>
          </w:p>
        </w:tc>
        <w:tc>
          <w:tcPr>
            <w:tcW w:w="1361" w:type="dxa"/>
          </w:tcPr>
          <w:p>
            <w:pPr>
              <w:pStyle w:val="0"/>
            </w:pPr>
            <w:r>
              <w:rPr>
                <w:sz w:val="20"/>
              </w:rPr>
              <w:t xml:space="preserve">29170,10</w:t>
            </w:r>
          </w:p>
        </w:tc>
        <w:tc>
          <w:tcPr>
            <w:tcW w:w="1247" w:type="dxa"/>
          </w:tcPr>
          <w:p>
            <w:pPr>
              <w:pStyle w:val="0"/>
            </w:pPr>
            <w:r>
              <w:rPr>
                <w:sz w:val="20"/>
              </w:rPr>
              <w:t xml:space="preserve">1752,00</w:t>
            </w:r>
          </w:p>
        </w:tc>
        <w:tc>
          <w:tcPr>
            <w:tcW w:w="850" w:type="dxa"/>
          </w:tcPr>
          <w:p>
            <w:pPr>
              <w:pStyle w:val="0"/>
            </w:pPr>
            <w:r>
              <w:rPr>
                <w:sz w:val="20"/>
              </w:rPr>
              <w:t xml:space="preserve">1</w:t>
            </w:r>
          </w:p>
        </w:tc>
        <w:tc>
          <w:tcPr>
            <w:tcW w:w="1361" w:type="dxa"/>
          </w:tcPr>
          <w:p>
            <w:pPr>
              <w:pStyle w:val="0"/>
            </w:pPr>
            <w:r>
              <w:rPr>
                <w:sz w:val="20"/>
              </w:rPr>
              <w:t xml:space="preserve">73860,40</w:t>
            </w:r>
          </w:p>
        </w:tc>
        <w:tc>
          <w:tcPr>
            <w:tcW w:w="1304" w:type="dxa"/>
          </w:tcPr>
          <w:p>
            <w:pPr>
              <w:pStyle w:val="0"/>
            </w:pPr>
            <w:r>
              <w:rPr>
                <w:sz w:val="20"/>
              </w:rPr>
              <w:t xml:space="preserve">34319,30</w:t>
            </w:r>
          </w:p>
        </w:tc>
        <w:tc>
          <w:tcPr>
            <w:tcW w:w="1304" w:type="dxa"/>
          </w:tcPr>
          <w:p>
            <w:pPr>
              <w:pStyle w:val="0"/>
            </w:pPr>
            <w:r>
              <w:rPr>
                <w:sz w:val="20"/>
              </w:rPr>
              <w:t xml:space="preserve">37179,20</w:t>
            </w:r>
          </w:p>
        </w:tc>
        <w:tc>
          <w:tcPr>
            <w:tcW w:w="1203" w:type="dxa"/>
          </w:tcPr>
          <w:p>
            <w:pPr>
              <w:pStyle w:val="0"/>
            </w:pPr>
            <w:r>
              <w:rPr>
                <w:sz w:val="20"/>
              </w:rPr>
              <w:t xml:space="preserve">2361,90</w:t>
            </w:r>
          </w:p>
        </w:tc>
        <w:tc>
          <w:tcPr>
            <w:tcW w:w="794" w:type="dxa"/>
          </w:tcPr>
          <w:p>
            <w:pPr>
              <w:pStyle w:val="0"/>
            </w:pPr>
            <w:r>
              <w:rPr>
                <w:sz w:val="20"/>
              </w:rPr>
              <w:t xml:space="preserve">1</w:t>
            </w:r>
          </w:p>
        </w:tc>
        <w:tc>
          <w:tcPr>
            <w:tcW w:w="1361" w:type="dxa"/>
          </w:tcPr>
          <w:p>
            <w:pPr>
              <w:pStyle w:val="0"/>
            </w:pPr>
            <w:r>
              <w:rPr>
                <w:sz w:val="20"/>
              </w:rPr>
              <w:t xml:space="preserve">75494,10</w:t>
            </w:r>
          </w:p>
        </w:tc>
        <w:tc>
          <w:tcPr>
            <w:tcW w:w="1247" w:type="dxa"/>
          </w:tcPr>
          <w:p>
            <w:pPr>
              <w:pStyle w:val="0"/>
            </w:pPr>
            <w:r>
              <w:rPr>
                <w:sz w:val="20"/>
              </w:rPr>
              <w:t xml:space="preserve">36540,00</w:t>
            </w:r>
          </w:p>
        </w:tc>
        <w:tc>
          <w:tcPr>
            <w:tcW w:w="1304" w:type="dxa"/>
          </w:tcPr>
          <w:p>
            <w:pPr>
              <w:pStyle w:val="0"/>
            </w:pPr>
            <w:r>
              <w:rPr>
                <w:sz w:val="20"/>
              </w:rPr>
              <w:t xml:space="preserve">36540,00</w:t>
            </w:r>
          </w:p>
        </w:tc>
        <w:tc>
          <w:tcPr>
            <w:tcW w:w="1247" w:type="dxa"/>
          </w:tcPr>
          <w:p>
            <w:pPr>
              <w:pStyle w:val="0"/>
            </w:pPr>
            <w:r>
              <w:rPr>
                <w:sz w:val="20"/>
              </w:rPr>
              <w:t xml:space="preserve">2414,10</w:t>
            </w:r>
          </w:p>
        </w:tc>
      </w:tr>
      <w:tr>
        <w:tc>
          <w:tcPr>
            <w:tcW w:w="680" w:type="dxa"/>
          </w:tcPr>
          <w:p>
            <w:pPr>
              <w:pStyle w:val="0"/>
            </w:pPr>
            <w:r>
              <w:rPr>
                <w:sz w:val="20"/>
              </w:rPr>
              <w:t xml:space="preserve">6</w:t>
            </w:r>
          </w:p>
        </w:tc>
        <w:tc>
          <w:tcPr>
            <w:tcW w:w="2835" w:type="dxa"/>
          </w:tcPr>
          <w:p>
            <w:pPr>
              <w:pStyle w:val="0"/>
            </w:pPr>
            <w:r>
              <w:rPr>
                <w:sz w:val="20"/>
              </w:rPr>
              <w:t xml:space="preserve">Городской округ Фрязино</w:t>
            </w:r>
          </w:p>
        </w:tc>
        <w:tc>
          <w:tcPr>
            <w:tcW w:w="907" w:type="dxa"/>
          </w:tcPr>
          <w:p>
            <w:pPr>
              <w:pStyle w:val="0"/>
            </w:pPr>
            <w:r>
              <w:rPr>
                <w:sz w:val="20"/>
              </w:rPr>
              <w:t xml:space="preserve">1</w:t>
            </w:r>
          </w:p>
        </w:tc>
        <w:tc>
          <w:tcPr>
            <w:tcW w:w="1346" w:type="dxa"/>
          </w:tcPr>
          <w:p>
            <w:pPr>
              <w:pStyle w:val="0"/>
            </w:pPr>
            <w:r>
              <w:rPr>
                <w:sz w:val="20"/>
              </w:rPr>
              <w:t xml:space="preserve">19161,50</w:t>
            </w:r>
          </w:p>
        </w:tc>
        <w:tc>
          <w:tcPr>
            <w:tcW w:w="1346" w:type="dxa"/>
          </w:tcPr>
          <w:p>
            <w:pPr>
              <w:pStyle w:val="0"/>
            </w:pPr>
            <w:r>
              <w:rPr>
                <w:sz w:val="20"/>
              </w:rPr>
              <w:t xml:space="preserve">8038,40</w:t>
            </w:r>
          </w:p>
        </w:tc>
        <w:tc>
          <w:tcPr>
            <w:tcW w:w="1346" w:type="dxa"/>
          </w:tcPr>
          <w:p>
            <w:pPr>
              <w:pStyle w:val="0"/>
            </w:pPr>
            <w:r>
              <w:rPr>
                <w:sz w:val="20"/>
              </w:rPr>
              <w:t xml:space="preserve">10230,60</w:t>
            </w:r>
          </w:p>
        </w:tc>
        <w:tc>
          <w:tcPr>
            <w:tcW w:w="1346" w:type="dxa"/>
          </w:tcPr>
          <w:p>
            <w:pPr>
              <w:pStyle w:val="0"/>
            </w:pPr>
            <w:r>
              <w:rPr>
                <w:sz w:val="20"/>
              </w:rPr>
              <w:t xml:space="preserve">892,50</w:t>
            </w:r>
          </w:p>
        </w:tc>
        <w:tc>
          <w:tcPr>
            <w:tcW w:w="850" w:type="dxa"/>
          </w:tcPr>
          <w:p>
            <w:pPr>
              <w:pStyle w:val="0"/>
            </w:pPr>
            <w:r>
              <w:rPr>
                <w:sz w:val="20"/>
              </w:rPr>
              <w:t xml:space="preserve">1</w:t>
            </w:r>
          </w:p>
        </w:tc>
        <w:tc>
          <w:tcPr>
            <w:tcW w:w="1310" w:type="dxa"/>
          </w:tcPr>
          <w:p>
            <w:pPr>
              <w:pStyle w:val="0"/>
            </w:pPr>
            <w:r>
              <w:rPr>
                <w:sz w:val="20"/>
              </w:rPr>
              <w:t xml:space="preserve">18233,50</w:t>
            </w:r>
          </w:p>
        </w:tc>
        <w:tc>
          <w:tcPr>
            <w:tcW w:w="1361" w:type="dxa"/>
          </w:tcPr>
          <w:p>
            <w:pPr>
              <w:pStyle w:val="0"/>
            </w:pPr>
            <w:r>
              <w:rPr>
                <w:sz w:val="20"/>
              </w:rPr>
              <w:t xml:space="preserve">7707,80</w:t>
            </w:r>
          </w:p>
        </w:tc>
        <w:tc>
          <w:tcPr>
            <w:tcW w:w="1361" w:type="dxa"/>
          </w:tcPr>
          <w:p>
            <w:pPr>
              <w:pStyle w:val="0"/>
            </w:pPr>
            <w:r>
              <w:rPr>
                <w:sz w:val="20"/>
              </w:rPr>
              <w:t xml:space="preserve">9420,60</w:t>
            </w:r>
          </w:p>
        </w:tc>
        <w:tc>
          <w:tcPr>
            <w:tcW w:w="1247" w:type="dxa"/>
          </w:tcPr>
          <w:p>
            <w:pPr>
              <w:pStyle w:val="0"/>
            </w:pPr>
            <w:r>
              <w:rPr>
                <w:sz w:val="20"/>
              </w:rPr>
              <w:t xml:space="preserve">1105,10</w:t>
            </w:r>
          </w:p>
        </w:tc>
        <w:tc>
          <w:tcPr>
            <w:tcW w:w="850" w:type="dxa"/>
          </w:tcPr>
          <w:p>
            <w:pPr>
              <w:pStyle w:val="0"/>
            </w:pPr>
            <w:r>
              <w:rPr>
                <w:sz w:val="20"/>
              </w:rPr>
              <w:t xml:space="preserve">1</w:t>
            </w:r>
          </w:p>
        </w:tc>
        <w:tc>
          <w:tcPr>
            <w:tcW w:w="1361" w:type="dxa"/>
          </w:tcPr>
          <w:p>
            <w:pPr>
              <w:pStyle w:val="0"/>
            </w:pPr>
            <w:r>
              <w:rPr>
                <w:sz w:val="20"/>
              </w:rPr>
              <w:t xml:space="preserve">24579,90</w:t>
            </w:r>
          </w:p>
        </w:tc>
        <w:tc>
          <w:tcPr>
            <w:tcW w:w="1304" w:type="dxa"/>
          </w:tcPr>
          <w:p>
            <w:pPr>
              <w:pStyle w:val="0"/>
            </w:pPr>
            <w:r>
              <w:rPr>
                <w:sz w:val="20"/>
              </w:rPr>
              <w:t xml:space="preserve">11083,30</w:t>
            </w:r>
          </w:p>
        </w:tc>
        <w:tc>
          <w:tcPr>
            <w:tcW w:w="1304" w:type="dxa"/>
          </w:tcPr>
          <w:p>
            <w:pPr>
              <w:pStyle w:val="0"/>
            </w:pPr>
            <w:r>
              <w:rPr>
                <w:sz w:val="20"/>
              </w:rPr>
              <w:t xml:space="preserve">12006,90</w:t>
            </w:r>
          </w:p>
        </w:tc>
        <w:tc>
          <w:tcPr>
            <w:tcW w:w="1203" w:type="dxa"/>
          </w:tcPr>
          <w:p>
            <w:pPr>
              <w:pStyle w:val="0"/>
            </w:pPr>
            <w:r>
              <w:rPr>
                <w:sz w:val="20"/>
              </w:rPr>
              <w:t xml:space="preserve">1489,70</w:t>
            </w:r>
          </w:p>
        </w:tc>
        <w:tc>
          <w:tcPr>
            <w:tcW w:w="794" w:type="dxa"/>
          </w:tcPr>
          <w:p>
            <w:pPr>
              <w:pStyle w:val="0"/>
            </w:pPr>
            <w:r>
              <w:rPr>
                <w:sz w:val="20"/>
              </w:rPr>
              <w:t xml:space="preserve">1</w:t>
            </w:r>
          </w:p>
        </w:tc>
        <w:tc>
          <w:tcPr>
            <w:tcW w:w="1361" w:type="dxa"/>
          </w:tcPr>
          <w:p>
            <w:pPr>
              <w:pStyle w:val="0"/>
            </w:pPr>
            <w:r>
              <w:rPr>
                <w:sz w:val="20"/>
              </w:rPr>
              <w:t xml:space="preserve">25124,70</w:t>
            </w:r>
          </w:p>
        </w:tc>
        <w:tc>
          <w:tcPr>
            <w:tcW w:w="1247" w:type="dxa"/>
          </w:tcPr>
          <w:p>
            <w:pPr>
              <w:pStyle w:val="0"/>
            </w:pPr>
            <w:r>
              <w:rPr>
                <w:sz w:val="20"/>
              </w:rPr>
              <w:t xml:space="preserve">11801,00</w:t>
            </w:r>
          </w:p>
        </w:tc>
        <w:tc>
          <w:tcPr>
            <w:tcW w:w="1304" w:type="dxa"/>
          </w:tcPr>
          <w:p>
            <w:pPr>
              <w:pStyle w:val="0"/>
            </w:pPr>
            <w:r>
              <w:rPr>
                <w:sz w:val="20"/>
              </w:rPr>
              <w:t xml:space="preserve">11801,00</w:t>
            </w:r>
          </w:p>
        </w:tc>
        <w:tc>
          <w:tcPr>
            <w:tcW w:w="1247" w:type="dxa"/>
          </w:tcPr>
          <w:p>
            <w:pPr>
              <w:pStyle w:val="0"/>
            </w:pPr>
            <w:r>
              <w:rPr>
                <w:sz w:val="20"/>
              </w:rPr>
              <w:t xml:space="preserve">1522,70</w:t>
            </w:r>
          </w:p>
        </w:tc>
      </w:tr>
      <w:tr>
        <w:tc>
          <w:tcPr>
            <w:tcW w:w="680" w:type="dxa"/>
          </w:tcPr>
          <w:p>
            <w:pPr>
              <w:pStyle w:val="0"/>
            </w:pPr>
            <w:r>
              <w:rPr>
                <w:sz w:val="20"/>
              </w:rPr>
              <w:t xml:space="preserve">7</w:t>
            </w:r>
          </w:p>
        </w:tc>
        <w:tc>
          <w:tcPr>
            <w:tcW w:w="2835" w:type="dxa"/>
          </w:tcPr>
          <w:p>
            <w:pPr>
              <w:pStyle w:val="0"/>
            </w:pPr>
            <w:r>
              <w:rPr>
                <w:sz w:val="20"/>
              </w:rPr>
              <w:t xml:space="preserve">Городской округ Черноголовка</w:t>
            </w:r>
          </w:p>
        </w:tc>
        <w:tc>
          <w:tcPr>
            <w:tcW w:w="907" w:type="dxa"/>
          </w:tcPr>
          <w:p>
            <w:pPr>
              <w:pStyle w:val="0"/>
            </w:pPr>
            <w:r>
              <w:rPr>
                <w:sz w:val="20"/>
              </w:rPr>
              <w:t xml:space="preserve">1</w:t>
            </w:r>
          </w:p>
        </w:tc>
        <w:tc>
          <w:tcPr>
            <w:tcW w:w="1346" w:type="dxa"/>
          </w:tcPr>
          <w:p>
            <w:pPr>
              <w:pStyle w:val="0"/>
            </w:pPr>
            <w:r>
              <w:rPr>
                <w:sz w:val="20"/>
              </w:rPr>
              <w:t xml:space="preserve">7194,20</w:t>
            </w:r>
          </w:p>
        </w:tc>
        <w:tc>
          <w:tcPr>
            <w:tcW w:w="1346" w:type="dxa"/>
          </w:tcPr>
          <w:p>
            <w:pPr>
              <w:pStyle w:val="0"/>
            </w:pPr>
            <w:r>
              <w:rPr>
                <w:sz w:val="20"/>
              </w:rPr>
              <w:t xml:space="preserve">2938,10</w:t>
            </w:r>
          </w:p>
        </w:tc>
        <w:tc>
          <w:tcPr>
            <w:tcW w:w="1346" w:type="dxa"/>
          </w:tcPr>
          <w:p>
            <w:pPr>
              <w:pStyle w:val="0"/>
            </w:pPr>
            <w:r>
              <w:rPr>
                <w:sz w:val="20"/>
              </w:rPr>
              <w:t xml:space="preserve">3739,30</w:t>
            </w:r>
          </w:p>
        </w:tc>
        <w:tc>
          <w:tcPr>
            <w:tcW w:w="1346" w:type="dxa"/>
          </w:tcPr>
          <w:p>
            <w:pPr>
              <w:pStyle w:val="0"/>
            </w:pPr>
            <w:r>
              <w:rPr>
                <w:sz w:val="20"/>
              </w:rPr>
              <w:t xml:space="preserve">516,80</w:t>
            </w:r>
          </w:p>
        </w:tc>
        <w:tc>
          <w:tcPr>
            <w:tcW w:w="850" w:type="dxa"/>
          </w:tcPr>
          <w:p>
            <w:pPr>
              <w:pStyle w:val="0"/>
            </w:pPr>
            <w:r>
              <w:rPr>
                <w:sz w:val="20"/>
              </w:rPr>
              <w:t xml:space="preserve">1</w:t>
            </w:r>
          </w:p>
        </w:tc>
        <w:tc>
          <w:tcPr>
            <w:tcW w:w="1310" w:type="dxa"/>
          </w:tcPr>
          <w:p>
            <w:pPr>
              <w:pStyle w:val="0"/>
            </w:pPr>
            <w:r>
              <w:rPr>
                <w:sz w:val="20"/>
              </w:rPr>
              <w:t xml:space="preserve">6624,60</w:t>
            </w:r>
          </w:p>
        </w:tc>
        <w:tc>
          <w:tcPr>
            <w:tcW w:w="1361" w:type="dxa"/>
          </w:tcPr>
          <w:p>
            <w:pPr>
              <w:pStyle w:val="0"/>
            </w:pPr>
            <w:r>
              <w:rPr>
                <w:sz w:val="20"/>
              </w:rPr>
              <w:t xml:space="preserve">2792,50</w:t>
            </w:r>
          </w:p>
        </w:tc>
        <w:tc>
          <w:tcPr>
            <w:tcW w:w="1361" w:type="dxa"/>
          </w:tcPr>
          <w:p>
            <w:pPr>
              <w:pStyle w:val="0"/>
            </w:pPr>
            <w:r>
              <w:rPr>
                <w:sz w:val="20"/>
              </w:rPr>
              <w:t xml:space="preserve">3413,00</w:t>
            </w:r>
          </w:p>
        </w:tc>
        <w:tc>
          <w:tcPr>
            <w:tcW w:w="1247" w:type="dxa"/>
          </w:tcPr>
          <w:p>
            <w:pPr>
              <w:pStyle w:val="0"/>
            </w:pPr>
            <w:r>
              <w:rPr>
                <w:sz w:val="20"/>
              </w:rPr>
              <w:t xml:space="preserve">419,10</w:t>
            </w:r>
          </w:p>
        </w:tc>
        <w:tc>
          <w:tcPr>
            <w:tcW w:w="850" w:type="dxa"/>
          </w:tcPr>
          <w:p>
            <w:pPr>
              <w:pStyle w:val="0"/>
            </w:pPr>
            <w:r>
              <w:rPr>
                <w:sz w:val="20"/>
              </w:rPr>
              <w:t xml:space="preserve">1</w:t>
            </w:r>
          </w:p>
        </w:tc>
        <w:tc>
          <w:tcPr>
            <w:tcW w:w="1361" w:type="dxa"/>
          </w:tcPr>
          <w:p>
            <w:pPr>
              <w:pStyle w:val="0"/>
            </w:pPr>
            <w:r>
              <w:rPr>
                <w:sz w:val="20"/>
              </w:rPr>
              <w:t xml:space="preserve">8928,30</w:t>
            </w:r>
          </w:p>
        </w:tc>
        <w:tc>
          <w:tcPr>
            <w:tcW w:w="1304" w:type="dxa"/>
          </w:tcPr>
          <w:p>
            <w:pPr>
              <w:pStyle w:val="0"/>
            </w:pPr>
            <w:r>
              <w:rPr>
                <w:sz w:val="20"/>
              </w:rPr>
              <w:t xml:space="preserve">4014,50</w:t>
            </w:r>
          </w:p>
        </w:tc>
        <w:tc>
          <w:tcPr>
            <w:tcW w:w="1304" w:type="dxa"/>
          </w:tcPr>
          <w:p>
            <w:pPr>
              <w:pStyle w:val="0"/>
            </w:pPr>
            <w:r>
              <w:rPr>
                <w:sz w:val="20"/>
              </w:rPr>
              <w:t xml:space="preserve">4349,00</w:t>
            </w:r>
          </w:p>
        </w:tc>
        <w:tc>
          <w:tcPr>
            <w:tcW w:w="1203" w:type="dxa"/>
          </w:tcPr>
          <w:p>
            <w:pPr>
              <w:pStyle w:val="0"/>
            </w:pPr>
            <w:r>
              <w:rPr>
                <w:sz w:val="20"/>
              </w:rPr>
              <w:t xml:space="preserve">564,80</w:t>
            </w:r>
          </w:p>
        </w:tc>
        <w:tc>
          <w:tcPr>
            <w:tcW w:w="794" w:type="dxa"/>
          </w:tcPr>
          <w:p>
            <w:pPr>
              <w:pStyle w:val="0"/>
            </w:pPr>
            <w:r>
              <w:rPr>
                <w:sz w:val="20"/>
              </w:rPr>
              <w:t xml:space="preserve">1</w:t>
            </w:r>
          </w:p>
        </w:tc>
        <w:tc>
          <w:tcPr>
            <w:tcW w:w="1361" w:type="dxa"/>
          </w:tcPr>
          <w:p>
            <w:pPr>
              <w:pStyle w:val="0"/>
            </w:pPr>
            <w:r>
              <w:rPr>
                <w:sz w:val="20"/>
              </w:rPr>
              <w:t xml:space="preserve">9124,80</w:t>
            </w:r>
          </w:p>
        </w:tc>
        <w:tc>
          <w:tcPr>
            <w:tcW w:w="1247" w:type="dxa"/>
          </w:tcPr>
          <w:p>
            <w:pPr>
              <w:pStyle w:val="0"/>
            </w:pPr>
            <w:r>
              <w:rPr>
                <w:sz w:val="20"/>
              </w:rPr>
              <w:t xml:space="preserve">4273,80</w:t>
            </w:r>
          </w:p>
        </w:tc>
        <w:tc>
          <w:tcPr>
            <w:tcW w:w="1304" w:type="dxa"/>
          </w:tcPr>
          <w:p>
            <w:pPr>
              <w:pStyle w:val="0"/>
            </w:pPr>
            <w:r>
              <w:rPr>
                <w:sz w:val="20"/>
              </w:rPr>
              <w:t xml:space="preserve">4273,80</w:t>
            </w:r>
          </w:p>
        </w:tc>
        <w:tc>
          <w:tcPr>
            <w:tcW w:w="1247" w:type="dxa"/>
          </w:tcPr>
          <w:p>
            <w:pPr>
              <w:pStyle w:val="0"/>
            </w:pPr>
            <w:r>
              <w:rPr>
                <w:sz w:val="20"/>
              </w:rPr>
              <w:t xml:space="preserve">577,20</w:t>
            </w:r>
          </w:p>
        </w:tc>
      </w:tr>
      <w:tr>
        <w:tc>
          <w:tcPr>
            <w:gridSpan w:val="3"/>
            <w:tcW w:w="4422" w:type="dxa"/>
          </w:tcPr>
          <w:p>
            <w:pPr>
              <w:pStyle w:val="0"/>
            </w:pPr>
            <w:r>
              <w:rPr>
                <w:sz w:val="20"/>
              </w:rPr>
              <w:t xml:space="preserve">Нераспределенный остаток</w:t>
            </w:r>
          </w:p>
        </w:tc>
        <w:tc>
          <w:tcPr>
            <w:tcW w:w="1346" w:type="dxa"/>
          </w:tcPr>
          <w:p>
            <w:pPr>
              <w:pStyle w:val="0"/>
            </w:pPr>
            <w:r>
              <w:rPr>
                <w:sz w:val="20"/>
              </w:rPr>
              <w:t xml:space="preserve">0,90</w:t>
            </w:r>
          </w:p>
        </w:tc>
        <w:tc>
          <w:tcPr>
            <w:tcW w:w="1346" w:type="dxa"/>
          </w:tcPr>
          <w:p>
            <w:pPr>
              <w:pStyle w:val="0"/>
            </w:pPr>
            <w:r>
              <w:rPr>
                <w:sz w:val="20"/>
              </w:rPr>
              <w:t xml:space="preserve">0,60</w:t>
            </w:r>
          </w:p>
        </w:tc>
        <w:tc>
          <w:tcPr>
            <w:tcW w:w="1346" w:type="dxa"/>
          </w:tcPr>
          <w:p>
            <w:pPr>
              <w:pStyle w:val="0"/>
            </w:pPr>
            <w:r>
              <w:rPr>
                <w:sz w:val="20"/>
              </w:rPr>
              <w:t xml:space="preserve">0,30</w:t>
            </w:r>
          </w:p>
        </w:tc>
        <w:tc>
          <w:tcPr>
            <w:tcW w:w="1346" w:type="dxa"/>
          </w:tcPr>
          <w:p>
            <w:pPr>
              <w:pStyle w:val="0"/>
            </w:pPr>
            <w:r>
              <w:rPr>
                <w:sz w:val="20"/>
              </w:rPr>
              <w:t xml:space="preserve">x</w:t>
            </w:r>
          </w:p>
        </w:tc>
        <w:tc>
          <w:tcPr>
            <w:tcW w:w="850" w:type="dxa"/>
          </w:tcPr>
          <w:p>
            <w:pPr>
              <w:pStyle w:val="0"/>
            </w:pPr>
            <w:r>
              <w:rPr>
                <w:sz w:val="20"/>
              </w:rPr>
              <w:t xml:space="preserve">x</w:t>
            </w:r>
          </w:p>
        </w:tc>
        <w:tc>
          <w:tcPr>
            <w:tcW w:w="1310" w:type="dxa"/>
          </w:tcPr>
          <w:p>
            <w:pPr>
              <w:pStyle w:val="0"/>
            </w:pPr>
            <w:r>
              <w:rPr>
                <w:sz w:val="20"/>
              </w:rPr>
              <w:t xml:space="preserve">1,50</w:t>
            </w:r>
          </w:p>
        </w:tc>
        <w:tc>
          <w:tcPr>
            <w:tcW w:w="1361" w:type="dxa"/>
          </w:tcPr>
          <w:p>
            <w:pPr>
              <w:pStyle w:val="0"/>
            </w:pPr>
            <w:r>
              <w:rPr>
                <w:sz w:val="20"/>
              </w:rPr>
              <w:t xml:space="preserve">0,60</w:t>
            </w:r>
          </w:p>
        </w:tc>
        <w:tc>
          <w:tcPr>
            <w:tcW w:w="1361" w:type="dxa"/>
          </w:tcPr>
          <w:p>
            <w:pPr>
              <w:pStyle w:val="0"/>
            </w:pPr>
            <w:r>
              <w:rPr>
                <w:sz w:val="20"/>
              </w:rPr>
              <w:t xml:space="preserve">0,90</w:t>
            </w:r>
          </w:p>
        </w:tc>
        <w:tc>
          <w:tcPr>
            <w:tcW w:w="1247" w:type="dxa"/>
          </w:tcPr>
          <w:p>
            <w:pPr>
              <w:pStyle w:val="0"/>
            </w:pPr>
            <w:r>
              <w:rPr>
                <w:sz w:val="20"/>
              </w:rPr>
              <w:t xml:space="preserve">x</w:t>
            </w:r>
          </w:p>
        </w:tc>
        <w:tc>
          <w:tcPr>
            <w:tcW w:w="850" w:type="dxa"/>
          </w:tcPr>
          <w:p>
            <w:pPr>
              <w:pStyle w:val="0"/>
            </w:pPr>
            <w:r>
              <w:rPr>
                <w:sz w:val="20"/>
              </w:rPr>
              <w:t xml:space="preserve">x</w:t>
            </w:r>
          </w:p>
        </w:tc>
        <w:tc>
          <w:tcPr>
            <w:tcW w:w="1361" w:type="dxa"/>
          </w:tcPr>
          <w:p>
            <w:pPr>
              <w:pStyle w:val="0"/>
            </w:pPr>
            <w:r>
              <w:rPr>
                <w:sz w:val="20"/>
              </w:rPr>
              <w:t xml:space="preserve">1,50</w:t>
            </w:r>
          </w:p>
        </w:tc>
        <w:tc>
          <w:tcPr>
            <w:tcW w:w="1304" w:type="dxa"/>
          </w:tcPr>
          <w:p>
            <w:pPr>
              <w:pStyle w:val="0"/>
            </w:pPr>
            <w:r>
              <w:rPr>
                <w:sz w:val="20"/>
              </w:rPr>
              <w:t xml:space="preserve">0,70</w:t>
            </w:r>
          </w:p>
        </w:tc>
        <w:tc>
          <w:tcPr>
            <w:tcW w:w="1304" w:type="dxa"/>
          </w:tcPr>
          <w:p>
            <w:pPr>
              <w:pStyle w:val="0"/>
            </w:pPr>
            <w:r>
              <w:rPr>
                <w:sz w:val="20"/>
              </w:rPr>
              <w:t xml:space="preserve">0,80</w:t>
            </w:r>
          </w:p>
        </w:tc>
        <w:tc>
          <w:tcPr>
            <w:tcW w:w="1203" w:type="dxa"/>
          </w:tcPr>
          <w:p>
            <w:pPr>
              <w:pStyle w:val="0"/>
            </w:pPr>
            <w:r>
              <w:rPr>
                <w:sz w:val="20"/>
              </w:rPr>
              <w:t xml:space="preserve">x</w:t>
            </w:r>
          </w:p>
        </w:tc>
        <w:tc>
          <w:tcPr>
            <w:tcW w:w="794" w:type="dxa"/>
          </w:tcPr>
          <w:p>
            <w:pPr>
              <w:pStyle w:val="0"/>
            </w:pPr>
            <w:r>
              <w:rPr>
                <w:sz w:val="20"/>
              </w:rPr>
              <w:t xml:space="preserve">x</w:t>
            </w:r>
          </w:p>
        </w:tc>
        <w:tc>
          <w:tcPr>
            <w:tcW w:w="1361" w:type="dxa"/>
          </w:tcPr>
          <w:p>
            <w:pPr>
              <w:pStyle w:val="0"/>
            </w:pPr>
            <w:r>
              <w:rPr>
                <w:sz w:val="20"/>
              </w:rPr>
              <w:t xml:space="preserve">0,40</w:t>
            </w:r>
          </w:p>
        </w:tc>
        <w:tc>
          <w:tcPr>
            <w:tcW w:w="1247" w:type="dxa"/>
          </w:tcPr>
          <w:p>
            <w:pPr>
              <w:pStyle w:val="0"/>
            </w:pPr>
            <w:r>
              <w:rPr>
                <w:sz w:val="20"/>
              </w:rPr>
              <w:t xml:space="preserve">0,20</w:t>
            </w:r>
          </w:p>
        </w:tc>
        <w:tc>
          <w:tcPr>
            <w:tcW w:w="1304" w:type="dxa"/>
          </w:tcPr>
          <w:p>
            <w:pPr>
              <w:pStyle w:val="0"/>
            </w:pPr>
            <w:r>
              <w:rPr>
                <w:sz w:val="20"/>
              </w:rPr>
              <w:t xml:space="preserve">0,20</w:t>
            </w:r>
          </w:p>
        </w:tc>
        <w:tc>
          <w:tcPr>
            <w:tcW w:w="1247" w:type="dxa"/>
          </w:tcPr>
          <w:p>
            <w:pPr>
              <w:pStyle w:val="0"/>
            </w:pPr>
            <w:r>
              <w:rPr>
                <w:sz w:val="20"/>
              </w:rPr>
              <w:t xml:space="preserve">x</w:t>
            </w:r>
          </w:p>
        </w:tc>
      </w:tr>
      <w:tr>
        <w:tc>
          <w:tcPr>
            <w:gridSpan w:val="2"/>
            <w:tcW w:w="3515" w:type="dxa"/>
          </w:tcPr>
          <w:p>
            <w:pPr>
              <w:pStyle w:val="0"/>
            </w:pPr>
            <w:r>
              <w:rPr>
                <w:sz w:val="20"/>
              </w:rPr>
              <w:t xml:space="preserve">Всего по муниципальным образованиям</w:t>
            </w:r>
          </w:p>
        </w:tc>
        <w:tc>
          <w:tcPr>
            <w:tcW w:w="907" w:type="dxa"/>
          </w:tcPr>
          <w:p>
            <w:pPr>
              <w:pStyle w:val="0"/>
            </w:pPr>
            <w:r>
              <w:rPr>
                <w:sz w:val="20"/>
              </w:rPr>
              <w:t xml:space="preserve">7</w:t>
            </w:r>
          </w:p>
        </w:tc>
        <w:tc>
          <w:tcPr>
            <w:tcW w:w="1346" w:type="dxa"/>
          </w:tcPr>
          <w:p>
            <w:pPr>
              <w:pStyle w:val="0"/>
            </w:pPr>
            <w:r>
              <w:rPr>
                <w:sz w:val="20"/>
              </w:rPr>
              <w:t xml:space="preserve">294109,20</w:t>
            </w:r>
          </w:p>
        </w:tc>
        <w:tc>
          <w:tcPr>
            <w:tcW w:w="1346" w:type="dxa"/>
          </w:tcPr>
          <w:p>
            <w:pPr>
              <w:pStyle w:val="0"/>
            </w:pPr>
            <w:r>
              <w:rPr>
                <w:sz w:val="20"/>
              </w:rPr>
              <w:t xml:space="preserve">116816,00</w:t>
            </w:r>
          </w:p>
        </w:tc>
        <w:tc>
          <w:tcPr>
            <w:tcW w:w="1346" w:type="dxa"/>
          </w:tcPr>
          <w:p>
            <w:pPr>
              <w:pStyle w:val="0"/>
            </w:pPr>
            <w:r>
              <w:rPr>
                <w:sz w:val="20"/>
              </w:rPr>
              <w:t xml:space="preserve">148674,00</w:t>
            </w:r>
          </w:p>
        </w:tc>
        <w:tc>
          <w:tcPr>
            <w:tcW w:w="1346" w:type="dxa"/>
          </w:tcPr>
          <w:p>
            <w:pPr>
              <w:pStyle w:val="0"/>
            </w:pPr>
            <w:r>
              <w:rPr>
                <w:sz w:val="20"/>
              </w:rPr>
              <w:t xml:space="preserve">28619,20</w:t>
            </w:r>
          </w:p>
        </w:tc>
        <w:tc>
          <w:tcPr>
            <w:tcW w:w="850" w:type="dxa"/>
          </w:tcPr>
          <w:p>
            <w:pPr>
              <w:pStyle w:val="0"/>
            </w:pPr>
            <w:r>
              <w:rPr>
                <w:sz w:val="20"/>
              </w:rPr>
              <w:t xml:space="preserve">8</w:t>
            </w:r>
          </w:p>
        </w:tc>
        <w:tc>
          <w:tcPr>
            <w:tcW w:w="1310" w:type="dxa"/>
          </w:tcPr>
          <w:p>
            <w:pPr>
              <w:pStyle w:val="0"/>
            </w:pPr>
            <w:r>
              <w:rPr>
                <w:sz w:val="20"/>
              </w:rPr>
              <w:t xml:space="preserve">311487,60</w:t>
            </w:r>
          </w:p>
        </w:tc>
        <w:tc>
          <w:tcPr>
            <w:tcW w:w="1361" w:type="dxa"/>
          </w:tcPr>
          <w:p>
            <w:pPr>
              <w:pStyle w:val="0"/>
            </w:pPr>
            <w:r>
              <w:rPr>
                <w:sz w:val="20"/>
              </w:rPr>
              <w:t xml:space="preserve">127509,00</w:t>
            </w:r>
          </w:p>
        </w:tc>
        <w:tc>
          <w:tcPr>
            <w:tcW w:w="1361" w:type="dxa"/>
          </w:tcPr>
          <w:p>
            <w:pPr>
              <w:pStyle w:val="0"/>
            </w:pPr>
            <w:r>
              <w:rPr>
                <w:sz w:val="20"/>
              </w:rPr>
              <w:t xml:space="preserve">155844,00</w:t>
            </w:r>
          </w:p>
        </w:tc>
        <w:tc>
          <w:tcPr>
            <w:tcW w:w="1247" w:type="dxa"/>
          </w:tcPr>
          <w:p>
            <w:pPr>
              <w:pStyle w:val="0"/>
            </w:pPr>
            <w:r>
              <w:rPr>
                <w:sz w:val="20"/>
              </w:rPr>
              <w:t xml:space="preserve">28134,60</w:t>
            </w:r>
          </w:p>
        </w:tc>
        <w:tc>
          <w:tcPr>
            <w:tcW w:w="850" w:type="dxa"/>
          </w:tcPr>
          <w:p>
            <w:pPr>
              <w:pStyle w:val="0"/>
            </w:pPr>
            <w:r>
              <w:rPr>
                <w:sz w:val="20"/>
              </w:rPr>
              <w:t xml:space="preserve">5</w:t>
            </w:r>
          </w:p>
        </w:tc>
        <w:tc>
          <w:tcPr>
            <w:tcW w:w="1361" w:type="dxa"/>
          </w:tcPr>
          <w:p>
            <w:pPr>
              <w:pStyle w:val="0"/>
            </w:pPr>
            <w:r>
              <w:rPr>
                <w:sz w:val="20"/>
              </w:rPr>
              <w:t xml:space="preserve">206034,20</w:t>
            </w:r>
          </w:p>
        </w:tc>
        <w:tc>
          <w:tcPr>
            <w:tcW w:w="1304" w:type="dxa"/>
          </w:tcPr>
          <w:p>
            <w:pPr>
              <w:pStyle w:val="0"/>
            </w:pPr>
            <w:r>
              <w:rPr>
                <w:sz w:val="20"/>
              </w:rPr>
              <w:t xml:space="preserve">91382,00</w:t>
            </w:r>
          </w:p>
        </w:tc>
        <w:tc>
          <w:tcPr>
            <w:tcW w:w="1304" w:type="dxa"/>
          </w:tcPr>
          <w:p>
            <w:pPr>
              <w:pStyle w:val="0"/>
            </w:pPr>
            <w:r>
              <w:rPr>
                <w:sz w:val="20"/>
              </w:rPr>
              <w:t xml:space="preserve">98997,00</w:t>
            </w:r>
          </w:p>
        </w:tc>
        <w:tc>
          <w:tcPr>
            <w:tcW w:w="1203" w:type="dxa"/>
          </w:tcPr>
          <w:p>
            <w:pPr>
              <w:pStyle w:val="0"/>
            </w:pPr>
            <w:r>
              <w:rPr>
                <w:sz w:val="20"/>
              </w:rPr>
              <w:t xml:space="preserve">15655,20</w:t>
            </w:r>
          </w:p>
        </w:tc>
        <w:tc>
          <w:tcPr>
            <w:tcW w:w="794" w:type="dxa"/>
          </w:tcPr>
          <w:p>
            <w:pPr>
              <w:pStyle w:val="0"/>
            </w:pPr>
            <w:r>
              <w:rPr>
                <w:sz w:val="20"/>
              </w:rPr>
              <w:t xml:space="preserve">5</w:t>
            </w:r>
          </w:p>
        </w:tc>
        <w:tc>
          <w:tcPr>
            <w:tcW w:w="1361" w:type="dxa"/>
          </w:tcPr>
          <w:p>
            <w:pPr>
              <w:pStyle w:val="0"/>
            </w:pPr>
            <w:r>
              <w:rPr>
                <w:sz w:val="20"/>
              </w:rPr>
              <w:t xml:space="preserve">210584,90</w:t>
            </w:r>
          </w:p>
        </w:tc>
        <w:tc>
          <w:tcPr>
            <w:tcW w:w="1247" w:type="dxa"/>
          </w:tcPr>
          <w:p>
            <w:pPr>
              <w:pStyle w:val="0"/>
            </w:pPr>
            <w:r>
              <w:rPr>
                <w:sz w:val="20"/>
              </w:rPr>
              <w:t xml:space="preserve">97292,00</w:t>
            </w:r>
          </w:p>
        </w:tc>
        <w:tc>
          <w:tcPr>
            <w:tcW w:w="1304" w:type="dxa"/>
          </w:tcPr>
          <w:p>
            <w:pPr>
              <w:pStyle w:val="0"/>
            </w:pPr>
            <w:r>
              <w:rPr>
                <w:sz w:val="20"/>
              </w:rPr>
              <w:t xml:space="preserve">97292,00</w:t>
            </w:r>
          </w:p>
        </w:tc>
        <w:tc>
          <w:tcPr>
            <w:tcW w:w="1247" w:type="dxa"/>
          </w:tcPr>
          <w:p>
            <w:pPr>
              <w:pStyle w:val="0"/>
            </w:pPr>
            <w:r>
              <w:rPr>
                <w:sz w:val="20"/>
              </w:rPr>
              <w:t xml:space="preserve">16000,90</w:t>
            </w:r>
          </w:p>
        </w:tc>
      </w:tr>
    </w:tbl>
    <w:p>
      <w:pPr>
        <w:pStyle w:val="0"/>
        <w:jc w:val="both"/>
      </w:pPr>
      <w:r>
        <w:rPr>
          <w:sz w:val="20"/>
        </w:rPr>
      </w:r>
    </w:p>
    <w:p>
      <w:pPr>
        <w:pStyle w:val="2"/>
        <w:outlineLvl w:val="1"/>
        <w:jc w:val="center"/>
      </w:pPr>
      <w:r>
        <w:rPr>
          <w:sz w:val="20"/>
        </w:rPr>
        <w:t xml:space="preserve">6. Подпрограмма 2 "Развитие конкуренции</w:t>
      </w:r>
    </w:p>
    <w:p>
      <w:pPr>
        <w:pStyle w:val="2"/>
        <w:jc w:val="center"/>
      </w:pPr>
      <w:r>
        <w:rPr>
          <w:sz w:val="20"/>
        </w:rPr>
        <w:t xml:space="preserve">в Московской области"</w:t>
      </w:r>
    </w:p>
    <w:p>
      <w:pPr>
        <w:pStyle w:val="0"/>
        <w:jc w:val="both"/>
      </w:pPr>
      <w:r>
        <w:rPr>
          <w:sz w:val="20"/>
        </w:rPr>
      </w:r>
    </w:p>
    <w:p>
      <w:pPr>
        <w:pStyle w:val="2"/>
        <w:outlineLvl w:val="2"/>
        <w:jc w:val="center"/>
      </w:pPr>
      <w:r>
        <w:rPr>
          <w:sz w:val="20"/>
        </w:rPr>
        <w:t xml:space="preserve">6.1. Перечень мероприятий Подпрограммы 2 "Развитие</w:t>
      </w:r>
    </w:p>
    <w:p>
      <w:pPr>
        <w:pStyle w:val="2"/>
        <w:jc w:val="center"/>
      </w:pPr>
      <w:r>
        <w:rPr>
          <w:sz w:val="20"/>
        </w:rPr>
        <w:t xml:space="preserve">конкуренции в Московской области"</w:t>
      </w:r>
    </w:p>
    <w:p>
      <w:pPr>
        <w:pStyle w:val="0"/>
        <w:jc w:val="center"/>
      </w:pPr>
      <w:r>
        <w:rPr>
          <w:sz w:val="20"/>
        </w:rPr>
      </w:r>
    </w:p>
    <w:p>
      <w:pPr>
        <w:pStyle w:val="0"/>
        <w:jc w:val="center"/>
      </w:pPr>
      <w:r>
        <w:rPr>
          <w:sz w:val="20"/>
        </w:rPr>
        <w:t xml:space="preserve">(в ред. </w:t>
      </w:r>
      <w:hyperlink w:history="0" r:id="rId561"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742"/>
        <w:gridCol w:w="1304"/>
        <w:gridCol w:w="1701"/>
        <w:gridCol w:w="1114"/>
        <w:gridCol w:w="1114"/>
        <w:gridCol w:w="1114"/>
        <w:gridCol w:w="964"/>
        <w:gridCol w:w="847"/>
        <w:gridCol w:w="847"/>
        <w:gridCol w:w="847"/>
        <w:gridCol w:w="850"/>
        <w:gridCol w:w="1190"/>
        <w:gridCol w:w="1190"/>
        <w:gridCol w:w="1871"/>
      </w:tblGrid>
      <w:tr>
        <w:tc>
          <w:tcPr>
            <w:tcW w:w="624" w:type="dxa"/>
            <w:vMerge w:val="restart"/>
          </w:tcPr>
          <w:p>
            <w:pPr>
              <w:pStyle w:val="0"/>
              <w:jc w:val="center"/>
            </w:pPr>
            <w:r>
              <w:rPr>
                <w:sz w:val="20"/>
              </w:rPr>
              <w:t xml:space="preserve">N п/п</w:t>
            </w:r>
          </w:p>
        </w:tc>
        <w:tc>
          <w:tcPr>
            <w:tcW w:w="3742" w:type="dxa"/>
            <w:vMerge w:val="restart"/>
          </w:tcPr>
          <w:p>
            <w:pPr>
              <w:pStyle w:val="0"/>
              <w:jc w:val="center"/>
            </w:pPr>
            <w:r>
              <w:rPr>
                <w:sz w:val="20"/>
              </w:rPr>
              <w:t xml:space="preserve">Мероприятие подпрограммы</w:t>
            </w:r>
          </w:p>
        </w:tc>
        <w:tc>
          <w:tcPr>
            <w:tcW w:w="1304" w:type="dxa"/>
            <w:vMerge w:val="restart"/>
          </w:tcPr>
          <w:p>
            <w:pPr>
              <w:pStyle w:val="0"/>
              <w:jc w:val="center"/>
            </w:pPr>
            <w:r>
              <w:rPr>
                <w:sz w:val="20"/>
              </w:rPr>
              <w:t xml:space="preserve">Сроки исполнения мероприятия</w:t>
            </w:r>
          </w:p>
        </w:tc>
        <w:tc>
          <w:tcPr>
            <w:tcW w:w="1701" w:type="dxa"/>
            <w:vMerge w:val="restart"/>
          </w:tcPr>
          <w:p>
            <w:pPr>
              <w:pStyle w:val="0"/>
              <w:jc w:val="center"/>
            </w:pPr>
            <w:r>
              <w:rPr>
                <w:sz w:val="20"/>
              </w:rPr>
              <w:t xml:space="preserve">Источники финансирования</w:t>
            </w:r>
          </w:p>
        </w:tc>
        <w:tc>
          <w:tcPr>
            <w:tcW w:w="1114" w:type="dxa"/>
            <w:vMerge w:val="restart"/>
          </w:tcPr>
          <w:p>
            <w:pPr>
              <w:pStyle w:val="0"/>
              <w:jc w:val="center"/>
            </w:pPr>
            <w:r>
              <w:rPr>
                <w:sz w:val="20"/>
              </w:rPr>
              <w:t xml:space="preserve">Всего (тыс. руб.)</w:t>
            </w:r>
          </w:p>
        </w:tc>
        <w:tc>
          <w:tcPr>
            <w:gridSpan w:val="9"/>
            <w:tcW w:w="8963" w:type="dxa"/>
          </w:tcPr>
          <w:p>
            <w:pPr>
              <w:pStyle w:val="0"/>
              <w:jc w:val="center"/>
            </w:pPr>
            <w:r>
              <w:rPr>
                <w:sz w:val="20"/>
              </w:rPr>
              <w:t xml:space="preserve">Объем финансирования по годам (тыс. руб.)</w:t>
            </w:r>
          </w:p>
        </w:tc>
        <w:tc>
          <w:tcPr>
            <w:tcW w:w="1871" w:type="dxa"/>
            <w:vMerge w:val="restart"/>
          </w:tcPr>
          <w:p>
            <w:pPr>
              <w:pStyle w:val="0"/>
              <w:jc w:val="center"/>
            </w:pPr>
            <w:r>
              <w:rPr>
                <w:sz w:val="20"/>
              </w:rPr>
              <w:t xml:space="preserve">Ответственный за выполнение мероприятия</w:t>
            </w:r>
          </w:p>
        </w:tc>
      </w:tr>
      <w:tr>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center"/>
            </w:pPr>
            <w:r>
              <w:rPr>
                <w:sz w:val="20"/>
              </w:rPr>
              <w:t xml:space="preserve">2023 год</w:t>
            </w:r>
          </w:p>
        </w:tc>
        <w:tc>
          <w:tcPr>
            <w:tcW w:w="1114" w:type="dxa"/>
          </w:tcPr>
          <w:p>
            <w:pPr>
              <w:pStyle w:val="0"/>
              <w:jc w:val="center"/>
            </w:pPr>
            <w:r>
              <w:rPr>
                <w:sz w:val="20"/>
              </w:rPr>
              <w:t xml:space="preserve">2024 год</w:t>
            </w:r>
          </w:p>
        </w:tc>
        <w:tc>
          <w:tcPr>
            <w:gridSpan w:val="5"/>
            <w:tcW w:w="4355" w:type="dxa"/>
          </w:tcPr>
          <w:p>
            <w:pPr>
              <w:pStyle w:val="0"/>
              <w:jc w:val="center"/>
            </w:pPr>
            <w:r>
              <w:rPr>
                <w:sz w:val="20"/>
              </w:rPr>
              <w:t xml:space="preserve">2025 год</w:t>
            </w:r>
          </w:p>
        </w:tc>
        <w:tc>
          <w:tcPr>
            <w:tcW w:w="1190" w:type="dxa"/>
          </w:tcPr>
          <w:p>
            <w:pPr>
              <w:pStyle w:val="0"/>
              <w:jc w:val="center"/>
            </w:pPr>
            <w:r>
              <w:rPr>
                <w:sz w:val="20"/>
              </w:rPr>
              <w:t xml:space="preserve">2026 год</w:t>
            </w:r>
          </w:p>
        </w:tc>
        <w:tc>
          <w:tcPr>
            <w:tcW w:w="1190" w:type="dxa"/>
          </w:tcPr>
          <w:p>
            <w:pPr>
              <w:pStyle w:val="0"/>
              <w:jc w:val="center"/>
            </w:pPr>
            <w:r>
              <w:rPr>
                <w:sz w:val="20"/>
              </w:rPr>
              <w:t xml:space="preserve">2027 год</w:t>
            </w:r>
          </w:p>
        </w:tc>
        <w:tc>
          <w:tcPr>
            <w:vMerge w:val="continue"/>
          </w:tcPr>
          <w:p/>
        </w:tc>
      </w:tr>
      <w:tr>
        <w:tc>
          <w:tcPr>
            <w:tcW w:w="624" w:type="dxa"/>
          </w:tcPr>
          <w:p>
            <w:pPr>
              <w:pStyle w:val="0"/>
              <w:jc w:val="center"/>
            </w:pPr>
            <w:r>
              <w:rPr>
                <w:sz w:val="20"/>
              </w:rPr>
              <w:t xml:space="preserve">1</w:t>
            </w:r>
          </w:p>
        </w:tc>
        <w:tc>
          <w:tcPr>
            <w:tcW w:w="3742" w:type="dxa"/>
          </w:tcPr>
          <w:p>
            <w:pPr>
              <w:pStyle w:val="0"/>
              <w:jc w:val="center"/>
            </w:pPr>
            <w:r>
              <w:rPr>
                <w:sz w:val="20"/>
              </w:rPr>
              <w:t xml:space="preserve">2</w:t>
            </w:r>
          </w:p>
        </w:tc>
        <w:tc>
          <w:tcPr>
            <w:tcW w:w="1304" w:type="dxa"/>
          </w:tcPr>
          <w:p>
            <w:pPr>
              <w:pStyle w:val="0"/>
              <w:jc w:val="center"/>
            </w:pPr>
            <w:r>
              <w:rPr>
                <w:sz w:val="20"/>
              </w:rPr>
              <w:t xml:space="preserve">3</w:t>
            </w:r>
          </w:p>
        </w:tc>
        <w:tc>
          <w:tcPr>
            <w:tcW w:w="1701" w:type="dxa"/>
          </w:tcPr>
          <w:p>
            <w:pPr>
              <w:pStyle w:val="0"/>
              <w:jc w:val="center"/>
            </w:pPr>
            <w:r>
              <w:rPr>
                <w:sz w:val="20"/>
              </w:rPr>
              <w:t xml:space="preserve">4</w:t>
            </w:r>
          </w:p>
        </w:tc>
        <w:tc>
          <w:tcPr>
            <w:tcW w:w="1114" w:type="dxa"/>
          </w:tcPr>
          <w:p>
            <w:pPr>
              <w:pStyle w:val="0"/>
              <w:jc w:val="center"/>
            </w:pPr>
            <w:r>
              <w:rPr>
                <w:sz w:val="20"/>
              </w:rPr>
              <w:t xml:space="preserve">5</w:t>
            </w:r>
          </w:p>
        </w:tc>
        <w:tc>
          <w:tcPr>
            <w:tcW w:w="1114" w:type="dxa"/>
          </w:tcPr>
          <w:p>
            <w:pPr>
              <w:pStyle w:val="0"/>
              <w:jc w:val="center"/>
            </w:pPr>
            <w:r>
              <w:rPr>
                <w:sz w:val="20"/>
              </w:rPr>
              <w:t xml:space="preserve">6</w:t>
            </w:r>
          </w:p>
        </w:tc>
        <w:tc>
          <w:tcPr>
            <w:tcW w:w="1114" w:type="dxa"/>
          </w:tcPr>
          <w:p>
            <w:pPr>
              <w:pStyle w:val="0"/>
              <w:jc w:val="center"/>
            </w:pPr>
            <w:r>
              <w:rPr>
                <w:sz w:val="20"/>
              </w:rPr>
              <w:t xml:space="preserve">7</w:t>
            </w:r>
          </w:p>
        </w:tc>
        <w:tc>
          <w:tcPr>
            <w:gridSpan w:val="5"/>
            <w:tcW w:w="4355" w:type="dxa"/>
          </w:tcPr>
          <w:p>
            <w:pPr>
              <w:pStyle w:val="0"/>
              <w:jc w:val="center"/>
            </w:pPr>
            <w:r>
              <w:rPr>
                <w:sz w:val="20"/>
              </w:rPr>
              <w:t xml:space="preserve">8</w:t>
            </w:r>
          </w:p>
        </w:tc>
        <w:tc>
          <w:tcPr>
            <w:tcW w:w="1190" w:type="dxa"/>
          </w:tcPr>
          <w:p>
            <w:pPr>
              <w:pStyle w:val="0"/>
              <w:jc w:val="center"/>
            </w:pPr>
            <w:r>
              <w:rPr>
                <w:sz w:val="20"/>
              </w:rPr>
              <w:t xml:space="preserve">9</w:t>
            </w:r>
          </w:p>
        </w:tc>
        <w:tc>
          <w:tcPr>
            <w:tcW w:w="1190" w:type="dxa"/>
          </w:tcPr>
          <w:p>
            <w:pPr>
              <w:pStyle w:val="0"/>
              <w:jc w:val="center"/>
            </w:pPr>
            <w:r>
              <w:rPr>
                <w:sz w:val="20"/>
              </w:rPr>
              <w:t xml:space="preserve">10</w:t>
            </w:r>
          </w:p>
        </w:tc>
        <w:tc>
          <w:tcPr>
            <w:tcW w:w="1871" w:type="dxa"/>
          </w:tcPr>
          <w:p>
            <w:pPr>
              <w:pStyle w:val="0"/>
              <w:jc w:val="center"/>
            </w:pPr>
            <w:r>
              <w:rPr>
                <w:sz w:val="20"/>
              </w:rPr>
              <w:t xml:space="preserve">11</w:t>
            </w:r>
          </w:p>
        </w:tc>
      </w:tr>
      <w:tr>
        <w:tc>
          <w:tcPr>
            <w:tcW w:w="624" w:type="dxa"/>
            <w:tcBorders>
              <w:bottom w:val="nil"/>
            </w:tcBorders>
            <w:vMerge w:val="restart"/>
          </w:tcPr>
          <w:p>
            <w:pPr>
              <w:pStyle w:val="0"/>
              <w:outlineLvl w:val="3"/>
            </w:pPr>
            <w:r>
              <w:rPr>
                <w:sz w:val="20"/>
              </w:rPr>
              <w:t xml:space="preserve">1</w:t>
            </w:r>
          </w:p>
        </w:tc>
        <w:tc>
          <w:tcPr>
            <w:tcW w:w="3742" w:type="dxa"/>
            <w:tcBorders>
              <w:bottom w:val="nil"/>
            </w:tcBorders>
            <w:vMerge w:val="restart"/>
          </w:tcPr>
          <w:p>
            <w:pPr>
              <w:pStyle w:val="0"/>
            </w:pPr>
            <w:r>
              <w:rPr>
                <w:sz w:val="20"/>
              </w:rPr>
              <w:t xml:space="preserve">Основное мероприятие 01. Реализация комплекса мер по формированию и развитию информационного пространства в сфере контрактной системы</w:t>
            </w:r>
          </w:p>
        </w:tc>
        <w:tc>
          <w:tcPr>
            <w:tcW w:w="1304" w:type="dxa"/>
            <w:tcBorders>
              <w:bottom w:val="nil"/>
            </w:tcBorders>
            <w:vMerge w:val="restart"/>
          </w:tcPr>
          <w:p>
            <w:pPr>
              <w:pStyle w:val="0"/>
            </w:pPr>
            <w:r>
              <w:rPr>
                <w:sz w:val="20"/>
              </w:rPr>
              <w:t xml:space="preserve">2023-2027</w:t>
            </w:r>
          </w:p>
        </w:tc>
        <w:tc>
          <w:tcPr>
            <w:tcW w:w="1701" w:type="dxa"/>
          </w:tcPr>
          <w:p>
            <w:pPr>
              <w:pStyle w:val="0"/>
            </w:pPr>
            <w:r>
              <w:rPr>
                <w:sz w:val="20"/>
              </w:rPr>
              <w:t xml:space="preserve">Итого:</w:t>
            </w:r>
          </w:p>
        </w:tc>
        <w:tc>
          <w:tcPr>
            <w:tcW w:w="1114" w:type="dxa"/>
          </w:tcPr>
          <w:p>
            <w:pPr>
              <w:pStyle w:val="0"/>
            </w:pPr>
            <w:r>
              <w:rPr>
                <w:sz w:val="20"/>
              </w:rPr>
              <w:t xml:space="preserve">7080,00</w:t>
            </w:r>
          </w:p>
        </w:tc>
        <w:tc>
          <w:tcPr>
            <w:tcW w:w="1114" w:type="dxa"/>
          </w:tcPr>
          <w:p>
            <w:pPr>
              <w:pStyle w:val="0"/>
            </w:pPr>
            <w:r>
              <w:rPr>
                <w:sz w:val="20"/>
              </w:rPr>
              <w:t xml:space="preserve">350,00</w:t>
            </w:r>
          </w:p>
        </w:tc>
        <w:tc>
          <w:tcPr>
            <w:tcW w:w="1114" w:type="dxa"/>
          </w:tcPr>
          <w:p>
            <w:pPr>
              <w:pStyle w:val="0"/>
            </w:pPr>
            <w:r>
              <w:rPr>
                <w:sz w:val="20"/>
              </w:rPr>
              <w:t xml:space="preserve">1330,00</w:t>
            </w:r>
          </w:p>
        </w:tc>
        <w:tc>
          <w:tcPr>
            <w:gridSpan w:val="5"/>
            <w:tcW w:w="4355" w:type="dxa"/>
          </w:tcPr>
          <w:p>
            <w:pPr>
              <w:pStyle w:val="0"/>
            </w:pPr>
            <w:r>
              <w:rPr>
                <w:sz w:val="20"/>
              </w:rPr>
              <w:t xml:space="preserve">1800,00</w:t>
            </w:r>
          </w:p>
        </w:tc>
        <w:tc>
          <w:tcPr>
            <w:tcW w:w="1190" w:type="dxa"/>
          </w:tcPr>
          <w:p>
            <w:pPr>
              <w:pStyle w:val="0"/>
            </w:pPr>
            <w:r>
              <w:rPr>
                <w:sz w:val="20"/>
              </w:rPr>
              <w:t xml:space="preserve">1800,00</w:t>
            </w:r>
          </w:p>
        </w:tc>
        <w:tc>
          <w:tcPr>
            <w:tcW w:w="1190" w:type="dxa"/>
          </w:tcPr>
          <w:p>
            <w:pPr>
              <w:pStyle w:val="0"/>
            </w:pPr>
            <w:r>
              <w:rPr>
                <w:sz w:val="20"/>
              </w:rPr>
              <w:t xml:space="preserve">1800,00</w:t>
            </w:r>
          </w:p>
        </w:tc>
        <w:tc>
          <w:tcPr>
            <w:tcW w:w="1871" w:type="dxa"/>
            <w:tcBorders>
              <w:bottom w:val="nil"/>
            </w:tcBorders>
            <w:vMerge w:val="restart"/>
          </w:tcPr>
          <w:p>
            <w:pPr>
              <w:pStyle w:val="0"/>
            </w:pPr>
            <w:r>
              <w:rPr>
                <w:sz w:val="20"/>
              </w:rPr>
              <w:t xml:space="preserve">Х</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701" w:type="dxa"/>
            <w:tcBorders>
              <w:bottom w:val="nil"/>
            </w:tcBorders>
          </w:tcPr>
          <w:p>
            <w:pPr>
              <w:pStyle w:val="0"/>
            </w:pPr>
            <w:r>
              <w:rPr>
                <w:sz w:val="20"/>
              </w:rPr>
              <w:t xml:space="preserve">Средства бюджета Московской области</w:t>
            </w:r>
          </w:p>
        </w:tc>
        <w:tc>
          <w:tcPr>
            <w:tcW w:w="1114" w:type="dxa"/>
            <w:tcBorders>
              <w:bottom w:val="nil"/>
            </w:tcBorders>
          </w:tcPr>
          <w:p>
            <w:pPr>
              <w:pStyle w:val="0"/>
            </w:pPr>
            <w:r>
              <w:rPr>
                <w:sz w:val="20"/>
              </w:rPr>
              <w:t xml:space="preserve">7080,00</w:t>
            </w:r>
          </w:p>
        </w:tc>
        <w:tc>
          <w:tcPr>
            <w:tcW w:w="1114" w:type="dxa"/>
            <w:tcBorders>
              <w:bottom w:val="nil"/>
            </w:tcBorders>
          </w:tcPr>
          <w:p>
            <w:pPr>
              <w:pStyle w:val="0"/>
            </w:pPr>
            <w:r>
              <w:rPr>
                <w:sz w:val="20"/>
              </w:rPr>
              <w:t xml:space="preserve">350,00</w:t>
            </w:r>
          </w:p>
        </w:tc>
        <w:tc>
          <w:tcPr>
            <w:tcW w:w="1114" w:type="dxa"/>
            <w:tcBorders>
              <w:bottom w:val="nil"/>
            </w:tcBorders>
          </w:tcPr>
          <w:p>
            <w:pPr>
              <w:pStyle w:val="0"/>
            </w:pPr>
            <w:r>
              <w:rPr>
                <w:sz w:val="20"/>
              </w:rPr>
              <w:t xml:space="preserve">1330,00</w:t>
            </w:r>
          </w:p>
        </w:tc>
        <w:tc>
          <w:tcPr>
            <w:gridSpan w:val="5"/>
            <w:tcW w:w="4355" w:type="dxa"/>
            <w:tcBorders>
              <w:bottom w:val="nil"/>
            </w:tcBorders>
          </w:tcPr>
          <w:p>
            <w:pPr>
              <w:pStyle w:val="0"/>
            </w:pPr>
            <w:r>
              <w:rPr>
                <w:sz w:val="20"/>
              </w:rPr>
              <w:t xml:space="preserve">1800,00</w:t>
            </w:r>
          </w:p>
        </w:tc>
        <w:tc>
          <w:tcPr>
            <w:tcW w:w="1190" w:type="dxa"/>
            <w:tcBorders>
              <w:bottom w:val="nil"/>
            </w:tcBorders>
          </w:tcPr>
          <w:p>
            <w:pPr>
              <w:pStyle w:val="0"/>
            </w:pPr>
            <w:r>
              <w:rPr>
                <w:sz w:val="20"/>
              </w:rPr>
              <w:t xml:space="preserve">1800,00</w:t>
            </w:r>
          </w:p>
        </w:tc>
        <w:tc>
          <w:tcPr>
            <w:tcW w:w="1190" w:type="dxa"/>
            <w:tcBorders>
              <w:bottom w:val="nil"/>
            </w:tcBorders>
          </w:tcPr>
          <w:p>
            <w:pPr>
              <w:pStyle w:val="0"/>
            </w:pPr>
            <w:r>
              <w:rPr>
                <w:sz w:val="20"/>
              </w:rPr>
              <w:t xml:space="preserve">1800,00</w:t>
            </w:r>
          </w:p>
        </w:tc>
        <w:tc>
          <w:tcPr>
            <w:tcBorders>
              <w:bottom w:val="nil"/>
            </w:tcBorders>
            <w:vMerge w:val="continue"/>
          </w:tcPr>
          <w:p/>
        </w:tc>
      </w:tr>
      <w:tr>
        <w:tblPrEx>
          <w:tblBorders>
            <w:insideH w:val="nil"/>
          </w:tblBorders>
        </w:tblPrEx>
        <w:tc>
          <w:tcPr>
            <w:gridSpan w:val="15"/>
            <w:tcW w:w="19319" w:type="dxa"/>
            <w:tcBorders>
              <w:top w:val="nil"/>
            </w:tcBorders>
          </w:tcPr>
          <w:p>
            <w:pPr>
              <w:pStyle w:val="0"/>
              <w:jc w:val="both"/>
            </w:pPr>
            <w:r>
              <w:rPr>
                <w:sz w:val="20"/>
              </w:rPr>
              <w:t xml:space="preserve">(строка 1 в ред. </w:t>
            </w:r>
            <w:hyperlink w:history="0" r:id="rId56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24" w:type="dxa"/>
            <w:tcBorders>
              <w:bottom w:val="nil"/>
            </w:tcBorders>
            <w:vMerge w:val="restart"/>
          </w:tcPr>
          <w:p>
            <w:pPr>
              <w:pStyle w:val="0"/>
            </w:pPr>
            <w:r>
              <w:rPr>
                <w:sz w:val="20"/>
              </w:rPr>
              <w:t xml:space="preserve">1.1</w:t>
            </w:r>
          </w:p>
        </w:tc>
        <w:tc>
          <w:tcPr>
            <w:tcW w:w="3742" w:type="dxa"/>
            <w:vMerge w:val="restart"/>
          </w:tcPr>
          <w:p>
            <w:pPr>
              <w:pStyle w:val="0"/>
            </w:pPr>
            <w:r>
              <w:rPr>
                <w:sz w:val="20"/>
              </w:rPr>
              <w:t xml:space="preserve">Мероприятие 01.01. Сопровождение классификатора объектов закупок для обеспечения государственных нужд Московской области и муниципальных нужд (КОЗ 2.0), формирование и обновление справочной информации, необходимой для функционирования его базы данных</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tcW w:w="1114" w:type="dxa"/>
          </w:tcPr>
          <w:p>
            <w:pPr>
              <w:pStyle w:val="0"/>
            </w:pPr>
            <w:r>
              <w:rPr>
                <w:sz w:val="20"/>
              </w:rPr>
              <w:t xml:space="preserve">7080,00</w:t>
            </w:r>
          </w:p>
        </w:tc>
        <w:tc>
          <w:tcPr>
            <w:tcW w:w="1114" w:type="dxa"/>
          </w:tcPr>
          <w:p>
            <w:pPr>
              <w:pStyle w:val="0"/>
            </w:pPr>
            <w:r>
              <w:rPr>
                <w:sz w:val="20"/>
              </w:rPr>
              <w:t xml:space="preserve">350,00</w:t>
            </w:r>
          </w:p>
        </w:tc>
        <w:tc>
          <w:tcPr>
            <w:tcW w:w="1114" w:type="dxa"/>
          </w:tcPr>
          <w:p>
            <w:pPr>
              <w:pStyle w:val="0"/>
            </w:pPr>
            <w:r>
              <w:rPr>
                <w:sz w:val="20"/>
              </w:rPr>
              <w:t xml:space="preserve">1330,00</w:t>
            </w:r>
          </w:p>
        </w:tc>
        <w:tc>
          <w:tcPr>
            <w:gridSpan w:val="5"/>
            <w:tcW w:w="4355" w:type="dxa"/>
          </w:tcPr>
          <w:p>
            <w:pPr>
              <w:pStyle w:val="0"/>
            </w:pPr>
            <w:r>
              <w:rPr>
                <w:sz w:val="20"/>
              </w:rPr>
              <w:t xml:space="preserve">1800,00</w:t>
            </w:r>
          </w:p>
        </w:tc>
        <w:tc>
          <w:tcPr>
            <w:tcW w:w="1190" w:type="dxa"/>
          </w:tcPr>
          <w:p>
            <w:pPr>
              <w:pStyle w:val="0"/>
            </w:pPr>
            <w:r>
              <w:rPr>
                <w:sz w:val="20"/>
              </w:rPr>
              <w:t xml:space="preserve">1800,00</w:t>
            </w:r>
          </w:p>
        </w:tc>
        <w:tc>
          <w:tcPr>
            <w:tcW w:w="1190" w:type="dxa"/>
          </w:tcPr>
          <w:p>
            <w:pPr>
              <w:pStyle w:val="0"/>
            </w:pPr>
            <w:r>
              <w:rPr>
                <w:sz w:val="20"/>
              </w:rPr>
              <w:t xml:space="preserve">1800,00</w:t>
            </w:r>
          </w:p>
        </w:tc>
        <w:tc>
          <w:tcPr>
            <w:tcW w:w="1871" w:type="dxa"/>
            <w:vMerge w:val="restart"/>
          </w:tcPr>
          <w:p>
            <w:pPr>
              <w:pStyle w:val="0"/>
            </w:pPr>
            <w:r>
              <w:rPr>
                <w:sz w:val="20"/>
              </w:rPr>
              <w:t xml:space="preserve">Комитет по конкурентной политике Московской области</w:t>
            </w:r>
          </w:p>
        </w:tc>
      </w:tr>
      <w:tr>
        <w:tc>
          <w:tcPr>
            <w:tcBorders>
              <w:bottom w:val="nil"/>
            </w:tcBorders>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tcW w:w="1114" w:type="dxa"/>
          </w:tcPr>
          <w:p>
            <w:pPr>
              <w:pStyle w:val="0"/>
            </w:pPr>
            <w:r>
              <w:rPr>
                <w:sz w:val="20"/>
              </w:rPr>
              <w:t xml:space="preserve">7080,00</w:t>
            </w:r>
          </w:p>
        </w:tc>
        <w:tc>
          <w:tcPr>
            <w:tcW w:w="1114" w:type="dxa"/>
          </w:tcPr>
          <w:p>
            <w:pPr>
              <w:pStyle w:val="0"/>
            </w:pPr>
            <w:r>
              <w:rPr>
                <w:sz w:val="20"/>
              </w:rPr>
              <w:t xml:space="preserve">350,00</w:t>
            </w:r>
          </w:p>
        </w:tc>
        <w:tc>
          <w:tcPr>
            <w:tcW w:w="1114" w:type="dxa"/>
          </w:tcPr>
          <w:p>
            <w:pPr>
              <w:pStyle w:val="0"/>
            </w:pPr>
            <w:r>
              <w:rPr>
                <w:sz w:val="20"/>
              </w:rPr>
              <w:t xml:space="preserve">1330,00</w:t>
            </w:r>
          </w:p>
        </w:tc>
        <w:tc>
          <w:tcPr>
            <w:gridSpan w:val="5"/>
            <w:tcW w:w="4355" w:type="dxa"/>
          </w:tcPr>
          <w:p>
            <w:pPr>
              <w:pStyle w:val="0"/>
            </w:pPr>
            <w:r>
              <w:rPr>
                <w:sz w:val="20"/>
              </w:rPr>
              <w:t xml:space="preserve">1800,00</w:t>
            </w:r>
          </w:p>
        </w:tc>
        <w:tc>
          <w:tcPr>
            <w:tcW w:w="1190" w:type="dxa"/>
          </w:tcPr>
          <w:p>
            <w:pPr>
              <w:pStyle w:val="0"/>
            </w:pPr>
            <w:r>
              <w:rPr>
                <w:sz w:val="20"/>
              </w:rPr>
              <w:t xml:space="preserve">1800,00</w:t>
            </w:r>
          </w:p>
        </w:tc>
        <w:tc>
          <w:tcPr>
            <w:tcW w:w="1190" w:type="dxa"/>
          </w:tcPr>
          <w:p>
            <w:pPr>
              <w:pStyle w:val="0"/>
            </w:pPr>
            <w:r>
              <w:rPr>
                <w:sz w:val="20"/>
              </w:rPr>
              <w:t xml:space="preserve">1800,00</w:t>
            </w:r>
          </w:p>
        </w:tc>
        <w:tc>
          <w:tcPr>
            <w:vMerge w:val="continue"/>
          </w:tcPr>
          <w:p/>
        </w:tc>
      </w:tr>
      <w:tr>
        <w:tc>
          <w:tcPr>
            <w:tcBorders>
              <w:bottom w:val="nil"/>
            </w:tcBorders>
            <w:vMerge w:val="continue"/>
          </w:tcPr>
          <w:p/>
        </w:tc>
        <w:tc>
          <w:tcPr>
            <w:tcW w:w="3742" w:type="dxa"/>
            <w:tcBorders>
              <w:bottom w:val="nil"/>
            </w:tcBorders>
            <w:vMerge w:val="restart"/>
          </w:tcPr>
          <w:p>
            <w:pPr>
              <w:pStyle w:val="0"/>
            </w:pPr>
            <w:r>
              <w:rPr>
                <w:sz w:val="20"/>
              </w:rPr>
              <w:t xml:space="preserve">Результат 1. Обеспечено функционирование классификатора объектов закупок для обеспечения государственных нужд Московской области и муниципальных нужд (КОЗ 2.0) в государственной информационной системе Московской области "Единая автоматизированная система управления закупками Московской области" (ЕАСУЗ) (нарастающим итогом), единиц</w:t>
            </w:r>
          </w:p>
        </w:tc>
        <w:tc>
          <w:tcPr>
            <w:tcW w:w="1304" w:type="dxa"/>
            <w:tcBorders>
              <w:bottom w:val="nil"/>
            </w:tcBorders>
            <w:vMerge w:val="restart"/>
          </w:tcPr>
          <w:p>
            <w:pPr>
              <w:pStyle w:val="0"/>
            </w:pPr>
            <w:r>
              <w:rPr>
                <w:sz w:val="20"/>
              </w:rPr>
              <w:t xml:space="preserve">Х</w:t>
            </w:r>
          </w:p>
        </w:tc>
        <w:tc>
          <w:tcPr>
            <w:tcW w:w="1701" w:type="dxa"/>
            <w:tcBorders>
              <w:bottom w:val="nil"/>
            </w:tcBorders>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114" w:type="dxa"/>
            <w:tcBorders>
              <w:bottom w:val="nil"/>
            </w:tcBorders>
          </w:tcPr>
          <w:p>
            <w:pPr>
              <w:pStyle w:val="0"/>
            </w:pPr>
            <w:r>
              <w:rPr>
                <w:sz w:val="20"/>
              </w:rPr>
              <w:t xml:space="preserve">1</w:t>
            </w:r>
          </w:p>
        </w:tc>
        <w:tc>
          <w:tcPr>
            <w:tcW w:w="1114" w:type="dxa"/>
            <w:tcBorders>
              <w:bottom w:val="nil"/>
            </w:tcBorders>
          </w:tcPr>
          <w:p>
            <w:pPr>
              <w:pStyle w:val="0"/>
            </w:pPr>
            <w:r>
              <w:rPr>
                <w:sz w:val="20"/>
              </w:rPr>
              <w:t xml:space="preserve">1</w:t>
            </w:r>
          </w:p>
        </w:tc>
        <w:tc>
          <w:tcPr>
            <w:tcW w:w="1114" w:type="dxa"/>
            <w:tcBorders>
              <w:bottom w:val="nil"/>
            </w:tcBorders>
          </w:tcPr>
          <w:p>
            <w:pPr>
              <w:pStyle w:val="0"/>
            </w:pPr>
            <w:r>
              <w:rPr>
                <w:sz w:val="20"/>
              </w:rPr>
              <w:t xml:space="preserve">1</w:t>
            </w:r>
          </w:p>
        </w:tc>
        <w:tc>
          <w:tcPr>
            <w:tcW w:w="964" w:type="dxa"/>
            <w:tcBorders>
              <w:bottom w:val="nil"/>
            </w:tcBorders>
          </w:tcPr>
          <w:p>
            <w:pPr>
              <w:pStyle w:val="0"/>
            </w:pPr>
            <w:r>
              <w:rPr>
                <w:sz w:val="20"/>
              </w:rPr>
              <w:t xml:space="preserve">1</w:t>
            </w:r>
          </w:p>
        </w:tc>
        <w:tc>
          <w:tcPr>
            <w:tcW w:w="847" w:type="dxa"/>
            <w:tcBorders>
              <w:bottom w:val="nil"/>
            </w:tcBorders>
          </w:tcPr>
          <w:p>
            <w:pPr>
              <w:pStyle w:val="0"/>
            </w:pPr>
            <w:r>
              <w:rPr>
                <w:sz w:val="20"/>
              </w:rPr>
              <w:t xml:space="preserve">-</w:t>
            </w:r>
          </w:p>
        </w:tc>
        <w:tc>
          <w:tcPr>
            <w:tcW w:w="847" w:type="dxa"/>
            <w:tcBorders>
              <w:bottom w:val="nil"/>
            </w:tcBorders>
          </w:tcPr>
          <w:p>
            <w:pPr>
              <w:pStyle w:val="0"/>
            </w:pPr>
            <w:r>
              <w:rPr>
                <w:sz w:val="20"/>
              </w:rPr>
              <w:t xml:space="preserve">-</w:t>
            </w:r>
          </w:p>
        </w:tc>
        <w:tc>
          <w:tcPr>
            <w:tcW w:w="847" w:type="dxa"/>
            <w:tcBorders>
              <w:bottom w:val="nil"/>
            </w:tcBorders>
          </w:tcPr>
          <w:p>
            <w:pPr>
              <w:pStyle w:val="0"/>
            </w:pPr>
            <w:r>
              <w:rPr>
                <w:sz w:val="20"/>
              </w:rPr>
              <w:t xml:space="preserve">-</w:t>
            </w:r>
          </w:p>
        </w:tc>
        <w:tc>
          <w:tcPr>
            <w:tcW w:w="850" w:type="dxa"/>
            <w:tcBorders>
              <w:bottom w:val="nil"/>
            </w:tcBorders>
          </w:tcPr>
          <w:p>
            <w:pPr>
              <w:pStyle w:val="0"/>
            </w:pPr>
            <w:r>
              <w:rPr>
                <w:sz w:val="20"/>
              </w:rPr>
              <w:t xml:space="preserve">1</w:t>
            </w:r>
          </w:p>
        </w:tc>
        <w:tc>
          <w:tcPr>
            <w:tcW w:w="1190" w:type="dxa"/>
            <w:tcBorders>
              <w:bottom w:val="nil"/>
            </w:tcBorders>
          </w:tcPr>
          <w:p>
            <w:pPr>
              <w:pStyle w:val="0"/>
            </w:pPr>
            <w:r>
              <w:rPr>
                <w:sz w:val="20"/>
              </w:rPr>
              <w:t xml:space="preserve">1</w:t>
            </w:r>
          </w:p>
        </w:tc>
        <w:tc>
          <w:tcPr>
            <w:tcW w:w="1190" w:type="dxa"/>
            <w:tcBorders>
              <w:bottom w:val="nil"/>
            </w:tcBorders>
          </w:tcPr>
          <w:p>
            <w:pPr>
              <w:pStyle w:val="0"/>
            </w:pPr>
            <w:r>
              <w:rPr>
                <w:sz w:val="20"/>
              </w:rPr>
              <w:t xml:space="preserve">1</w:t>
            </w:r>
          </w:p>
        </w:tc>
        <w:tc>
          <w:tcPr>
            <w:tcBorders>
              <w:bottom w:val="nil"/>
            </w:tcBorders>
            <w:vMerge w:val="continue"/>
          </w:tcPr>
          <w:p/>
        </w:tc>
      </w:tr>
      <w:tr>
        <w:tblPrEx>
          <w:tblBorders>
            <w:insideH w:val="nil"/>
          </w:tblBorders>
        </w:tblPrEx>
        <w:tc>
          <w:tcPr>
            <w:gridSpan w:val="15"/>
            <w:tcW w:w="19319" w:type="dxa"/>
            <w:tcBorders>
              <w:top w:val="nil"/>
            </w:tcBorders>
          </w:tcPr>
          <w:p>
            <w:pPr>
              <w:pStyle w:val="0"/>
              <w:jc w:val="both"/>
            </w:pPr>
            <w:r>
              <w:rPr>
                <w:sz w:val="20"/>
              </w:rPr>
              <w:t xml:space="preserve">(строка 1.1 в ред. </w:t>
            </w:r>
            <w:hyperlink w:history="0" r:id="rId56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24" w:type="dxa"/>
            <w:vMerge w:val="restart"/>
          </w:tcPr>
          <w:p>
            <w:pPr>
              <w:pStyle w:val="0"/>
              <w:outlineLvl w:val="3"/>
            </w:pPr>
            <w:r>
              <w:rPr>
                <w:sz w:val="20"/>
              </w:rPr>
              <w:t xml:space="preserve">2</w:t>
            </w:r>
          </w:p>
        </w:tc>
        <w:tc>
          <w:tcPr>
            <w:tcW w:w="3742" w:type="dxa"/>
            <w:vMerge w:val="restart"/>
          </w:tcPr>
          <w:p>
            <w:pPr>
              <w:pStyle w:val="0"/>
            </w:pPr>
            <w:r>
              <w:rPr>
                <w:sz w:val="20"/>
              </w:rPr>
              <w:t xml:space="preserve">Основное мероприятие 50. Оценка уровня эффективности, результативности, обеспечение гласности и прозрачности контрактной системы в сфере закупок</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24" w:type="dxa"/>
            <w:vMerge w:val="restart"/>
          </w:tcPr>
          <w:p>
            <w:pPr>
              <w:pStyle w:val="0"/>
            </w:pPr>
            <w:r>
              <w:rPr>
                <w:sz w:val="20"/>
              </w:rPr>
              <w:t xml:space="preserve">2.1</w:t>
            </w:r>
          </w:p>
        </w:tc>
        <w:tc>
          <w:tcPr>
            <w:tcW w:w="3742" w:type="dxa"/>
            <w:vMerge w:val="restart"/>
          </w:tcPr>
          <w:p>
            <w:pPr>
              <w:pStyle w:val="0"/>
            </w:pPr>
            <w:r>
              <w:rPr>
                <w:sz w:val="20"/>
              </w:rPr>
              <w:t xml:space="preserve">Мероприятие 50.01. Проведение оценки общего уровня организации закупок</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несостоявшихся закупок от общего количества конкурентных закупок,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29</w:t>
            </w:r>
          </w:p>
        </w:tc>
        <w:tc>
          <w:tcPr>
            <w:tcW w:w="1114" w:type="dxa"/>
          </w:tcPr>
          <w:p>
            <w:pPr>
              <w:pStyle w:val="0"/>
            </w:pPr>
            <w:r>
              <w:rPr>
                <w:sz w:val="20"/>
              </w:rPr>
              <w:t xml:space="preserve">33</w:t>
            </w:r>
          </w:p>
        </w:tc>
        <w:tc>
          <w:tcPr>
            <w:tcW w:w="1114" w:type="dxa"/>
          </w:tcPr>
          <w:p>
            <w:pPr>
              <w:pStyle w:val="0"/>
            </w:pPr>
            <w:r>
              <w:rPr>
                <w:sz w:val="20"/>
              </w:rPr>
              <w:t xml:space="preserve">32</w:t>
            </w:r>
          </w:p>
        </w:tc>
        <w:tc>
          <w:tcPr>
            <w:tcW w:w="964" w:type="dxa"/>
          </w:tcPr>
          <w:p>
            <w:pPr>
              <w:pStyle w:val="0"/>
            </w:pPr>
            <w:r>
              <w:rPr>
                <w:sz w:val="20"/>
              </w:rPr>
              <w:t xml:space="preserve">31</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31</w:t>
            </w:r>
          </w:p>
        </w:tc>
        <w:tc>
          <w:tcPr>
            <w:tcW w:w="1190" w:type="dxa"/>
          </w:tcPr>
          <w:p>
            <w:pPr>
              <w:pStyle w:val="0"/>
            </w:pPr>
            <w:r>
              <w:rPr>
                <w:sz w:val="20"/>
              </w:rPr>
              <w:t xml:space="preserve">30</w:t>
            </w:r>
          </w:p>
        </w:tc>
        <w:tc>
          <w:tcPr>
            <w:tcW w:w="1190" w:type="dxa"/>
          </w:tcPr>
          <w:p>
            <w:pPr>
              <w:pStyle w:val="0"/>
            </w:pPr>
            <w:r>
              <w:rPr>
                <w:sz w:val="20"/>
              </w:rPr>
              <w:t xml:space="preserve">29</w:t>
            </w:r>
          </w:p>
        </w:tc>
        <w:tc>
          <w:tcPr>
            <w:vMerge w:val="continue"/>
          </w:tcPr>
          <w:p/>
        </w:tc>
      </w:tr>
      <w:tr>
        <w:tc>
          <w:tcPr>
            <w:tcW w:w="624" w:type="dxa"/>
            <w:vMerge w:val="restart"/>
          </w:tcPr>
          <w:p>
            <w:pPr>
              <w:pStyle w:val="0"/>
            </w:pPr>
            <w:r>
              <w:rPr>
                <w:sz w:val="20"/>
              </w:rPr>
              <w:t xml:space="preserve">2.2</w:t>
            </w:r>
          </w:p>
        </w:tc>
        <w:tc>
          <w:tcPr>
            <w:tcW w:w="3742" w:type="dxa"/>
            <w:vMerge w:val="restart"/>
          </w:tcPr>
          <w:p>
            <w:pPr>
              <w:pStyle w:val="0"/>
            </w:pPr>
            <w:r>
              <w:rPr>
                <w:sz w:val="20"/>
              </w:rPr>
              <w:t xml:space="preserve">Мероприятие 50.02. Проведение оценки качества закупочной деятельности</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обоснованных, частично обоснованных жалоб,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2,1</w:t>
            </w:r>
          </w:p>
        </w:tc>
        <w:tc>
          <w:tcPr>
            <w:tcW w:w="1114" w:type="dxa"/>
          </w:tcPr>
          <w:p>
            <w:pPr>
              <w:pStyle w:val="0"/>
            </w:pPr>
            <w:r>
              <w:rPr>
                <w:sz w:val="20"/>
              </w:rPr>
              <w:t xml:space="preserve">2,5</w:t>
            </w:r>
          </w:p>
        </w:tc>
        <w:tc>
          <w:tcPr>
            <w:tcW w:w="1114" w:type="dxa"/>
          </w:tcPr>
          <w:p>
            <w:pPr>
              <w:pStyle w:val="0"/>
            </w:pPr>
            <w:r>
              <w:rPr>
                <w:sz w:val="20"/>
              </w:rPr>
              <w:t xml:space="preserve">2,4</w:t>
            </w:r>
          </w:p>
        </w:tc>
        <w:tc>
          <w:tcPr>
            <w:tcW w:w="964" w:type="dxa"/>
          </w:tcPr>
          <w:p>
            <w:pPr>
              <w:pStyle w:val="0"/>
            </w:pPr>
            <w:r>
              <w:rPr>
                <w:sz w:val="20"/>
              </w:rPr>
              <w:t xml:space="preserve">2,3</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2,3</w:t>
            </w:r>
          </w:p>
        </w:tc>
        <w:tc>
          <w:tcPr>
            <w:tcW w:w="1190" w:type="dxa"/>
          </w:tcPr>
          <w:p>
            <w:pPr>
              <w:pStyle w:val="0"/>
            </w:pPr>
            <w:r>
              <w:rPr>
                <w:sz w:val="20"/>
              </w:rPr>
              <w:t xml:space="preserve">2,2</w:t>
            </w:r>
          </w:p>
        </w:tc>
        <w:tc>
          <w:tcPr>
            <w:tcW w:w="1190" w:type="dxa"/>
          </w:tcPr>
          <w:p>
            <w:pPr>
              <w:pStyle w:val="0"/>
            </w:pPr>
            <w:r>
              <w:rPr>
                <w:sz w:val="20"/>
              </w:rPr>
              <w:t xml:space="preserve">2,1</w:t>
            </w:r>
          </w:p>
        </w:tc>
        <w:tc>
          <w:tcPr>
            <w:vMerge w:val="continue"/>
          </w:tcPr>
          <w:p/>
        </w:tc>
      </w:tr>
      <w:tr>
        <w:tc>
          <w:tcPr>
            <w:tcW w:w="624" w:type="dxa"/>
            <w:vMerge w:val="restart"/>
          </w:tcPr>
          <w:p>
            <w:pPr>
              <w:pStyle w:val="0"/>
            </w:pPr>
            <w:r>
              <w:rPr>
                <w:sz w:val="20"/>
              </w:rPr>
              <w:t xml:space="preserve">2.3</w:t>
            </w:r>
          </w:p>
        </w:tc>
        <w:tc>
          <w:tcPr>
            <w:tcW w:w="3742" w:type="dxa"/>
            <w:vMerge w:val="restart"/>
          </w:tcPr>
          <w:p>
            <w:pPr>
              <w:pStyle w:val="0"/>
            </w:pPr>
            <w:r>
              <w:rPr>
                <w:sz w:val="20"/>
              </w:rPr>
              <w:t xml:space="preserve">Мероприятие 50.03. Проведение оценки доступности конкурентных процедур</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среднего количества участников закупок (нарастающим итогом), единиц</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4,8</w:t>
            </w:r>
          </w:p>
        </w:tc>
        <w:tc>
          <w:tcPr>
            <w:tcW w:w="1114" w:type="dxa"/>
          </w:tcPr>
          <w:p>
            <w:pPr>
              <w:pStyle w:val="0"/>
            </w:pPr>
            <w:r>
              <w:rPr>
                <w:sz w:val="20"/>
              </w:rPr>
              <w:t xml:space="preserve">4,4</w:t>
            </w:r>
          </w:p>
        </w:tc>
        <w:tc>
          <w:tcPr>
            <w:tcW w:w="1114" w:type="dxa"/>
          </w:tcPr>
          <w:p>
            <w:pPr>
              <w:pStyle w:val="0"/>
            </w:pPr>
            <w:r>
              <w:rPr>
                <w:sz w:val="20"/>
              </w:rPr>
              <w:t xml:space="preserve">4,5</w:t>
            </w:r>
          </w:p>
        </w:tc>
        <w:tc>
          <w:tcPr>
            <w:tcW w:w="964" w:type="dxa"/>
          </w:tcPr>
          <w:p>
            <w:pPr>
              <w:pStyle w:val="0"/>
            </w:pPr>
            <w:r>
              <w:rPr>
                <w:sz w:val="20"/>
              </w:rPr>
              <w:t xml:space="preserve">4,6</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4,6</w:t>
            </w:r>
          </w:p>
        </w:tc>
        <w:tc>
          <w:tcPr>
            <w:tcW w:w="1190" w:type="dxa"/>
          </w:tcPr>
          <w:p>
            <w:pPr>
              <w:pStyle w:val="0"/>
            </w:pPr>
            <w:r>
              <w:rPr>
                <w:sz w:val="20"/>
              </w:rPr>
              <w:t xml:space="preserve">4,7</w:t>
            </w:r>
          </w:p>
        </w:tc>
        <w:tc>
          <w:tcPr>
            <w:tcW w:w="1190" w:type="dxa"/>
          </w:tcPr>
          <w:p>
            <w:pPr>
              <w:pStyle w:val="0"/>
            </w:pPr>
            <w:r>
              <w:rPr>
                <w:sz w:val="20"/>
              </w:rPr>
              <w:t xml:space="preserve">4,8</w:t>
            </w:r>
          </w:p>
        </w:tc>
        <w:tc>
          <w:tcPr>
            <w:vMerge w:val="continue"/>
          </w:tcPr>
          <w:p/>
        </w:tc>
      </w:tr>
      <w:tr>
        <w:tc>
          <w:tcPr>
            <w:tcW w:w="624" w:type="dxa"/>
            <w:vMerge w:val="restart"/>
          </w:tcPr>
          <w:p>
            <w:pPr>
              <w:pStyle w:val="0"/>
            </w:pPr>
            <w:r>
              <w:rPr>
                <w:sz w:val="20"/>
              </w:rPr>
              <w:t xml:space="preserve">2.4</w:t>
            </w:r>
          </w:p>
        </w:tc>
        <w:tc>
          <w:tcPr>
            <w:tcW w:w="3742" w:type="dxa"/>
            <w:vMerge w:val="restart"/>
          </w:tcPr>
          <w:p>
            <w:pPr>
              <w:pStyle w:val="0"/>
            </w:pPr>
            <w:r>
              <w:rPr>
                <w:sz w:val="20"/>
              </w:rPr>
              <w:t xml:space="preserve">Мероприятие 50.04. Проведение оценки экономической эффективности закупок по результатам их осуществления</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общей экономии денежных средств по результатам осуществления закупок,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9</w:t>
            </w:r>
          </w:p>
        </w:tc>
        <w:tc>
          <w:tcPr>
            <w:tcW w:w="1114" w:type="dxa"/>
          </w:tcPr>
          <w:p>
            <w:pPr>
              <w:pStyle w:val="0"/>
            </w:pPr>
            <w:r>
              <w:rPr>
                <w:sz w:val="20"/>
              </w:rPr>
              <w:t xml:space="preserve">8</w:t>
            </w:r>
          </w:p>
        </w:tc>
        <w:tc>
          <w:tcPr>
            <w:tcW w:w="1114" w:type="dxa"/>
          </w:tcPr>
          <w:p>
            <w:pPr>
              <w:pStyle w:val="0"/>
            </w:pPr>
            <w:r>
              <w:rPr>
                <w:sz w:val="20"/>
              </w:rPr>
              <w:t xml:space="preserve">8</w:t>
            </w:r>
          </w:p>
        </w:tc>
        <w:tc>
          <w:tcPr>
            <w:tcW w:w="964" w:type="dxa"/>
          </w:tcPr>
          <w:p>
            <w:pPr>
              <w:pStyle w:val="0"/>
            </w:pPr>
            <w:r>
              <w:rPr>
                <w:sz w:val="20"/>
              </w:rPr>
              <w:t xml:space="preserve">8</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8</w:t>
            </w:r>
          </w:p>
        </w:tc>
        <w:tc>
          <w:tcPr>
            <w:tcW w:w="1190" w:type="dxa"/>
          </w:tcPr>
          <w:p>
            <w:pPr>
              <w:pStyle w:val="0"/>
            </w:pPr>
            <w:r>
              <w:rPr>
                <w:sz w:val="20"/>
              </w:rPr>
              <w:t xml:space="preserve">9</w:t>
            </w:r>
          </w:p>
        </w:tc>
        <w:tc>
          <w:tcPr>
            <w:tcW w:w="1190" w:type="dxa"/>
          </w:tcPr>
          <w:p>
            <w:pPr>
              <w:pStyle w:val="0"/>
            </w:pPr>
            <w:r>
              <w:rPr>
                <w:sz w:val="20"/>
              </w:rPr>
              <w:t xml:space="preserve">9</w:t>
            </w:r>
          </w:p>
        </w:tc>
        <w:tc>
          <w:tcPr>
            <w:vMerge w:val="continue"/>
          </w:tcPr>
          <w:p/>
        </w:tc>
      </w:tr>
      <w:tr>
        <w:tc>
          <w:tcPr>
            <w:tcW w:w="624" w:type="dxa"/>
            <w:vMerge w:val="restart"/>
          </w:tcPr>
          <w:p>
            <w:pPr>
              <w:pStyle w:val="0"/>
            </w:pPr>
            <w:r>
              <w:rPr>
                <w:sz w:val="20"/>
              </w:rPr>
              <w:t xml:space="preserve">2.5</w:t>
            </w:r>
          </w:p>
        </w:tc>
        <w:tc>
          <w:tcPr>
            <w:tcW w:w="3742" w:type="dxa"/>
            <w:vMerge w:val="restart"/>
          </w:tcPr>
          <w:p>
            <w:pPr>
              <w:pStyle w:val="0"/>
            </w:pPr>
            <w:r>
              <w:rPr>
                <w:sz w:val="20"/>
              </w:rPr>
              <w:t xml:space="preserve">Мероприятие 50.05. Проведение оценки объема закупок у единственного поставщика (подрядчика, исполнителя)</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стоимости контрактов, заключенных с единственным поставщиком по несостоявшимся закупкам,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38</w:t>
            </w:r>
          </w:p>
        </w:tc>
        <w:tc>
          <w:tcPr>
            <w:tcW w:w="1114" w:type="dxa"/>
          </w:tcPr>
          <w:p>
            <w:pPr>
              <w:pStyle w:val="0"/>
            </w:pPr>
            <w:r>
              <w:rPr>
                <w:sz w:val="20"/>
              </w:rPr>
              <w:t xml:space="preserve">40</w:t>
            </w:r>
          </w:p>
        </w:tc>
        <w:tc>
          <w:tcPr>
            <w:tcW w:w="1114" w:type="dxa"/>
          </w:tcPr>
          <w:p>
            <w:pPr>
              <w:pStyle w:val="0"/>
            </w:pPr>
            <w:r>
              <w:rPr>
                <w:sz w:val="20"/>
              </w:rPr>
              <w:t xml:space="preserve">39</w:t>
            </w:r>
          </w:p>
        </w:tc>
        <w:tc>
          <w:tcPr>
            <w:tcW w:w="964" w:type="dxa"/>
          </w:tcPr>
          <w:p>
            <w:pPr>
              <w:pStyle w:val="0"/>
            </w:pPr>
            <w:r>
              <w:rPr>
                <w:sz w:val="20"/>
              </w:rPr>
              <w:t xml:space="preserve">39</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39</w:t>
            </w:r>
          </w:p>
        </w:tc>
        <w:tc>
          <w:tcPr>
            <w:tcW w:w="1190" w:type="dxa"/>
          </w:tcPr>
          <w:p>
            <w:pPr>
              <w:pStyle w:val="0"/>
            </w:pPr>
            <w:r>
              <w:rPr>
                <w:sz w:val="20"/>
              </w:rPr>
              <w:t xml:space="preserve">38</w:t>
            </w:r>
          </w:p>
        </w:tc>
        <w:tc>
          <w:tcPr>
            <w:tcW w:w="1190" w:type="dxa"/>
          </w:tcPr>
          <w:p>
            <w:pPr>
              <w:pStyle w:val="0"/>
            </w:pPr>
            <w:r>
              <w:rPr>
                <w:sz w:val="20"/>
              </w:rPr>
              <w:t xml:space="preserve">38</w:t>
            </w:r>
          </w:p>
        </w:tc>
        <w:tc>
          <w:tcPr>
            <w:vMerge w:val="continue"/>
          </w:tcPr>
          <w:p/>
        </w:tc>
      </w:tr>
      <w:tr>
        <w:tc>
          <w:tcPr>
            <w:tcW w:w="624" w:type="dxa"/>
            <w:vMerge w:val="restart"/>
          </w:tcPr>
          <w:p>
            <w:pPr>
              <w:pStyle w:val="0"/>
            </w:pPr>
            <w:r>
              <w:rPr>
                <w:sz w:val="20"/>
              </w:rPr>
              <w:t xml:space="preserve">2.6</w:t>
            </w:r>
          </w:p>
        </w:tc>
        <w:tc>
          <w:tcPr>
            <w:tcW w:w="3742" w:type="dxa"/>
            <w:vMerge w:val="restart"/>
          </w:tcPr>
          <w:p>
            <w:pPr>
              <w:pStyle w:val="0"/>
            </w:pPr>
            <w:r>
              <w:rPr>
                <w:sz w:val="20"/>
              </w:rPr>
              <w:t xml:space="preserve">Мероприятие 50.06. 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45</w:t>
            </w:r>
          </w:p>
        </w:tc>
        <w:tc>
          <w:tcPr>
            <w:tcW w:w="1114" w:type="dxa"/>
          </w:tcPr>
          <w:p>
            <w:pPr>
              <w:pStyle w:val="0"/>
            </w:pPr>
            <w:r>
              <w:rPr>
                <w:sz w:val="20"/>
              </w:rPr>
              <w:t xml:space="preserve">45</w:t>
            </w:r>
          </w:p>
        </w:tc>
        <w:tc>
          <w:tcPr>
            <w:tcW w:w="1114" w:type="dxa"/>
          </w:tcPr>
          <w:p>
            <w:pPr>
              <w:pStyle w:val="0"/>
            </w:pPr>
            <w:r>
              <w:rPr>
                <w:sz w:val="20"/>
              </w:rPr>
              <w:t xml:space="preserve">45</w:t>
            </w:r>
          </w:p>
        </w:tc>
        <w:tc>
          <w:tcPr>
            <w:tcW w:w="964" w:type="dxa"/>
          </w:tcPr>
          <w:p>
            <w:pPr>
              <w:pStyle w:val="0"/>
            </w:pPr>
            <w:r>
              <w:rPr>
                <w:sz w:val="20"/>
              </w:rPr>
              <w:t xml:space="preserve">45</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45</w:t>
            </w:r>
          </w:p>
        </w:tc>
        <w:tc>
          <w:tcPr>
            <w:tcW w:w="1190" w:type="dxa"/>
          </w:tcPr>
          <w:p>
            <w:pPr>
              <w:pStyle w:val="0"/>
            </w:pPr>
            <w:r>
              <w:rPr>
                <w:sz w:val="20"/>
              </w:rPr>
              <w:t xml:space="preserve">45</w:t>
            </w:r>
          </w:p>
        </w:tc>
        <w:tc>
          <w:tcPr>
            <w:tcW w:w="1190" w:type="dxa"/>
          </w:tcPr>
          <w:p>
            <w:pPr>
              <w:pStyle w:val="0"/>
            </w:pPr>
            <w:r>
              <w:rPr>
                <w:sz w:val="20"/>
              </w:rPr>
              <w:t xml:space="preserve">45</w:t>
            </w:r>
          </w:p>
        </w:tc>
        <w:tc>
          <w:tcPr>
            <w:vMerge w:val="continue"/>
          </w:tcPr>
          <w:p/>
        </w:tc>
      </w:tr>
      <w:tr>
        <w:tc>
          <w:tcPr>
            <w:tcW w:w="624" w:type="dxa"/>
            <w:vMerge w:val="restart"/>
          </w:tcPr>
          <w:p>
            <w:pPr>
              <w:pStyle w:val="0"/>
              <w:outlineLvl w:val="3"/>
            </w:pPr>
            <w:r>
              <w:rPr>
                <w:sz w:val="20"/>
              </w:rPr>
              <w:t xml:space="preserve">3</w:t>
            </w:r>
          </w:p>
        </w:tc>
        <w:tc>
          <w:tcPr>
            <w:tcW w:w="3742" w:type="dxa"/>
            <w:vMerge w:val="restart"/>
          </w:tcPr>
          <w:p>
            <w:pPr>
              <w:pStyle w:val="0"/>
            </w:pPr>
            <w:r>
              <w:rPr>
                <w:sz w:val="20"/>
              </w:rPr>
              <w:t xml:space="preserve">Основное мероприятие 51. Оценка уровня добросовестной конкуренции и эффективности мер поддержки субъектов малого и среднего предпринимательства при закупках товаров, работ, услуг отдельными видами юридических лиц</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24" w:type="dxa"/>
            <w:vMerge w:val="restart"/>
          </w:tcPr>
          <w:p>
            <w:pPr>
              <w:pStyle w:val="0"/>
            </w:pPr>
            <w:r>
              <w:rPr>
                <w:sz w:val="20"/>
              </w:rPr>
              <w:t xml:space="preserve">3.1</w:t>
            </w:r>
          </w:p>
        </w:tc>
        <w:tc>
          <w:tcPr>
            <w:tcW w:w="3742" w:type="dxa"/>
            <w:vMerge w:val="restart"/>
          </w:tcPr>
          <w:p>
            <w:pPr>
              <w:pStyle w:val="0"/>
            </w:pPr>
            <w:r>
              <w:rPr>
                <w:sz w:val="20"/>
              </w:rPr>
              <w:t xml:space="preserve">Мероприятие 51.01. Оценка уровня гласности и прозрачности закупок отдельных видов юридических лиц</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среднего количества участников закупок отдельных видов юридических лиц (нарастающим итогом), единиц</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3,5</w:t>
            </w:r>
          </w:p>
        </w:tc>
        <w:tc>
          <w:tcPr>
            <w:tcW w:w="1114" w:type="dxa"/>
          </w:tcPr>
          <w:p>
            <w:pPr>
              <w:pStyle w:val="0"/>
            </w:pPr>
            <w:r>
              <w:rPr>
                <w:sz w:val="20"/>
              </w:rPr>
              <w:t xml:space="preserve">2,5</w:t>
            </w:r>
          </w:p>
        </w:tc>
        <w:tc>
          <w:tcPr>
            <w:tcW w:w="1114" w:type="dxa"/>
          </w:tcPr>
          <w:p>
            <w:pPr>
              <w:pStyle w:val="0"/>
            </w:pPr>
            <w:r>
              <w:rPr>
                <w:sz w:val="20"/>
              </w:rPr>
              <w:t xml:space="preserve">2,7</w:t>
            </w:r>
          </w:p>
        </w:tc>
        <w:tc>
          <w:tcPr>
            <w:tcW w:w="964" w:type="dxa"/>
          </w:tcPr>
          <w:p>
            <w:pPr>
              <w:pStyle w:val="0"/>
            </w:pPr>
            <w:r>
              <w:rPr>
                <w:sz w:val="20"/>
              </w:rPr>
              <w:t xml:space="preserve">2,9</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2,9</w:t>
            </w:r>
          </w:p>
        </w:tc>
        <w:tc>
          <w:tcPr>
            <w:tcW w:w="1190" w:type="dxa"/>
          </w:tcPr>
          <w:p>
            <w:pPr>
              <w:pStyle w:val="0"/>
            </w:pPr>
            <w:r>
              <w:rPr>
                <w:sz w:val="20"/>
              </w:rPr>
              <w:t xml:space="preserve">3,1</w:t>
            </w:r>
          </w:p>
        </w:tc>
        <w:tc>
          <w:tcPr>
            <w:tcW w:w="1190" w:type="dxa"/>
          </w:tcPr>
          <w:p>
            <w:pPr>
              <w:pStyle w:val="0"/>
            </w:pPr>
            <w:r>
              <w:rPr>
                <w:sz w:val="20"/>
              </w:rPr>
              <w:t xml:space="preserve">3,5</w:t>
            </w:r>
          </w:p>
        </w:tc>
        <w:tc>
          <w:tcPr>
            <w:vMerge w:val="continue"/>
          </w:tcPr>
          <w:p/>
        </w:tc>
      </w:tr>
      <w:tr>
        <w:tc>
          <w:tcPr>
            <w:tcW w:w="624" w:type="dxa"/>
            <w:vMerge w:val="restart"/>
          </w:tcPr>
          <w:p>
            <w:pPr>
              <w:pStyle w:val="0"/>
            </w:pPr>
            <w:r>
              <w:rPr>
                <w:sz w:val="20"/>
              </w:rPr>
              <w:t xml:space="preserve">3.2</w:t>
            </w:r>
          </w:p>
        </w:tc>
        <w:tc>
          <w:tcPr>
            <w:tcW w:w="3742" w:type="dxa"/>
            <w:vMerge w:val="restart"/>
          </w:tcPr>
          <w:p>
            <w:pPr>
              <w:pStyle w:val="0"/>
            </w:pPr>
            <w:r>
              <w:rPr>
                <w:sz w:val="20"/>
              </w:rPr>
              <w:t xml:space="preserve">Мероприятие 51.02. Проведение оценки уровня поддержки субъектов малого и среднего предпринимательства при осуществлении закупок отдельных видов юридических лиц</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Обеспечено плановое значение доли закупок отдельных видов юридических лиц среди субъектов МСП,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34</w:t>
            </w:r>
          </w:p>
        </w:tc>
        <w:tc>
          <w:tcPr>
            <w:tcW w:w="1114" w:type="dxa"/>
          </w:tcPr>
          <w:p>
            <w:pPr>
              <w:pStyle w:val="0"/>
            </w:pPr>
            <w:r>
              <w:rPr>
                <w:sz w:val="20"/>
              </w:rPr>
              <w:t xml:space="preserve">30</w:t>
            </w:r>
          </w:p>
        </w:tc>
        <w:tc>
          <w:tcPr>
            <w:tcW w:w="1114" w:type="dxa"/>
          </w:tcPr>
          <w:p>
            <w:pPr>
              <w:pStyle w:val="0"/>
            </w:pPr>
            <w:r>
              <w:rPr>
                <w:sz w:val="20"/>
              </w:rPr>
              <w:t xml:space="preserve">30</w:t>
            </w:r>
          </w:p>
        </w:tc>
        <w:tc>
          <w:tcPr>
            <w:tcW w:w="964" w:type="dxa"/>
          </w:tcPr>
          <w:p>
            <w:pPr>
              <w:pStyle w:val="0"/>
            </w:pPr>
            <w:r>
              <w:rPr>
                <w:sz w:val="20"/>
              </w:rPr>
              <w:t xml:space="preserve">30</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30</w:t>
            </w:r>
          </w:p>
        </w:tc>
        <w:tc>
          <w:tcPr>
            <w:tcW w:w="1190" w:type="dxa"/>
          </w:tcPr>
          <w:p>
            <w:pPr>
              <w:pStyle w:val="0"/>
            </w:pPr>
            <w:r>
              <w:rPr>
                <w:sz w:val="20"/>
              </w:rPr>
              <w:t xml:space="preserve">32</w:t>
            </w:r>
          </w:p>
        </w:tc>
        <w:tc>
          <w:tcPr>
            <w:tcW w:w="1190" w:type="dxa"/>
          </w:tcPr>
          <w:p>
            <w:pPr>
              <w:pStyle w:val="0"/>
            </w:pPr>
            <w:r>
              <w:rPr>
                <w:sz w:val="20"/>
              </w:rPr>
              <w:t xml:space="preserve">34</w:t>
            </w:r>
          </w:p>
        </w:tc>
        <w:tc>
          <w:tcPr>
            <w:vMerge w:val="continue"/>
          </w:tcPr>
          <w:p/>
        </w:tc>
      </w:tr>
      <w:tr>
        <w:tc>
          <w:tcPr>
            <w:tcW w:w="624" w:type="dxa"/>
            <w:vMerge w:val="restart"/>
          </w:tcPr>
          <w:p>
            <w:pPr>
              <w:pStyle w:val="0"/>
              <w:outlineLvl w:val="3"/>
            </w:pPr>
            <w:r>
              <w:rPr>
                <w:sz w:val="20"/>
              </w:rPr>
              <w:t xml:space="preserve">4</w:t>
            </w:r>
          </w:p>
        </w:tc>
        <w:tc>
          <w:tcPr>
            <w:tcW w:w="3742" w:type="dxa"/>
            <w:vMerge w:val="restart"/>
          </w:tcPr>
          <w:p>
            <w:pPr>
              <w:pStyle w:val="0"/>
            </w:pPr>
            <w:r>
              <w:rPr>
                <w:sz w:val="20"/>
              </w:rPr>
              <w:t xml:space="preserve">Основное мероприятие 52. Координация деятельности исполнительных органов Московской области и содействие органам местного самоуправления муниципальных образований Московской области в части развития конкуренции</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24" w:type="dxa"/>
            <w:vMerge w:val="restart"/>
          </w:tcPr>
          <w:p>
            <w:pPr>
              <w:pStyle w:val="0"/>
            </w:pPr>
            <w:r>
              <w:rPr>
                <w:sz w:val="20"/>
              </w:rPr>
              <w:t xml:space="preserve">4.1</w:t>
            </w:r>
          </w:p>
        </w:tc>
        <w:tc>
          <w:tcPr>
            <w:tcW w:w="3742" w:type="dxa"/>
            <w:vMerge w:val="restart"/>
          </w:tcPr>
          <w:p>
            <w:pPr>
              <w:pStyle w:val="0"/>
            </w:pPr>
            <w:r>
              <w:rPr>
                <w:sz w:val="20"/>
              </w:rPr>
              <w:t xml:space="preserve">Мероприятие 52.01. Мониторинг хода исполнения ключевых показателей развития конкуренции на товарных рынках</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Достигнуты плановые значения ключевых показателей развития конкуренции на товарных рынках Московской области, процентов</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100</w:t>
            </w:r>
          </w:p>
        </w:tc>
        <w:tc>
          <w:tcPr>
            <w:tcW w:w="1114" w:type="dxa"/>
          </w:tcPr>
          <w:p>
            <w:pPr>
              <w:pStyle w:val="0"/>
            </w:pPr>
            <w:r>
              <w:rPr>
                <w:sz w:val="20"/>
              </w:rPr>
              <w:t xml:space="preserve">100</w:t>
            </w:r>
          </w:p>
        </w:tc>
        <w:tc>
          <w:tcPr>
            <w:tcW w:w="1114" w:type="dxa"/>
          </w:tcPr>
          <w:p>
            <w:pPr>
              <w:pStyle w:val="0"/>
            </w:pPr>
            <w:r>
              <w:rPr>
                <w:sz w:val="20"/>
              </w:rPr>
              <w:t xml:space="preserve">100</w:t>
            </w:r>
          </w:p>
        </w:tc>
        <w:tc>
          <w:tcPr>
            <w:tcW w:w="964" w:type="dxa"/>
          </w:tcPr>
          <w:p>
            <w:pPr>
              <w:pStyle w:val="0"/>
            </w:pPr>
            <w:r>
              <w:rPr>
                <w:sz w:val="20"/>
              </w:rPr>
              <w:t xml:space="preserve">100</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100</w:t>
            </w:r>
          </w:p>
        </w:tc>
        <w:tc>
          <w:tcPr>
            <w:tcW w:w="1190" w:type="dxa"/>
          </w:tcPr>
          <w:p>
            <w:pPr>
              <w:pStyle w:val="0"/>
            </w:pPr>
            <w:r>
              <w:rPr>
                <w:sz w:val="20"/>
              </w:rPr>
              <w:t xml:space="preserve">100</w:t>
            </w:r>
          </w:p>
        </w:tc>
        <w:tc>
          <w:tcPr>
            <w:tcW w:w="1190" w:type="dxa"/>
          </w:tcPr>
          <w:p>
            <w:pPr>
              <w:pStyle w:val="0"/>
            </w:pPr>
            <w:r>
              <w:rPr>
                <w:sz w:val="20"/>
              </w:rPr>
              <w:t xml:space="preserve">100</w:t>
            </w:r>
          </w:p>
        </w:tc>
        <w:tc>
          <w:tcPr>
            <w:vMerge w:val="continue"/>
          </w:tcPr>
          <w:p/>
        </w:tc>
      </w:tr>
      <w:tr>
        <w:tc>
          <w:tcPr>
            <w:tcW w:w="624" w:type="dxa"/>
            <w:vMerge w:val="restart"/>
          </w:tcPr>
          <w:p>
            <w:pPr>
              <w:pStyle w:val="0"/>
            </w:pPr>
            <w:r>
              <w:rPr>
                <w:sz w:val="20"/>
              </w:rPr>
              <w:t xml:space="preserve">4.2</w:t>
            </w:r>
          </w:p>
        </w:tc>
        <w:tc>
          <w:tcPr>
            <w:tcW w:w="3742" w:type="dxa"/>
            <w:vMerge w:val="restart"/>
          </w:tcPr>
          <w:p>
            <w:pPr>
              <w:pStyle w:val="0"/>
            </w:pPr>
            <w:r>
              <w:rPr>
                <w:sz w:val="20"/>
              </w:rPr>
              <w:t xml:space="preserve">Мероприятие 52.02. Организация и проведение опросов о состоянии и развитии конкуренции на товарных рынках</w:t>
            </w:r>
          </w:p>
        </w:tc>
        <w:tc>
          <w:tcPr>
            <w:tcW w:w="1304" w:type="dxa"/>
            <w:vMerge w:val="restart"/>
          </w:tcPr>
          <w:p>
            <w:pPr>
              <w:pStyle w:val="0"/>
            </w:pPr>
            <w:r>
              <w:rPr>
                <w:sz w:val="20"/>
              </w:rPr>
              <w:t xml:space="preserve">2023-2027</w:t>
            </w:r>
          </w:p>
        </w:tc>
        <w:tc>
          <w:tcPr>
            <w:tcW w:w="1701" w:type="dxa"/>
          </w:tcPr>
          <w:p>
            <w:pPr>
              <w:pStyle w:val="0"/>
            </w:pPr>
            <w:r>
              <w:rPr>
                <w:sz w:val="20"/>
              </w:rPr>
              <w:t xml:space="preserve">Итого:</w:t>
            </w:r>
          </w:p>
        </w:tc>
        <w:tc>
          <w:tcPr>
            <w:gridSpan w:val="10"/>
            <w:tcW w:w="10077" w:type="dxa"/>
            <w:vMerge w:val="restart"/>
          </w:tcPr>
          <w:p>
            <w:pPr>
              <w:pStyle w:val="0"/>
            </w:pPr>
            <w:r>
              <w:rPr>
                <w:sz w:val="20"/>
              </w:rPr>
              <w:t xml:space="preserve">В пределах средств на обеспечение деятельности Комитета по конкурентной политике Московской области</w:t>
            </w:r>
          </w:p>
        </w:tc>
        <w:tc>
          <w:tcPr>
            <w:tcW w:w="1871"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701"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742" w:type="dxa"/>
            <w:vMerge w:val="restart"/>
          </w:tcPr>
          <w:p>
            <w:pPr>
              <w:pStyle w:val="0"/>
            </w:pPr>
            <w:r>
              <w:rPr>
                <w:sz w:val="20"/>
              </w:rPr>
              <w:t xml:space="preserve">Результат 1. Сформированы материалы с анализом результатов опросов о состоянии и развитии конкуренции на товарных рынках Московской области (нарастающим итогом), единиц</w:t>
            </w:r>
          </w:p>
        </w:tc>
        <w:tc>
          <w:tcPr>
            <w:tcW w:w="1304" w:type="dxa"/>
            <w:vMerge w:val="restart"/>
          </w:tcPr>
          <w:p>
            <w:pPr>
              <w:pStyle w:val="0"/>
            </w:pPr>
            <w:r>
              <w:rPr>
                <w:sz w:val="20"/>
              </w:rPr>
              <w:t xml:space="preserve">Х</w:t>
            </w:r>
          </w:p>
        </w:tc>
        <w:tc>
          <w:tcPr>
            <w:tcW w:w="1701" w:type="dxa"/>
            <w:vMerge w:val="restart"/>
          </w:tcPr>
          <w:p>
            <w:pPr>
              <w:pStyle w:val="0"/>
            </w:pPr>
            <w:r>
              <w:rPr>
                <w:sz w:val="20"/>
              </w:rPr>
              <w:t xml:space="preserve">Х</w:t>
            </w:r>
          </w:p>
        </w:tc>
        <w:tc>
          <w:tcPr>
            <w:tcW w:w="1114" w:type="dxa"/>
            <w:vMerge w:val="restart"/>
          </w:tcPr>
          <w:p>
            <w:pPr>
              <w:pStyle w:val="0"/>
            </w:pPr>
            <w:r>
              <w:rPr>
                <w:sz w:val="20"/>
              </w:rPr>
              <w:t xml:space="preserve">Всего</w:t>
            </w:r>
          </w:p>
        </w:tc>
        <w:tc>
          <w:tcPr>
            <w:tcW w:w="1114" w:type="dxa"/>
            <w:vMerge w:val="restart"/>
          </w:tcPr>
          <w:p>
            <w:pPr>
              <w:pStyle w:val="0"/>
            </w:pPr>
            <w:r>
              <w:rPr>
                <w:sz w:val="20"/>
              </w:rPr>
              <w:t xml:space="preserve">2023 год</w:t>
            </w:r>
          </w:p>
        </w:tc>
        <w:tc>
          <w:tcPr>
            <w:tcW w:w="1114" w:type="dxa"/>
            <w:vMerge w:val="restart"/>
          </w:tcPr>
          <w:p>
            <w:pPr>
              <w:pStyle w:val="0"/>
            </w:pPr>
            <w:r>
              <w:rPr>
                <w:sz w:val="20"/>
              </w:rPr>
              <w:t xml:space="preserve">2024 год</w:t>
            </w:r>
          </w:p>
        </w:tc>
        <w:tc>
          <w:tcPr>
            <w:tcW w:w="964" w:type="dxa"/>
            <w:vMerge w:val="restart"/>
          </w:tcPr>
          <w:p>
            <w:pPr>
              <w:pStyle w:val="0"/>
            </w:pPr>
            <w:r>
              <w:rPr>
                <w:sz w:val="20"/>
              </w:rPr>
              <w:t xml:space="preserve">Итого 2025 год</w:t>
            </w:r>
          </w:p>
        </w:tc>
        <w:tc>
          <w:tcPr>
            <w:gridSpan w:val="4"/>
            <w:tcW w:w="3391" w:type="dxa"/>
          </w:tcPr>
          <w:p>
            <w:pPr>
              <w:pStyle w:val="0"/>
            </w:pPr>
            <w:r>
              <w:rPr>
                <w:sz w:val="20"/>
              </w:rPr>
              <w:t xml:space="preserve">В том числе:</w:t>
            </w:r>
          </w:p>
        </w:tc>
        <w:tc>
          <w:tcPr>
            <w:tcW w:w="1190" w:type="dxa"/>
            <w:vMerge w:val="restart"/>
          </w:tcPr>
          <w:p>
            <w:pPr>
              <w:pStyle w:val="0"/>
            </w:pPr>
            <w:r>
              <w:rPr>
                <w:sz w:val="20"/>
              </w:rPr>
              <w:t xml:space="preserve">2026 год</w:t>
            </w:r>
          </w:p>
        </w:tc>
        <w:tc>
          <w:tcPr>
            <w:tcW w:w="1190" w:type="dxa"/>
            <w:vMerge w:val="restart"/>
          </w:tcPr>
          <w:p>
            <w:pPr>
              <w:pStyle w:val="0"/>
            </w:pPr>
            <w:r>
              <w:rPr>
                <w:sz w:val="20"/>
              </w:rPr>
              <w:t xml:space="preserve">2027 год</w:t>
            </w:r>
          </w:p>
        </w:tc>
        <w:tc>
          <w:tcPr>
            <w:tcW w:w="187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47" w:type="dxa"/>
          </w:tcPr>
          <w:p>
            <w:pPr>
              <w:pStyle w:val="0"/>
            </w:pPr>
            <w:r>
              <w:rPr>
                <w:sz w:val="20"/>
              </w:rPr>
              <w:t xml:space="preserve">1 квартал</w:t>
            </w:r>
          </w:p>
        </w:tc>
        <w:tc>
          <w:tcPr>
            <w:tcW w:w="847" w:type="dxa"/>
          </w:tcPr>
          <w:p>
            <w:pPr>
              <w:pStyle w:val="0"/>
            </w:pPr>
            <w:r>
              <w:rPr>
                <w:sz w:val="20"/>
              </w:rPr>
              <w:t xml:space="preserve">1 полугодие</w:t>
            </w:r>
          </w:p>
        </w:tc>
        <w:tc>
          <w:tcPr>
            <w:tcW w:w="847" w:type="dxa"/>
          </w:tcPr>
          <w:p>
            <w:pPr>
              <w:pStyle w:val="0"/>
            </w:pPr>
            <w:r>
              <w:rPr>
                <w:sz w:val="20"/>
              </w:rPr>
              <w:t xml:space="preserve">9 месяцев</w:t>
            </w:r>
          </w:p>
        </w:tc>
        <w:tc>
          <w:tcPr>
            <w:tcW w:w="850"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114" w:type="dxa"/>
          </w:tcPr>
          <w:p>
            <w:pPr>
              <w:pStyle w:val="0"/>
            </w:pPr>
            <w:r>
              <w:rPr>
                <w:sz w:val="20"/>
              </w:rPr>
              <w:t xml:space="preserve">7</w:t>
            </w:r>
          </w:p>
        </w:tc>
        <w:tc>
          <w:tcPr>
            <w:tcW w:w="1114" w:type="dxa"/>
          </w:tcPr>
          <w:p>
            <w:pPr>
              <w:pStyle w:val="0"/>
            </w:pPr>
            <w:r>
              <w:rPr>
                <w:sz w:val="20"/>
              </w:rPr>
              <w:t xml:space="preserve">3</w:t>
            </w:r>
          </w:p>
        </w:tc>
        <w:tc>
          <w:tcPr>
            <w:tcW w:w="1114" w:type="dxa"/>
          </w:tcPr>
          <w:p>
            <w:pPr>
              <w:pStyle w:val="0"/>
            </w:pPr>
            <w:r>
              <w:rPr>
                <w:sz w:val="20"/>
              </w:rPr>
              <w:t xml:space="preserve">4</w:t>
            </w:r>
          </w:p>
        </w:tc>
        <w:tc>
          <w:tcPr>
            <w:tcW w:w="964" w:type="dxa"/>
          </w:tcPr>
          <w:p>
            <w:pPr>
              <w:pStyle w:val="0"/>
            </w:pPr>
            <w:r>
              <w:rPr>
                <w:sz w:val="20"/>
              </w:rPr>
              <w:t xml:space="preserve">5</w:t>
            </w:r>
          </w:p>
        </w:tc>
        <w:tc>
          <w:tcPr>
            <w:tcW w:w="847" w:type="dxa"/>
          </w:tcPr>
          <w:p>
            <w:pPr>
              <w:pStyle w:val="0"/>
            </w:pPr>
            <w:r>
              <w:rPr>
                <w:sz w:val="20"/>
              </w:rPr>
              <w:t xml:space="preserve">-</w:t>
            </w:r>
          </w:p>
        </w:tc>
        <w:tc>
          <w:tcPr>
            <w:tcW w:w="847" w:type="dxa"/>
          </w:tcPr>
          <w:p>
            <w:pPr>
              <w:pStyle w:val="0"/>
            </w:pPr>
            <w:r>
              <w:rPr>
                <w:sz w:val="20"/>
              </w:rPr>
              <w:t xml:space="preserve">-</w:t>
            </w:r>
          </w:p>
        </w:tc>
        <w:tc>
          <w:tcPr>
            <w:tcW w:w="847" w:type="dxa"/>
          </w:tcPr>
          <w:p>
            <w:pPr>
              <w:pStyle w:val="0"/>
            </w:pPr>
            <w:r>
              <w:rPr>
                <w:sz w:val="20"/>
              </w:rPr>
              <w:t xml:space="preserve">-</w:t>
            </w:r>
          </w:p>
        </w:tc>
        <w:tc>
          <w:tcPr>
            <w:tcW w:w="850" w:type="dxa"/>
          </w:tcPr>
          <w:p>
            <w:pPr>
              <w:pStyle w:val="0"/>
            </w:pPr>
            <w:r>
              <w:rPr>
                <w:sz w:val="20"/>
              </w:rPr>
              <w:t xml:space="preserve">5</w:t>
            </w:r>
          </w:p>
        </w:tc>
        <w:tc>
          <w:tcPr>
            <w:tcW w:w="1190" w:type="dxa"/>
          </w:tcPr>
          <w:p>
            <w:pPr>
              <w:pStyle w:val="0"/>
            </w:pPr>
            <w:r>
              <w:rPr>
                <w:sz w:val="20"/>
              </w:rPr>
              <w:t xml:space="preserve">6</w:t>
            </w:r>
          </w:p>
        </w:tc>
        <w:tc>
          <w:tcPr>
            <w:tcW w:w="1190" w:type="dxa"/>
          </w:tcPr>
          <w:p>
            <w:pPr>
              <w:pStyle w:val="0"/>
            </w:pPr>
            <w:r>
              <w:rPr>
                <w:sz w:val="20"/>
              </w:rPr>
              <w:t xml:space="preserve">7</w:t>
            </w:r>
          </w:p>
        </w:tc>
        <w:tc>
          <w:tcPr>
            <w:vMerge w:val="continue"/>
          </w:tcPr>
          <w:p/>
        </w:tc>
      </w:tr>
      <w:tr>
        <w:tc>
          <w:tcPr>
            <w:gridSpan w:val="3"/>
            <w:tcW w:w="5670" w:type="dxa"/>
            <w:tcBorders>
              <w:bottom w:val="nil"/>
            </w:tcBorders>
            <w:vMerge w:val="restart"/>
          </w:tcPr>
          <w:p>
            <w:pPr>
              <w:pStyle w:val="0"/>
            </w:pPr>
            <w:r>
              <w:rPr>
                <w:sz w:val="20"/>
              </w:rPr>
              <w:t xml:space="preserve">Итого по подпрограмме</w:t>
            </w:r>
          </w:p>
        </w:tc>
        <w:tc>
          <w:tcPr>
            <w:tcW w:w="1701" w:type="dxa"/>
          </w:tcPr>
          <w:p>
            <w:pPr>
              <w:pStyle w:val="0"/>
            </w:pPr>
            <w:r>
              <w:rPr>
                <w:sz w:val="20"/>
              </w:rPr>
              <w:t xml:space="preserve">Итого:</w:t>
            </w:r>
          </w:p>
        </w:tc>
        <w:tc>
          <w:tcPr>
            <w:tcW w:w="1114" w:type="dxa"/>
          </w:tcPr>
          <w:p>
            <w:pPr>
              <w:pStyle w:val="0"/>
            </w:pPr>
            <w:r>
              <w:rPr>
                <w:sz w:val="20"/>
              </w:rPr>
              <w:t xml:space="preserve">7080,00</w:t>
            </w:r>
          </w:p>
        </w:tc>
        <w:tc>
          <w:tcPr>
            <w:tcW w:w="1114" w:type="dxa"/>
          </w:tcPr>
          <w:p>
            <w:pPr>
              <w:pStyle w:val="0"/>
            </w:pPr>
            <w:r>
              <w:rPr>
                <w:sz w:val="20"/>
              </w:rPr>
              <w:t xml:space="preserve">350,00</w:t>
            </w:r>
          </w:p>
        </w:tc>
        <w:tc>
          <w:tcPr>
            <w:tcW w:w="1114" w:type="dxa"/>
          </w:tcPr>
          <w:p>
            <w:pPr>
              <w:pStyle w:val="0"/>
            </w:pPr>
            <w:r>
              <w:rPr>
                <w:sz w:val="20"/>
              </w:rPr>
              <w:t xml:space="preserve">1330,00</w:t>
            </w:r>
          </w:p>
        </w:tc>
        <w:tc>
          <w:tcPr>
            <w:gridSpan w:val="5"/>
            <w:tcW w:w="4355" w:type="dxa"/>
          </w:tcPr>
          <w:p>
            <w:pPr>
              <w:pStyle w:val="0"/>
            </w:pPr>
            <w:r>
              <w:rPr>
                <w:sz w:val="20"/>
              </w:rPr>
              <w:t xml:space="preserve">1800,00</w:t>
            </w:r>
          </w:p>
        </w:tc>
        <w:tc>
          <w:tcPr>
            <w:tcW w:w="1190" w:type="dxa"/>
          </w:tcPr>
          <w:p>
            <w:pPr>
              <w:pStyle w:val="0"/>
            </w:pPr>
            <w:r>
              <w:rPr>
                <w:sz w:val="20"/>
              </w:rPr>
              <w:t xml:space="preserve">1800,00</w:t>
            </w:r>
          </w:p>
        </w:tc>
        <w:tc>
          <w:tcPr>
            <w:tcW w:w="1190" w:type="dxa"/>
          </w:tcPr>
          <w:p>
            <w:pPr>
              <w:pStyle w:val="0"/>
            </w:pPr>
            <w:r>
              <w:rPr>
                <w:sz w:val="20"/>
              </w:rPr>
              <w:t xml:space="preserve">1800,00</w:t>
            </w:r>
          </w:p>
        </w:tc>
        <w:tc>
          <w:tcPr>
            <w:tcW w:w="1871" w:type="dxa"/>
            <w:tcBorders>
              <w:bottom w:val="nil"/>
            </w:tcBorders>
            <w:vMerge w:val="restart"/>
          </w:tcPr>
          <w:p>
            <w:pPr>
              <w:pStyle w:val="0"/>
            </w:pPr>
            <w:r>
              <w:rPr>
                <w:sz w:val="20"/>
              </w:rPr>
              <w:t xml:space="preserve">Х</w:t>
            </w:r>
          </w:p>
        </w:tc>
      </w:tr>
      <w:tr>
        <w:tblPrEx>
          <w:tblBorders>
            <w:insideH w:val="nil"/>
          </w:tblBorders>
        </w:tblPrEx>
        <w:tc>
          <w:tcPr>
            <w:gridSpan w:val="3"/>
            <w:tcBorders>
              <w:bottom w:val="nil"/>
            </w:tcBorders>
            <w:vMerge w:val="continue"/>
          </w:tcPr>
          <w:p/>
        </w:tc>
        <w:tc>
          <w:tcPr>
            <w:tcW w:w="1701" w:type="dxa"/>
            <w:tcBorders>
              <w:bottom w:val="nil"/>
            </w:tcBorders>
          </w:tcPr>
          <w:p>
            <w:pPr>
              <w:pStyle w:val="0"/>
            </w:pPr>
            <w:r>
              <w:rPr>
                <w:sz w:val="20"/>
              </w:rPr>
              <w:t xml:space="preserve">Средства бюджета Московской области</w:t>
            </w:r>
          </w:p>
        </w:tc>
        <w:tc>
          <w:tcPr>
            <w:tcW w:w="1114" w:type="dxa"/>
            <w:tcBorders>
              <w:bottom w:val="nil"/>
            </w:tcBorders>
          </w:tcPr>
          <w:p>
            <w:pPr>
              <w:pStyle w:val="0"/>
            </w:pPr>
            <w:r>
              <w:rPr>
                <w:sz w:val="20"/>
              </w:rPr>
              <w:t xml:space="preserve">7080,00</w:t>
            </w:r>
          </w:p>
        </w:tc>
        <w:tc>
          <w:tcPr>
            <w:tcW w:w="1114" w:type="dxa"/>
            <w:tcBorders>
              <w:bottom w:val="nil"/>
            </w:tcBorders>
          </w:tcPr>
          <w:p>
            <w:pPr>
              <w:pStyle w:val="0"/>
            </w:pPr>
            <w:r>
              <w:rPr>
                <w:sz w:val="20"/>
              </w:rPr>
              <w:t xml:space="preserve">350,00</w:t>
            </w:r>
          </w:p>
        </w:tc>
        <w:tc>
          <w:tcPr>
            <w:tcW w:w="1114" w:type="dxa"/>
            <w:tcBorders>
              <w:bottom w:val="nil"/>
            </w:tcBorders>
          </w:tcPr>
          <w:p>
            <w:pPr>
              <w:pStyle w:val="0"/>
            </w:pPr>
            <w:r>
              <w:rPr>
                <w:sz w:val="20"/>
              </w:rPr>
              <w:t xml:space="preserve">1330,00</w:t>
            </w:r>
          </w:p>
        </w:tc>
        <w:tc>
          <w:tcPr>
            <w:gridSpan w:val="5"/>
            <w:tcW w:w="4355" w:type="dxa"/>
            <w:tcBorders>
              <w:bottom w:val="nil"/>
            </w:tcBorders>
          </w:tcPr>
          <w:p>
            <w:pPr>
              <w:pStyle w:val="0"/>
            </w:pPr>
            <w:r>
              <w:rPr>
                <w:sz w:val="20"/>
              </w:rPr>
              <w:t xml:space="preserve">1800,00</w:t>
            </w:r>
          </w:p>
        </w:tc>
        <w:tc>
          <w:tcPr>
            <w:tcW w:w="1190" w:type="dxa"/>
            <w:tcBorders>
              <w:bottom w:val="nil"/>
            </w:tcBorders>
          </w:tcPr>
          <w:p>
            <w:pPr>
              <w:pStyle w:val="0"/>
            </w:pPr>
            <w:r>
              <w:rPr>
                <w:sz w:val="20"/>
              </w:rPr>
              <w:t xml:space="preserve">1800,00</w:t>
            </w:r>
          </w:p>
        </w:tc>
        <w:tc>
          <w:tcPr>
            <w:tcW w:w="1190" w:type="dxa"/>
            <w:tcBorders>
              <w:bottom w:val="nil"/>
            </w:tcBorders>
          </w:tcPr>
          <w:p>
            <w:pPr>
              <w:pStyle w:val="0"/>
            </w:pPr>
            <w:r>
              <w:rPr>
                <w:sz w:val="20"/>
              </w:rPr>
              <w:t xml:space="preserve">1800,00</w:t>
            </w:r>
          </w:p>
        </w:tc>
        <w:tc>
          <w:tcPr>
            <w:tcBorders>
              <w:bottom w:val="nil"/>
            </w:tcBorders>
            <w:vMerge w:val="continue"/>
          </w:tcPr>
          <w:p/>
        </w:tc>
      </w:tr>
      <w:tr>
        <w:tblPrEx>
          <w:tblBorders>
            <w:insideH w:val="nil"/>
          </w:tblBorders>
        </w:tblPrEx>
        <w:tc>
          <w:tcPr>
            <w:gridSpan w:val="15"/>
            <w:tcW w:w="19319" w:type="dxa"/>
            <w:tcBorders>
              <w:top w:val="nil"/>
            </w:tcBorders>
          </w:tcPr>
          <w:p>
            <w:pPr>
              <w:pStyle w:val="0"/>
              <w:jc w:val="both"/>
            </w:pPr>
            <w:r>
              <w:rPr>
                <w:sz w:val="20"/>
              </w:rPr>
              <w:t xml:space="preserve">(в ред. </w:t>
            </w:r>
            <w:hyperlink w:history="0" r:id="rId564"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2"/>
        <w:outlineLvl w:val="1"/>
        <w:jc w:val="center"/>
      </w:pPr>
      <w:r>
        <w:rPr>
          <w:sz w:val="20"/>
        </w:rPr>
        <w:t xml:space="preserve">7. Подпрограмма 3 "Развитие малого и среднего</w:t>
      </w:r>
    </w:p>
    <w:p>
      <w:pPr>
        <w:pStyle w:val="2"/>
        <w:jc w:val="center"/>
      </w:pPr>
      <w:r>
        <w:rPr>
          <w:sz w:val="20"/>
        </w:rPr>
        <w:t xml:space="preserve">предпринимательства в Московской области"</w:t>
      </w:r>
    </w:p>
    <w:p>
      <w:pPr>
        <w:pStyle w:val="0"/>
        <w:jc w:val="both"/>
      </w:pPr>
      <w:r>
        <w:rPr>
          <w:sz w:val="20"/>
        </w:rPr>
      </w:r>
    </w:p>
    <w:p>
      <w:pPr>
        <w:pStyle w:val="2"/>
        <w:outlineLvl w:val="2"/>
        <w:jc w:val="center"/>
      </w:pPr>
      <w:r>
        <w:rPr>
          <w:sz w:val="20"/>
        </w:rPr>
        <w:t xml:space="preserve">7.1. Перечень мероприятий Подпрограммы 3 "Развитие малого</w:t>
      </w:r>
    </w:p>
    <w:p>
      <w:pPr>
        <w:pStyle w:val="2"/>
        <w:jc w:val="center"/>
      </w:pPr>
      <w:r>
        <w:rPr>
          <w:sz w:val="20"/>
        </w:rPr>
        <w:t xml:space="preserve">и среднего предпринимательства в Московской области"</w:t>
      </w:r>
    </w:p>
    <w:p>
      <w:pPr>
        <w:pStyle w:val="0"/>
        <w:jc w:val="center"/>
      </w:pPr>
      <w:r>
        <w:rPr>
          <w:sz w:val="20"/>
        </w:rPr>
      </w:r>
    </w:p>
    <w:p>
      <w:pPr>
        <w:pStyle w:val="0"/>
        <w:jc w:val="center"/>
      </w:pPr>
      <w:r>
        <w:rPr>
          <w:sz w:val="20"/>
        </w:rPr>
        <w:t xml:space="preserve">(в ред. </w:t>
      </w:r>
      <w:hyperlink w:history="0" r:id="rId565"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345"/>
        <w:gridCol w:w="1361"/>
        <w:gridCol w:w="1587"/>
        <w:gridCol w:w="1644"/>
        <w:gridCol w:w="1531"/>
        <w:gridCol w:w="1474"/>
        <w:gridCol w:w="1020"/>
        <w:gridCol w:w="1068"/>
        <w:gridCol w:w="1068"/>
        <w:gridCol w:w="1068"/>
        <w:gridCol w:w="1071"/>
        <w:gridCol w:w="1531"/>
        <w:gridCol w:w="1531"/>
        <w:gridCol w:w="1531"/>
      </w:tblGrid>
      <w:tr>
        <w:tc>
          <w:tcPr>
            <w:tcW w:w="680" w:type="dxa"/>
            <w:vMerge w:val="restart"/>
          </w:tcPr>
          <w:p>
            <w:pPr>
              <w:pStyle w:val="0"/>
              <w:jc w:val="center"/>
            </w:pPr>
            <w:r>
              <w:rPr>
                <w:sz w:val="20"/>
              </w:rPr>
              <w:t xml:space="preserve">N п/п</w:t>
            </w:r>
          </w:p>
        </w:tc>
        <w:tc>
          <w:tcPr>
            <w:tcW w:w="3345" w:type="dxa"/>
            <w:vMerge w:val="restart"/>
          </w:tcPr>
          <w:p>
            <w:pPr>
              <w:pStyle w:val="0"/>
              <w:jc w:val="center"/>
            </w:pPr>
            <w:r>
              <w:rPr>
                <w:sz w:val="20"/>
              </w:rPr>
              <w:t xml:space="preserve">Мероприятие подпрограммы</w:t>
            </w:r>
          </w:p>
        </w:tc>
        <w:tc>
          <w:tcPr>
            <w:tcW w:w="1361" w:type="dxa"/>
            <w:vMerge w:val="restart"/>
          </w:tcPr>
          <w:p>
            <w:pPr>
              <w:pStyle w:val="0"/>
              <w:jc w:val="center"/>
            </w:pPr>
            <w:r>
              <w:rPr>
                <w:sz w:val="20"/>
              </w:rPr>
              <w:t xml:space="preserve">Сроки исполнения мероприятия</w:t>
            </w:r>
          </w:p>
        </w:tc>
        <w:tc>
          <w:tcPr>
            <w:tcW w:w="1587" w:type="dxa"/>
            <w:vMerge w:val="restart"/>
          </w:tcPr>
          <w:p>
            <w:pPr>
              <w:pStyle w:val="0"/>
              <w:jc w:val="center"/>
            </w:pPr>
            <w:r>
              <w:rPr>
                <w:sz w:val="20"/>
              </w:rPr>
              <w:t xml:space="preserve">Источники финансирования</w:t>
            </w:r>
          </w:p>
        </w:tc>
        <w:tc>
          <w:tcPr>
            <w:tcW w:w="1644" w:type="dxa"/>
            <w:vMerge w:val="restart"/>
          </w:tcPr>
          <w:p>
            <w:pPr>
              <w:pStyle w:val="0"/>
              <w:jc w:val="center"/>
            </w:pPr>
            <w:r>
              <w:rPr>
                <w:sz w:val="20"/>
              </w:rPr>
              <w:t xml:space="preserve">Всего (тыс. руб.)</w:t>
            </w:r>
          </w:p>
        </w:tc>
        <w:tc>
          <w:tcPr>
            <w:gridSpan w:val="9"/>
            <w:tcW w:w="11362" w:type="dxa"/>
          </w:tcPr>
          <w:p>
            <w:pPr>
              <w:pStyle w:val="0"/>
              <w:jc w:val="center"/>
            </w:pPr>
            <w:r>
              <w:rPr>
                <w:sz w:val="20"/>
              </w:rPr>
              <w:t xml:space="preserve">Объем финансирования по годам (тыс. руб.)</w:t>
            </w:r>
          </w:p>
        </w:tc>
        <w:tc>
          <w:tcPr>
            <w:tcW w:w="1531" w:type="dxa"/>
            <w:vMerge w:val="restart"/>
          </w:tcPr>
          <w:p>
            <w:pPr>
              <w:pStyle w:val="0"/>
              <w:jc w:val="center"/>
            </w:pPr>
            <w:r>
              <w:rPr>
                <w:sz w:val="20"/>
              </w:rPr>
              <w:t xml:space="preserve">Ответственный за выполнение мероприятия</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jc w:val="center"/>
            </w:pPr>
            <w:r>
              <w:rPr>
                <w:sz w:val="20"/>
              </w:rPr>
              <w:t xml:space="preserve">2023 год</w:t>
            </w:r>
          </w:p>
        </w:tc>
        <w:tc>
          <w:tcPr>
            <w:tcW w:w="1474" w:type="dxa"/>
          </w:tcPr>
          <w:p>
            <w:pPr>
              <w:pStyle w:val="0"/>
              <w:jc w:val="center"/>
            </w:pPr>
            <w:r>
              <w:rPr>
                <w:sz w:val="20"/>
              </w:rPr>
              <w:t xml:space="preserve">2024 год</w:t>
            </w:r>
          </w:p>
        </w:tc>
        <w:tc>
          <w:tcPr>
            <w:gridSpan w:val="5"/>
            <w:tcW w:w="5295" w:type="dxa"/>
          </w:tcPr>
          <w:p>
            <w:pPr>
              <w:pStyle w:val="0"/>
              <w:jc w:val="center"/>
            </w:pPr>
            <w:r>
              <w:rPr>
                <w:sz w:val="20"/>
              </w:rPr>
              <w:t xml:space="preserve">2025 год</w:t>
            </w:r>
          </w:p>
        </w:tc>
        <w:tc>
          <w:tcPr>
            <w:tcW w:w="1531" w:type="dxa"/>
          </w:tcPr>
          <w:p>
            <w:pPr>
              <w:pStyle w:val="0"/>
              <w:jc w:val="center"/>
            </w:pPr>
            <w:r>
              <w:rPr>
                <w:sz w:val="20"/>
              </w:rPr>
              <w:t xml:space="preserve">2026 год</w:t>
            </w:r>
          </w:p>
        </w:tc>
        <w:tc>
          <w:tcPr>
            <w:tcW w:w="1531" w:type="dxa"/>
          </w:tcPr>
          <w:p>
            <w:pPr>
              <w:pStyle w:val="0"/>
              <w:jc w:val="center"/>
            </w:pPr>
            <w:r>
              <w:rPr>
                <w:sz w:val="20"/>
              </w:rPr>
              <w:t xml:space="preserve">2027 год</w:t>
            </w:r>
          </w:p>
        </w:tc>
        <w:tc>
          <w:tcPr>
            <w:vMerge w:val="continue"/>
          </w:tcPr>
          <w:p/>
        </w:tc>
      </w:tr>
      <w:tr>
        <w:tc>
          <w:tcPr>
            <w:tcW w:w="680" w:type="dxa"/>
          </w:tcPr>
          <w:p>
            <w:pPr>
              <w:pStyle w:val="0"/>
              <w:jc w:val="center"/>
            </w:pPr>
            <w:r>
              <w:rPr>
                <w:sz w:val="20"/>
              </w:rPr>
              <w:t xml:space="preserve">1</w:t>
            </w:r>
          </w:p>
        </w:tc>
        <w:tc>
          <w:tcPr>
            <w:tcW w:w="3345" w:type="dxa"/>
          </w:tcPr>
          <w:p>
            <w:pPr>
              <w:pStyle w:val="0"/>
              <w:jc w:val="center"/>
            </w:pPr>
            <w:r>
              <w:rPr>
                <w:sz w:val="20"/>
              </w:rPr>
              <w:t xml:space="preserve">2</w:t>
            </w:r>
          </w:p>
        </w:tc>
        <w:tc>
          <w:tcPr>
            <w:tcW w:w="1361" w:type="dxa"/>
          </w:tcPr>
          <w:p>
            <w:pPr>
              <w:pStyle w:val="0"/>
              <w:jc w:val="center"/>
            </w:pPr>
            <w:r>
              <w:rPr>
                <w:sz w:val="20"/>
              </w:rPr>
              <w:t xml:space="preserve">3</w:t>
            </w:r>
          </w:p>
        </w:tc>
        <w:tc>
          <w:tcPr>
            <w:tcW w:w="1587" w:type="dxa"/>
          </w:tcPr>
          <w:p>
            <w:pPr>
              <w:pStyle w:val="0"/>
              <w:jc w:val="center"/>
            </w:pPr>
            <w:r>
              <w:rPr>
                <w:sz w:val="20"/>
              </w:rPr>
              <w:t xml:space="preserve">4</w:t>
            </w:r>
          </w:p>
        </w:tc>
        <w:tc>
          <w:tcPr>
            <w:tcW w:w="1644" w:type="dxa"/>
          </w:tcPr>
          <w:p>
            <w:pPr>
              <w:pStyle w:val="0"/>
              <w:jc w:val="center"/>
            </w:pPr>
            <w:r>
              <w:rPr>
                <w:sz w:val="20"/>
              </w:rPr>
              <w:t xml:space="preserve">5</w:t>
            </w:r>
          </w:p>
        </w:tc>
        <w:tc>
          <w:tcPr>
            <w:tcW w:w="1531" w:type="dxa"/>
          </w:tcPr>
          <w:p>
            <w:pPr>
              <w:pStyle w:val="0"/>
              <w:jc w:val="center"/>
            </w:pPr>
            <w:r>
              <w:rPr>
                <w:sz w:val="20"/>
              </w:rPr>
              <w:t xml:space="preserve">6</w:t>
            </w:r>
          </w:p>
        </w:tc>
        <w:tc>
          <w:tcPr>
            <w:tcW w:w="1474" w:type="dxa"/>
          </w:tcPr>
          <w:p>
            <w:pPr>
              <w:pStyle w:val="0"/>
              <w:jc w:val="center"/>
            </w:pPr>
            <w:r>
              <w:rPr>
                <w:sz w:val="20"/>
              </w:rPr>
              <w:t xml:space="preserve">7</w:t>
            </w:r>
          </w:p>
        </w:tc>
        <w:tc>
          <w:tcPr>
            <w:gridSpan w:val="5"/>
            <w:tcW w:w="5295" w:type="dxa"/>
          </w:tcPr>
          <w:p>
            <w:pPr>
              <w:pStyle w:val="0"/>
              <w:jc w:val="center"/>
            </w:pPr>
            <w:r>
              <w:rPr>
                <w:sz w:val="20"/>
              </w:rPr>
              <w:t xml:space="preserve">8</w:t>
            </w:r>
          </w:p>
        </w:tc>
        <w:tc>
          <w:tcPr>
            <w:tcW w:w="1531" w:type="dxa"/>
          </w:tcPr>
          <w:p>
            <w:pPr>
              <w:pStyle w:val="0"/>
              <w:jc w:val="center"/>
            </w:pPr>
            <w:r>
              <w:rPr>
                <w:sz w:val="20"/>
              </w:rPr>
              <w:t xml:space="preserve">9</w:t>
            </w:r>
          </w:p>
        </w:tc>
        <w:tc>
          <w:tcPr>
            <w:tcW w:w="1531" w:type="dxa"/>
          </w:tcPr>
          <w:p>
            <w:pPr>
              <w:pStyle w:val="0"/>
              <w:jc w:val="center"/>
            </w:pPr>
            <w:r>
              <w:rPr>
                <w:sz w:val="20"/>
              </w:rPr>
              <w:t xml:space="preserve">10</w:t>
            </w:r>
          </w:p>
        </w:tc>
        <w:tc>
          <w:tcPr>
            <w:tcW w:w="1531" w:type="dxa"/>
          </w:tcPr>
          <w:p>
            <w:pPr>
              <w:pStyle w:val="0"/>
              <w:jc w:val="center"/>
            </w:pPr>
            <w:r>
              <w:rPr>
                <w:sz w:val="20"/>
              </w:rPr>
              <w:t xml:space="preserve">11</w:t>
            </w:r>
          </w:p>
        </w:tc>
      </w:tr>
      <w:tr>
        <w:tc>
          <w:tcPr>
            <w:tcW w:w="680" w:type="dxa"/>
            <w:tcBorders>
              <w:bottom w:val="nil"/>
            </w:tcBorders>
            <w:vMerge w:val="restart"/>
          </w:tcPr>
          <w:p>
            <w:pPr>
              <w:pStyle w:val="0"/>
              <w:outlineLvl w:val="3"/>
            </w:pPr>
            <w:r>
              <w:rPr>
                <w:sz w:val="20"/>
              </w:rPr>
              <w:t xml:space="preserve">1</w:t>
            </w:r>
          </w:p>
        </w:tc>
        <w:tc>
          <w:tcPr>
            <w:tcW w:w="3345" w:type="dxa"/>
            <w:tcBorders>
              <w:bottom w:val="nil"/>
            </w:tcBorders>
            <w:vMerge w:val="restart"/>
          </w:tcPr>
          <w:p>
            <w:pPr>
              <w:pStyle w:val="0"/>
            </w:pPr>
            <w:r>
              <w:rPr>
                <w:sz w:val="20"/>
              </w:rPr>
              <w:t xml:space="preserve">Основное мероприятие 01. Реализация механизмов государственной поддержки субъектов малого и среднего предпринимательства</w:t>
            </w:r>
          </w:p>
        </w:tc>
        <w:tc>
          <w:tcPr>
            <w:tcW w:w="1361" w:type="dxa"/>
            <w:tcBorders>
              <w:bottom w:val="nil"/>
            </w:tcBorders>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9740709,00</w:t>
            </w:r>
          </w:p>
        </w:tc>
        <w:tc>
          <w:tcPr>
            <w:tcW w:w="1531" w:type="dxa"/>
          </w:tcPr>
          <w:p>
            <w:pPr>
              <w:pStyle w:val="0"/>
            </w:pPr>
            <w:r>
              <w:rPr>
                <w:sz w:val="20"/>
              </w:rPr>
              <w:t xml:space="preserve">1622000,00</w:t>
            </w:r>
          </w:p>
        </w:tc>
        <w:tc>
          <w:tcPr>
            <w:tcW w:w="1474" w:type="dxa"/>
          </w:tcPr>
          <w:p>
            <w:pPr>
              <w:pStyle w:val="0"/>
            </w:pPr>
            <w:r>
              <w:rPr>
                <w:sz w:val="20"/>
              </w:rPr>
              <w:t xml:space="preserve">1464709,00</w:t>
            </w:r>
          </w:p>
        </w:tc>
        <w:tc>
          <w:tcPr>
            <w:gridSpan w:val="5"/>
            <w:tcW w:w="5295" w:type="dxa"/>
          </w:tcPr>
          <w:p>
            <w:pPr>
              <w:pStyle w:val="0"/>
            </w:pPr>
            <w:r>
              <w:rPr>
                <w:sz w:val="20"/>
              </w:rPr>
              <w:t xml:space="preserve">2218000,00</w:t>
            </w:r>
          </w:p>
        </w:tc>
        <w:tc>
          <w:tcPr>
            <w:tcW w:w="1531" w:type="dxa"/>
          </w:tcPr>
          <w:p>
            <w:pPr>
              <w:pStyle w:val="0"/>
            </w:pPr>
            <w:r>
              <w:rPr>
                <w:sz w:val="20"/>
              </w:rPr>
              <w:t xml:space="preserve">2218000,00</w:t>
            </w:r>
          </w:p>
        </w:tc>
        <w:tc>
          <w:tcPr>
            <w:tcW w:w="1531" w:type="dxa"/>
          </w:tcPr>
          <w:p>
            <w:pPr>
              <w:pStyle w:val="0"/>
            </w:pPr>
            <w:r>
              <w:rPr>
                <w:sz w:val="20"/>
              </w:rPr>
              <w:t xml:space="preserve">2218000,00</w:t>
            </w:r>
          </w:p>
        </w:tc>
        <w:tc>
          <w:tcPr>
            <w:tcW w:w="1531" w:type="dxa"/>
            <w:tcBorders>
              <w:bottom w:val="nil"/>
            </w:tcBorders>
            <w:vMerge w:val="restart"/>
          </w:tcPr>
          <w:p>
            <w:pPr>
              <w:pStyle w:val="0"/>
            </w:pPr>
            <w:r>
              <w:rPr>
                <w:sz w:val="20"/>
              </w:rPr>
              <w:t xml:space="preserve">Х</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W w:w="1587" w:type="dxa"/>
            <w:tcBorders>
              <w:bottom w:val="nil"/>
            </w:tcBorders>
          </w:tcPr>
          <w:p>
            <w:pPr>
              <w:pStyle w:val="0"/>
            </w:pPr>
            <w:r>
              <w:rPr>
                <w:sz w:val="20"/>
              </w:rPr>
              <w:t xml:space="preserve">Средства бюджета Московской области</w:t>
            </w:r>
          </w:p>
        </w:tc>
        <w:tc>
          <w:tcPr>
            <w:tcW w:w="1644" w:type="dxa"/>
            <w:tcBorders>
              <w:bottom w:val="nil"/>
            </w:tcBorders>
          </w:tcPr>
          <w:p>
            <w:pPr>
              <w:pStyle w:val="0"/>
            </w:pPr>
            <w:r>
              <w:rPr>
                <w:sz w:val="20"/>
              </w:rPr>
              <w:t xml:space="preserve">9740709,00</w:t>
            </w:r>
          </w:p>
        </w:tc>
        <w:tc>
          <w:tcPr>
            <w:tcW w:w="1531" w:type="dxa"/>
            <w:tcBorders>
              <w:bottom w:val="nil"/>
            </w:tcBorders>
          </w:tcPr>
          <w:p>
            <w:pPr>
              <w:pStyle w:val="0"/>
            </w:pPr>
            <w:r>
              <w:rPr>
                <w:sz w:val="20"/>
              </w:rPr>
              <w:t xml:space="preserve">1622000,00</w:t>
            </w:r>
          </w:p>
        </w:tc>
        <w:tc>
          <w:tcPr>
            <w:tcW w:w="1474" w:type="dxa"/>
            <w:tcBorders>
              <w:bottom w:val="nil"/>
            </w:tcBorders>
          </w:tcPr>
          <w:p>
            <w:pPr>
              <w:pStyle w:val="0"/>
            </w:pPr>
            <w:r>
              <w:rPr>
                <w:sz w:val="20"/>
              </w:rPr>
              <w:t xml:space="preserve">1464709,00</w:t>
            </w:r>
          </w:p>
        </w:tc>
        <w:tc>
          <w:tcPr>
            <w:gridSpan w:val="5"/>
            <w:tcW w:w="5295" w:type="dxa"/>
            <w:tcBorders>
              <w:bottom w:val="nil"/>
            </w:tcBorders>
          </w:tcPr>
          <w:p>
            <w:pPr>
              <w:pStyle w:val="0"/>
            </w:pPr>
            <w:r>
              <w:rPr>
                <w:sz w:val="20"/>
              </w:rPr>
              <w:t xml:space="preserve">2218000,00</w:t>
            </w:r>
          </w:p>
        </w:tc>
        <w:tc>
          <w:tcPr>
            <w:tcW w:w="1531" w:type="dxa"/>
            <w:tcBorders>
              <w:bottom w:val="nil"/>
            </w:tcBorders>
          </w:tcPr>
          <w:p>
            <w:pPr>
              <w:pStyle w:val="0"/>
            </w:pPr>
            <w:r>
              <w:rPr>
                <w:sz w:val="20"/>
              </w:rPr>
              <w:t xml:space="preserve">2218000,00</w:t>
            </w:r>
          </w:p>
        </w:tc>
        <w:tc>
          <w:tcPr>
            <w:tcW w:w="1531" w:type="dxa"/>
            <w:tcBorders>
              <w:bottom w:val="nil"/>
            </w:tcBorders>
          </w:tcPr>
          <w:p>
            <w:pPr>
              <w:pStyle w:val="0"/>
            </w:pPr>
            <w:r>
              <w:rPr>
                <w:sz w:val="20"/>
              </w:rPr>
              <w:t xml:space="preserve">2218000,00</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 в ред. </w:t>
            </w:r>
            <w:hyperlink w:history="0" r:id="rId566"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1.1</w:t>
            </w:r>
          </w:p>
        </w:tc>
        <w:tc>
          <w:tcPr>
            <w:tcW w:w="3345" w:type="dxa"/>
            <w:vMerge w:val="restart"/>
          </w:tcPr>
          <w:bookmarkStart w:id="12576" w:name="P12576"/>
          <w:bookmarkEnd w:id="12576"/>
          <w:p>
            <w:pPr>
              <w:pStyle w:val="0"/>
            </w:pPr>
            <w:r>
              <w:rPr>
                <w:sz w:val="20"/>
              </w:rPr>
              <w:t xml:space="preserve">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3200000,00</w:t>
            </w:r>
          </w:p>
        </w:tc>
        <w:tc>
          <w:tcPr>
            <w:tcW w:w="1531" w:type="dxa"/>
          </w:tcPr>
          <w:p>
            <w:pPr>
              <w:pStyle w:val="0"/>
            </w:pPr>
            <w:r>
              <w:rPr>
                <w:sz w:val="20"/>
              </w:rPr>
              <w:t xml:space="preserve">650000,00</w:t>
            </w:r>
          </w:p>
        </w:tc>
        <w:tc>
          <w:tcPr>
            <w:tcW w:w="1474" w:type="dxa"/>
          </w:tcPr>
          <w:p>
            <w:pPr>
              <w:pStyle w:val="0"/>
            </w:pPr>
            <w:r>
              <w:rPr>
                <w:sz w:val="20"/>
              </w:rPr>
              <w:t xml:space="preserve">750000,00</w:t>
            </w:r>
          </w:p>
        </w:tc>
        <w:tc>
          <w:tcPr>
            <w:gridSpan w:val="5"/>
            <w:tcW w:w="5295" w:type="dxa"/>
          </w:tcPr>
          <w:p>
            <w:pPr>
              <w:pStyle w:val="0"/>
            </w:pPr>
            <w:r>
              <w:rPr>
                <w:sz w:val="20"/>
              </w:rPr>
              <w:t xml:space="preserve">600000,00</w:t>
            </w:r>
          </w:p>
        </w:tc>
        <w:tc>
          <w:tcPr>
            <w:tcW w:w="1531" w:type="dxa"/>
          </w:tcPr>
          <w:p>
            <w:pPr>
              <w:pStyle w:val="0"/>
            </w:pPr>
            <w:r>
              <w:rPr>
                <w:sz w:val="20"/>
              </w:rPr>
              <w:t xml:space="preserve">600000,00</w:t>
            </w:r>
          </w:p>
        </w:tc>
        <w:tc>
          <w:tcPr>
            <w:tcW w:w="1531" w:type="dxa"/>
          </w:tcPr>
          <w:p>
            <w:pPr>
              <w:pStyle w:val="0"/>
            </w:pPr>
            <w:r>
              <w:rPr>
                <w:sz w:val="20"/>
              </w:rPr>
              <w:t xml:space="preserve">600000,00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3200000,00</w:t>
            </w:r>
          </w:p>
        </w:tc>
        <w:tc>
          <w:tcPr>
            <w:tcW w:w="1531" w:type="dxa"/>
          </w:tcPr>
          <w:p>
            <w:pPr>
              <w:pStyle w:val="0"/>
            </w:pPr>
            <w:r>
              <w:rPr>
                <w:sz w:val="20"/>
              </w:rPr>
              <w:t xml:space="preserve">650000,00</w:t>
            </w:r>
          </w:p>
        </w:tc>
        <w:tc>
          <w:tcPr>
            <w:tcW w:w="1474" w:type="dxa"/>
          </w:tcPr>
          <w:p>
            <w:pPr>
              <w:pStyle w:val="0"/>
            </w:pPr>
            <w:r>
              <w:rPr>
                <w:sz w:val="20"/>
              </w:rPr>
              <w:t xml:space="preserve">750000,00</w:t>
            </w:r>
          </w:p>
        </w:tc>
        <w:tc>
          <w:tcPr>
            <w:gridSpan w:val="5"/>
            <w:tcW w:w="5295" w:type="dxa"/>
          </w:tcPr>
          <w:p>
            <w:pPr>
              <w:pStyle w:val="0"/>
            </w:pPr>
            <w:r>
              <w:rPr>
                <w:sz w:val="20"/>
              </w:rPr>
              <w:t xml:space="preserve">600000,00</w:t>
            </w:r>
          </w:p>
        </w:tc>
        <w:tc>
          <w:tcPr>
            <w:tcW w:w="1531" w:type="dxa"/>
          </w:tcPr>
          <w:p>
            <w:pPr>
              <w:pStyle w:val="0"/>
            </w:pPr>
            <w:r>
              <w:rPr>
                <w:sz w:val="20"/>
              </w:rPr>
              <w:t xml:space="preserve">600000,00</w:t>
            </w:r>
          </w:p>
        </w:tc>
        <w:tc>
          <w:tcPr>
            <w:tcW w:w="1531" w:type="dxa"/>
          </w:tcPr>
          <w:p>
            <w:pPr>
              <w:pStyle w:val="0"/>
            </w:pPr>
            <w:r>
              <w:rPr>
                <w:sz w:val="20"/>
              </w:rPr>
              <w:t xml:space="preserve">600000,00</w:t>
            </w:r>
          </w:p>
        </w:tc>
        <w:tc>
          <w:tcPr>
            <w:vMerge w:val="continue"/>
          </w:tcPr>
          <w:p/>
        </w:tc>
      </w:tr>
      <w:tr>
        <w:tc>
          <w:tcPr>
            <w:tcBorders>
              <w:bottom w:val="nil"/>
            </w:tcBorders>
            <w:vMerge w:val="continue"/>
          </w:tcPr>
          <w:p/>
        </w:tc>
        <w:tc>
          <w:tcPr>
            <w:tcW w:w="3345" w:type="dxa"/>
            <w:vMerge w:val="restart"/>
          </w:tcPr>
          <w:p>
            <w:pPr>
              <w:pStyle w:val="0"/>
            </w:pPr>
            <w:r>
              <w:rPr>
                <w:sz w:val="20"/>
              </w:rPr>
              <w:t xml:space="preserve">Результат 1. Субъектами МСП получена государственная поддержка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tcW w:w="1644" w:type="dxa"/>
          </w:tcPr>
          <w:p>
            <w:pPr>
              <w:pStyle w:val="0"/>
            </w:pPr>
            <w:r>
              <w:rPr>
                <w:sz w:val="20"/>
              </w:rPr>
              <w:t xml:space="preserve">241</w:t>
            </w:r>
          </w:p>
        </w:tc>
        <w:tc>
          <w:tcPr>
            <w:tcW w:w="1531" w:type="dxa"/>
          </w:tcPr>
          <w:p>
            <w:pPr>
              <w:pStyle w:val="0"/>
            </w:pPr>
            <w:r>
              <w:rPr>
                <w:sz w:val="20"/>
              </w:rPr>
              <w:t xml:space="preserve">241</w:t>
            </w:r>
          </w:p>
        </w:tc>
        <w:tc>
          <w:tcPr>
            <w:tcW w:w="1474" w:type="dxa"/>
          </w:tcPr>
          <w:p>
            <w:pPr>
              <w:pStyle w:val="0"/>
            </w:pPr>
            <w:r>
              <w:rPr>
                <w:sz w:val="20"/>
              </w:rPr>
              <w:t xml:space="preserve">-</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2. Обеспечен прирост налоговых отчислений за год получения субсидии к году, предшествующему году получения субсидии,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3318</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1050</w:t>
            </w:r>
          </w:p>
        </w:tc>
        <w:tc>
          <w:tcPr>
            <w:tcW w:w="1020" w:type="dxa"/>
            <w:tcBorders>
              <w:bottom w:val="nil"/>
            </w:tcBorders>
          </w:tcPr>
          <w:p>
            <w:pPr>
              <w:pStyle w:val="0"/>
            </w:pPr>
            <w:r>
              <w:rPr>
                <w:sz w:val="20"/>
              </w:rPr>
              <w:t xml:space="preserve">756</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756</w:t>
            </w:r>
          </w:p>
        </w:tc>
        <w:tc>
          <w:tcPr>
            <w:tcW w:w="1531" w:type="dxa"/>
            <w:tcBorders>
              <w:bottom w:val="nil"/>
            </w:tcBorders>
          </w:tcPr>
          <w:p>
            <w:pPr>
              <w:pStyle w:val="0"/>
            </w:pPr>
            <w:r>
              <w:rPr>
                <w:sz w:val="20"/>
              </w:rPr>
              <w:t xml:space="preserve">756</w:t>
            </w:r>
          </w:p>
        </w:tc>
        <w:tc>
          <w:tcPr>
            <w:tcW w:w="1531" w:type="dxa"/>
            <w:tcBorders>
              <w:bottom w:val="nil"/>
            </w:tcBorders>
          </w:tcPr>
          <w:p>
            <w:pPr>
              <w:pStyle w:val="0"/>
            </w:pPr>
            <w:r>
              <w:rPr>
                <w:sz w:val="20"/>
              </w:rPr>
              <w:t xml:space="preserve">756</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1.1 в ред. </w:t>
            </w:r>
            <w:hyperlink w:history="0" r:id="rId56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1.2</w:t>
            </w:r>
          </w:p>
        </w:tc>
        <w:tc>
          <w:tcPr>
            <w:tcW w:w="3345" w:type="dxa"/>
            <w:vMerge w:val="restart"/>
          </w:tcPr>
          <w:bookmarkStart w:id="12645" w:name="P12645"/>
          <w:bookmarkEnd w:id="12645"/>
          <w:p>
            <w:pPr>
              <w:pStyle w:val="0"/>
            </w:pPr>
            <w:r>
              <w:rPr>
                <w:sz w:val="20"/>
              </w:rPr>
              <w:t xml:space="preserve">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500000,00</w:t>
            </w:r>
          </w:p>
        </w:tc>
        <w:tc>
          <w:tcPr>
            <w:tcW w:w="1531" w:type="dxa"/>
          </w:tcPr>
          <w:p>
            <w:pPr>
              <w:pStyle w:val="0"/>
            </w:pPr>
            <w:r>
              <w:rPr>
                <w:sz w:val="20"/>
              </w:rPr>
              <w:t xml:space="preserve">100000,00</w:t>
            </w:r>
          </w:p>
        </w:tc>
        <w:tc>
          <w:tcPr>
            <w:tcW w:w="1474" w:type="dxa"/>
          </w:tcPr>
          <w:p>
            <w:pPr>
              <w:pStyle w:val="0"/>
            </w:pPr>
            <w:r>
              <w:rPr>
                <w:sz w:val="20"/>
              </w:rPr>
              <w:t xml:space="preserve">100000,00</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500000,00</w:t>
            </w:r>
          </w:p>
        </w:tc>
        <w:tc>
          <w:tcPr>
            <w:tcW w:w="1531" w:type="dxa"/>
          </w:tcPr>
          <w:p>
            <w:pPr>
              <w:pStyle w:val="0"/>
            </w:pPr>
            <w:r>
              <w:rPr>
                <w:sz w:val="20"/>
              </w:rPr>
              <w:t xml:space="preserve">100000,00</w:t>
            </w:r>
          </w:p>
        </w:tc>
        <w:tc>
          <w:tcPr>
            <w:tcW w:w="1474" w:type="dxa"/>
          </w:tcPr>
          <w:p>
            <w:pPr>
              <w:pStyle w:val="0"/>
            </w:pPr>
            <w:r>
              <w:rPr>
                <w:sz w:val="20"/>
              </w:rPr>
              <w:t xml:space="preserve">100000,00</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vMerge w:val="continue"/>
          </w:tcPr>
          <w:p/>
        </w:tc>
      </w:tr>
      <w:tr>
        <w:tc>
          <w:tcPr>
            <w:tcBorders>
              <w:bottom w:val="nil"/>
            </w:tcBorders>
            <w:vMerge w:val="continue"/>
          </w:tcPr>
          <w:p/>
        </w:tc>
        <w:tc>
          <w:tcPr>
            <w:tcW w:w="3345" w:type="dxa"/>
            <w:vMerge w:val="restart"/>
          </w:tcPr>
          <w:p>
            <w:pPr>
              <w:pStyle w:val="0"/>
            </w:pPr>
            <w:r>
              <w:rPr>
                <w:sz w:val="20"/>
              </w:rPr>
              <w:t xml:space="preserve">Результат 1. Субъектами МСП, осуществляющими деятельность в сфере социального предпринимательства, получена государственная поддержка,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tcW w:w="1644" w:type="dxa"/>
          </w:tcPr>
          <w:p>
            <w:pPr>
              <w:pStyle w:val="0"/>
            </w:pPr>
            <w:r>
              <w:rPr>
                <w:sz w:val="20"/>
              </w:rPr>
              <w:t xml:space="preserve">66</w:t>
            </w:r>
          </w:p>
        </w:tc>
        <w:tc>
          <w:tcPr>
            <w:tcW w:w="1531" w:type="dxa"/>
          </w:tcPr>
          <w:p>
            <w:pPr>
              <w:pStyle w:val="0"/>
            </w:pPr>
            <w:r>
              <w:rPr>
                <w:sz w:val="20"/>
              </w:rPr>
              <w:t xml:space="preserve">66</w:t>
            </w:r>
          </w:p>
        </w:tc>
        <w:tc>
          <w:tcPr>
            <w:tcW w:w="1474" w:type="dxa"/>
          </w:tcPr>
          <w:p>
            <w:pPr>
              <w:pStyle w:val="0"/>
            </w:pPr>
            <w:r>
              <w:rPr>
                <w:sz w:val="20"/>
              </w:rPr>
              <w:t xml:space="preserve">-</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2. Обеспечен прирост налоговых отчислений за год получения субсидии к году предшествующему году получения субсидии,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84</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21</w:t>
            </w:r>
          </w:p>
        </w:tc>
        <w:tc>
          <w:tcPr>
            <w:tcW w:w="1020" w:type="dxa"/>
            <w:tcBorders>
              <w:bottom w:val="nil"/>
            </w:tcBorders>
          </w:tcPr>
          <w:p>
            <w:pPr>
              <w:pStyle w:val="0"/>
            </w:pPr>
            <w:r>
              <w:rPr>
                <w:sz w:val="20"/>
              </w:rPr>
              <w:t xml:space="preserve">21</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21</w:t>
            </w:r>
          </w:p>
        </w:tc>
        <w:tc>
          <w:tcPr>
            <w:tcW w:w="1531" w:type="dxa"/>
            <w:tcBorders>
              <w:bottom w:val="nil"/>
            </w:tcBorders>
          </w:tcPr>
          <w:p>
            <w:pPr>
              <w:pStyle w:val="0"/>
            </w:pPr>
            <w:r>
              <w:rPr>
                <w:sz w:val="20"/>
              </w:rPr>
              <w:t xml:space="preserve">21</w:t>
            </w:r>
          </w:p>
        </w:tc>
        <w:tc>
          <w:tcPr>
            <w:tcW w:w="1531" w:type="dxa"/>
            <w:tcBorders>
              <w:bottom w:val="nil"/>
            </w:tcBorders>
          </w:tcPr>
          <w:p>
            <w:pPr>
              <w:pStyle w:val="0"/>
            </w:pPr>
            <w:r>
              <w:rPr>
                <w:sz w:val="20"/>
              </w:rPr>
              <w:t xml:space="preserve">21</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1.2 в ред. </w:t>
            </w:r>
            <w:hyperlink w:history="0" r:id="rId56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bookmarkStart w:id="12713" w:name="P12713"/>
          <w:bookmarkEnd w:id="12713"/>
          <w:p>
            <w:pPr>
              <w:pStyle w:val="0"/>
            </w:pPr>
            <w:r>
              <w:rPr>
                <w:sz w:val="20"/>
              </w:rPr>
              <w:t xml:space="preserve">1.3</w:t>
            </w:r>
          </w:p>
        </w:tc>
        <w:tc>
          <w:tcPr>
            <w:tcW w:w="3345" w:type="dxa"/>
            <w:vMerge w:val="restart"/>
          </w:tcPr>
          <w:p>
            <w:pPr>
              <w:pStyle w:val="0"/>
            </w:pPr>
            <w:r>
              <w:rPr>
                <w:sz w:val="20"/>
              </w:rPr>
              <w:t xml:space="preserve">Мероприятие 01.03. Возмещение части затрат субъектов малого и среднего предпринимательства, связанных с развитием молодежного инновационного творчества</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68000,00</w:t>
            </w:r>
          </w:p>
        </w:tc>
        <w:tc>
          <w:tcPr>
            <w:tcW w:w="1531" w:type="dxa"/>
          </w:tcPr>
          <w:p>
            <w:pPr>
              <w:pStyle w:val="0"/>
            </w:pPr>
            <w:r>
              <w:rPr>
                <w:sz w:val="20"/>
              </w:rPr>
              <w:t xml:space="preserve">14000,00</w:t>
            </w:r>
          </w:p>
        </w:tc>
        <w:tc>
          <w:tcPr>
            <w:tcW w:w="1474" w:type="dxa"/>
          </w:tcPr>
          <w:p>
            <w:pPr>
              <w:pStyle w:val="0"/>
            </w:pPr>
            <w:r>
              <w:rPr>
                <w:sz w:val="20"/>
              </w:rPr>
              <w:t xml:space="preserve">-</w:t>
            </w:r>
          </w:p>
        </w:tc>
        <w:tc>
          <w:tcPr>
            <w:gridSpan w:val="5"/>
            <w:tcW w:w="5295" w:type="dxa"/>
          </w:tcPr>
          <w:p>
            <w:pPr>
              <w:pStyle w:val="0"/>
            </w:pPr>
            <w:r>
              <w:rPr>
                <w:sz w:val="20"/>
              </w:rPr>
              <w:t xml:space="preserve">18000,00</w:t>
            </w:r>
          </w:p>
        </w:tc>
        <w:tc>
          <w:tcPr>
            <w:tcW w:w="1531" w:type="dxa"/>
          </w:tcPr>
          <w:p>
            <w:pPr>
              <w:pStyle w:val="0"/>
            </w:pPr>
            <w:r>
              <w:rPr>
                <w:sz w:val="20"/>
              </w:rPr>
              <w:t xml:space="preserve">18000,00</w:t>
            </w:r>
          </w:p>
        </w:tc>
        <w:tc>
          <w:tcPr>
            <w:tcW w:w="1531" w:type="dxa"/>
          </w:tcPr>
          <w:p>
            <w:pPr>
              <w:pStyle w:val="0"/>
            </w:pPr>
            <w:r>
              <w:rPr>
                <w:sz w:val="20"/>
              </w:rPr>
              <w:t xml:space="preserve">18000,00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68000,00</w:t>
            </w:r>
          </w:p>
        </w:tc>
        <w:tc>
          <w:tcPr>
            <w:tcW w:w="1531" w:type="dxa"/>
          </w:tcPr>
          <w:p>
            <w:pPr>
              <w:pStyle w:val="0"/>
            </w:pPr>
            <w:r>
              <w:rPr>
                <w:sz w:val="20"/>
              </w:rPr>
              <w:t xml:space="preserve">14000,00</w:t>
            </w:r>
          </w:p>
        </w:tc>
        <w:tc>
          <w:tcPr>
            <w:tcW w:w="1474" w:type="dxa"/>
          </w:tcPr>
          <w:p>
            <w:pPr>
              <w:pStyle w:val="0"/>
            </w:pPr>
            <w:r>
              <w:rPr>
                <w:sz w:val="20"/>
              </w:rPr>
              <w:t xml:space="preserve">-</w:t>
            </w:r>
          </w:p>
        </w:tc>
        <w:tc>
          <w:tcPr>
            <w:gridSpan w:val="5"/>
            <w:tcW w:w="5295" w:type="dxa"/>
          </w:tcPr>
          <w:p>
            <w:pPr>
              <w:pStyle w:val="0"/>
            </w:pPr>
            <w:r>
              <w:rPr>
                <w:sz w:val="20"/>
              </w:rPr>
              <w:t xml:space="preserve">18000,00</w:t>
            </w:r>
          </w:p>
        </w:tc>
        <w:tc>
          <w:tcPr>
            <w:tcW w:w="1531" w:type="dxa"/>
          </w:tcPr>
          <w:p>
            <w:pPr>
              <w:pStyle w:val="0"/>
            </w:pPr>
            <w:r>
              <w:rPr>
                <w:sz w:val="20"/>
              </w:rPr>
              <w:t xml:space="preserve">18000,00</w:t>
            </w:r>
          </w:p>
        </w:tc>
        <w:tc>
          <w:tcPr>
            <w:tcW w:w="1531" w:type="dxa"/>
          </w:tcPr>
          <w:p>
            <w:pPr>
              <w:pStyle w:val="0"/>
            </w:pPr>
            <w:r>
              <w:rPr>
                <w:sz w:val="20"/>
              </w:rPr>
              <w:t xml:space="preserve">18000,00</w:t>
            </w:r>
          </w:p>
        </w:tc>
        <w:tc>
          <w:tcPr>
            <w:vMerge w:val="continue"/>
          </w:tcPr>
          <w:p/>
        </w:tc>
      </w:tr>
      <w:tr>
        <w:tc>
          <w:tcPr>
            <w:tcBorders>
              <w:bottom w:val="nil"/>
            </w:tcBorders>
            <w:vMerge w:val="continue"/>
          </w:tcPr>
          <w:p/>
        </w:tc>
        <w:tc>
          <w:tcPr>
            <w:tcW w:w="3345" w:type="dxa"/>
            <w:vMerge w:val="restart"/>
          </w:tcPr>
          <w:p>
            <w:pPr>
              <w:pStyle w:val="0"/>
            </w:pPr>
            <w:r>
              <w:rPr>
                <w:sz w:val="20"/>
              </w:rPr>
              <w:t xml:space="preserve">Результат 1. Субъектами МСП получена поддержка на развитие центров молодежного инновационного творчества,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tcW w:w="1644" w:type="dxa"/>
          </w:tcPr>
          <w:p>
            <w:pPr>
              <w:pStyle w:val="0"/>
            </w:pPr>
            <w:r>
              <w:rPr>
                <w:sz w:val="20"/>
              </w:rPr>
              <w:t xml:space="preserve">4</w:t>
            </w:r>
          </w:p>
        </w:tc>
        <w:tc>
          <w:tcPr>
            <w:tcW w:w="1531" w:type="dxa"/>
          </w:tcPr>
          <w:p>
            <w:pPr>
              <w:pStyle w:val="0"/>
            </w:pPr>
            <w:r>
              <w:rPr>
                <w:sz w:val="20"/>
              </w:rPr>
              <w:t xml:space="preserve">4</w:t>
            </w:r>
          </w:p>
        </w:tc>
        <w:tc>
          <w:tcPr>
            <w:tcW w:w="1474" w:type="dxa"/>
          </w:tcPr>
          <w:p>
            <w:pPr>
              <w:pStyle w:val="0"/>
            </w:pPr>
            <w:r>
              <w:rPr>
                <w:sz w:val="20"/>
              </w:rPr>
              <w:t xml:space="preserve">-</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2. Количество посетителей Центра, обучающихся по направлениям деятельности Центра, за год предоставления субсидии, человек</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8850</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020" w:type="dxa"/>
            <w:tcBorders>
              <w:bottom w:val="nil"/>
            </w:tcBorders>
          </w:tcPr>
          <w:p>
            <w:pPr>
              <w:pStyle w:val="0"/>
            </w:pPr>
            <w:r>
              <w:rPr>
                <w:sz w:val="20"/>
              </w:rPr>
              <w:t xml:space="preserve">2950</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2950</w:t>
            </w:r>
          </w:p>
        </w:tc>
        <w:tc>
          <w:tcPr>
            <w:tcW w:w="1531" w:type="dxa"/>
            <w:tcBorders>
              <w:bottom w:val="nil"/>
            </w:tcBorders>
          </w:tcPr>
          <w:p>
            <w:pPr>
              <w:pStyle w:val="0"/>
            </w:pPr>
            <w:r>
              <w:rPr>
                <w:sz w:val="20"/>
              </w:rPr>
              <w:t xml:space="preserve">2950</w:t>
            </w:r>
          </w:p>
        </w:tc>
        <w:tc>
          <w:tcPr>
            <w:tcW w:w="1531" w:type="dxa"/>
            <w:tcBorders>
              <w:bottom w:val="nil"/>
            </w:tcBorders>
          </w:tcPr>
          <w:p>
            <w:pPr>
              <w:pStyle w:val="0"/>
            </w:pPr>
            <w:r>
              <w:rPr>
                <w:sz w:val="20"/>
              </w:rPr>
              <w:t xml:space="preserve">2950</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1.3 в ред. </w:t>
            </w:r>
            <w:hyperlink w:history="0" r:id="rId56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1.4</w:t>
            </w:r>
          </w:p>
        </w:tc>
        <w:tc>
          <w:tcPr>
            <w:tcW w:w="3345" w:type="dxa"/>
            <w:vMerge w:val="restart"/>
          </w:tcPr>
          <w:bookmarkStart w:id="12783" w:name="P12783"/>
          <w:bookmarkEnd w:id="12783"/>
          <w:p>
            <w:pPr>
              <w:pStyle w:val="0"/>
            </w:pPr>
            <w:r>
              <w:rPr>
                <w:sz w:val="20"/>
              </w:rPr>
              <w:t xml:space="preserve">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250000,00</w:t>
            </w:r>
          </w:p>
        </w:tc>
        <w:tc>
          <w:tcPr>
            <w:tcW w:w="1531" w:type="dxa"/>
          </w:tcPr>
          <w:p>
            <w:pPr>
              <w:pStyle w:val="0"/>
            </w:pPr>
            <w:r>
              <w:rPr>
                <w:sz w:val="20"/>
              </w:rPr>
              <w:t xml:space="preserve">50000,00</w:t>
            </w:r>
          </w:p>
        </w:tc>
        <w:tc>
          <w:tcPr>
            <w:tcW w:w="1474" w:type="dxa"/>
          </w:tcPr>
          <w:p>
            <w:pPr>
              <w:pStyle w:val="0"/>
            </w:pPr>
            <w:r>
              <w:rPr>
                <w:sz w:val="20"/>
              </w:rPr>
              <w:t xml:space="preserve">50000,00</w:t>
            </w:r>
          </w:p>
        </w:tc>
        <w:tc>
          <w:tcPr>
            <w:gridSpan w:val="5"/>
            <w:tcW w:w="5295" w:type="dxa"/>
          </w:tcPr>
          <w:p>
            <w:pPr>
              <w:pStyle w:val="0"/>
            </w:pPr>
            <w:r>
              <w:rPr>
                <w:sz w:val="20"/>
              </w:rPr>
              <w:t xml:space="preserve">50000,00</w:t>
            </w:r>
          </w:p>
        </w:tc>
        <w:tc>
          <w:tcPr>
            <w:tcW w:w="1531" w:type="dxa"/>
          </w:tcPr>
          <w:p>
            <w:pPr>
              <w:pStyle w:val="0"/>
            </w:pPr>
            <w:r>
              <w:rPr>
                <w:sz w:val="20"/>
              </w:rPr>
              <w:t xml:space="preserve">50000,00</w:t>
            </w:r>
          </w:p>
        </w:tc>
        <w:tc>
          <w:tcPr>
            <w:tcW w:w="1531" w:type="dxa"/>
          </w:tcPr>
          <w:p>
            <w:pPr>
              <w:pStyle w:val="0"/>
            </w:pPr>
            <w:r>
              <w:rPr>
                <w:sz w:val="20"/>
              </w:rPr>
              <w:t xml:space="preserve">50000,00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250000,00</w:t>
            </w:r>
          </w:p>
        </w:tc>
        <w:tc>
          <w:tcPr>
            <w:tcW w:w="1531" w:type="dxa"/>
          </w:tcPr>
          <w:p>
            <w:pPr>
              <w:pStyle w:val="0"/>
            </w:pPr>
            <w:r>
              <w:rPr>
                <w:sz w:val="20"/>
              </w:rPr>
              <w:t xml:space="preserve">50000,00</w:t>
            </w:r>
          </w:p>
        </w:tc>
        <w:tc>
          <w:tcPr>
            <w:tcW w:w="1474" w:type="dxa"/>
          </w:tcPr>
          <w:p>
            <w:pPr>
              <w:pStyle w:val="0"/>
            </w:pPr>
            <w:r>
              <w:rPr>
                <w:sz w:val="20"/>
              </w:rPr>
              <w:t xml:space="preserve">50000,00</w:t>
            </w:r>
          </w:p>
        </w:tc>
        <w:tc>
          <w:tcPr>
            <w:gridSpan w:val="5"/>
            <w:tcW w:w="5295" w:type="dxa"/>
          </w:tcPr>
          <w:p>
            <w:pPr>
              <w:pStyle w:val="0"/>
            </w:pPr>
            <w:r>
              <w:rPr>
                <w:sz w:val="20"/>
              </w:rPr>
              <w:t xml:space="preserve">50000,00</w:t>
            </w:r>
          </w:p>
        </w:tc>
        <w:tc>
          <w:tcPr>
            <w:tcW w:w="1531" w:type="dxa"/>
          </w:tcPr>
          <w:p>
            <w:pPr>
              <w:pStyle w:val="0"/>
            </w:pPr>
            <w:r>
              <w:rPr>
                <w:sz w:val="20"/>
              </w:rPr>
              <w:t xml:space="preserve">50000,00</w:t>
            </w:r>
          </w:p>
        </w:tc>
        <w:tc>
          <w:tcPr>
            <w:tcW w:w="1531" w:type="dxa"/>
          </w:tcPr>
          <w:p>
            <w:pPr>
              <w:pStyle w:val="0"/>
            </w:pPr>
            <w:r>
              <w:rPr>
                <w:sz w:val="20"/>
              </w:rPr>
              <w:t xml:space="preserve">50000,00</w:t>
            </w:r>
          </w:p>
        </w:tc>
        <w:tc>
          <w:tcPr>
            <w:vMerge w:val="continue"/>
          </w:tcPr>
          <w:p/>
        </w:tc>
      </w:tr>
      <w:tr>
        <w:tc>
          <w:tcPr>
            <w:tcBorders>
              <w:bottom w:val="nil"/>
            </w:tcBorders>
            <w:vMerge w:val="continue"/>
          </w:tcPr>
          <w:p/>
        </w:tc>
        <w:tc>
          <w:tcPr>
            <w:tcW w:w="3345" w:type="dxa"/>
            <w:vMerge w:val="restart"/>
          </w:tcPr>
          <w:p>
            <w:pPr>
              <w:pStyle w:val="0"/>
            </w:pPr>
            <w:r>
              <w:rPr>
                <w:sz w:val="20"/>
              </w:rPr>
              <w:t xml:space="preserve">Результат 1. Субъектами МСП и самозанятыми гражданами получена государственная поддержка на возмещение части затрат, связанных с оплатой услуг на торговых площадках по продажам товаров, работ и услуг в информационно-телекоммуникационной сети "Интернет",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tcW w:w="1644" w:type="dxa"/>
          </w:tcPr>
          <w:p>
            <w:pPr>
              <w:pStyle w:val="0"/>
            </w:pPr>
            <w:r>
              <w:rPr>
                <w:sz w:val="20"/>
              </w:rPr>
              <w:t xml:space="preserve">367</w:t>
            </w:r>
          </w:p>
        </w:tc>
        <w:tc>
          <w:tcPr>
            <w:tcW w:w="1531" w:type="dxa"/>
          </w:tcPr>
          <w:p>
            <w:pPr>
              <w:pStyle w:val="0"/>
            </w:pPr>
            <w:r>
              <w:rPr>
                <w:sz w:val="20"/>
              </w:rPr>
              <w:t xml:space="preserve">182</w:t>
            </w:r>
          </w:p>
        </w:tc>
        <w:tc>
          <w:tcPr>
            <w:tcW w:w="1474" w:type="dxa"/>
          </w:tcPr>
          <w:p>
            <w:pPr>
              <w:pStyle w:val="0"/>
            </w:pPr>
            <w:r>
              <w:rPr>
                <w:sz w:val="20"/>
              </w:rPr>
              <w:t xml:space="preserve">185</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2. Обеспечен прирост налоговых отчислений за год получения субсидии к году предшествующему году получения субсидии,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510</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020" w:type="dxa"/>
            <w:tcBorders>
              <w:bottom w:val="nil"/>
            </w:tcBorders>
          </w:tcPr>
          <w:p>
            <w:pPr>
              <w:pStyle w:val="0"/>
            </w:pPr>
            <w:r>
              <w:rPr>
                <w:sz w:val="20"/>
              </w:rPr>
              <w:t xml:space="preserve">170</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170</w:t>
            </w:r>
          </w:p>
        </w:tc>
        <w:tc>
          <w:tcPr>
            <w:tcW w:w="1531" w:type="dxa"/>
            <w:tcBorders>
              <w:bottom w:val="nil"/>
            </w:tcBorders>
          </w:tcPr>
          <w:p>
            <w:pPr>
              <w:pStyle w:val="0"/>
            </w:pPr>
            <w:r>
              <w:rPr>
                <w:sz w:val="20"/>
              </w:rPr>
              <w:t xml:space="preserve">170</w:t>
            </w:r>
          </w:p>
        </w:tc>
        <w:tc>
          <w:tcPr>
            <w:tcW w:w="1531" w:type="dxa"/>
            <w:tcBorders>
              <w:bottom w:val="nil"/>
            </w:tcBorders>
          </w:tcPr>
          <w:p>
            <w:pPr>
              <w:pStyle w:val="0"/>
            </w:pPr>
            <w:r>
              <w:rPr>
                <w:sz w:val="20"/>
              </w:rPr>
              <w:t xml:space="preserve">170</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1.4 в ред. </w:t>
            </w:r>
            <w:hyperlink w:history="0" r:id="rId57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1.5</w:t>
            </w:r>
          </w:p>
        </w:tc>
        <w:tc>
          <w:tcPr>
            <w:tcW w:w="3345" w:type="dxa"/>
            <w:vMerge w:val="restart"/>
          </w:tcPr>
          <w:bookmarkStart w:id="12852" w:name="P12852"/>
          <w:bookmarkEnd w:id="12852"/>
          <w:p>
            <w:pPr>
              <w:pStyle w:val="0"/>
            </w:pPr>
            <w:r>
              <w:rPr>
                <w:sz w:val="20"/>
              </w:rPr>
              <w:t xml:space="preserve">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5168709,00</w:t>
            </w:r>
          </w:p>
        </w:tc>
        <w:tc>
          <w:tcPr>
            <w:tcW w:w="1531" w:type="dxa"/>
          </w:tcPr>
          <w:p>
            <w:pPr>
              <w:pStyle w:val="0"/>
            </w:pPr>
            <w:r>
              <w:rPr>
                <w:sz w:val="20"/>
              </w:rPr>
              <w:t xml:space="preserve">768000,00</w:t>
            </w:r>
          </w:p>
        </w:tc>
        <w:tc>
          <w:tcPr>
            <w:tcW w:w="1474" w:type="dxa"/>
          </w:tcPr>
          <w:p>
            <w:pPr>
              <w:pStyle w:val="0"/>
            </w:pPr>
            <w:r>
              <w:rPr>
                <w:sz w:val="20"/>
              </w:rPr>
              <w:t xml:space="preserve">500709,00</w:t>
            </w:r>
          </w:p>
        </w:tc>
        <w:tc>
          <w:tcPr>
            <w:gridSpan w:val="5"/>
            <w:tcW w:w="5295" w:type="dxa"/>
          </w:tcPr>
          <w:p>
            <w:pPr>
              <w:pStyle w:val="0"/>
            </w:pPr>
            <w:r>
              <w:rPr>
                <w:sz w:val="20"/>
              </w:rPr>
              <w:t xml:space="preserve">1300000,00</w:t>
            </w:r>
          </w:p>
        </w:tc>
        <w:tc>
          <w:tcPr>
            <w:tcW w:w="1531" w:type="dxa"/>
          </w:tcPr>
          <w:p>
            <w:pPr>
              <w:pStyle w:val="0"/>
            </w:pPr>
            <w:r>
              <w:rPr>
                <w:sz w:val="20"/>
              </w:rPr>
              <w:t xml:space="preserve">1300000,00</w:t>
            </w:r>
          </w:p>
        </w:tc>
        <w:tc>
          <w:tcPr>
            <w:tcW w:w="1531" w:type="dxa"/>
          </w:tcPr>
          <w:p>
            <w:pPr>
              <w:pStyle w:val="0"/>
            </w:pPr>
            <w:r>
              <w:rPr>
                <w:sz w:val="20"/>
              </w:rPr>
              <w:t xml:space="preserve">1300000,00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5168709,00</w:t>
            </w:r>
          </w:p>
        </w:tc>
        <w:tc>
          <w:tcPr>
            <w:tcW w:w="1531" w:type="dxa"/>
          </w:tcPr>
          <w:p>
            <w:pPr>
              <w:pStyle w:val="0"/>
            </w:pPr>
            <w:r>
              <w:rPr>
                <w:sz w:val="20"/>
              </w:rPr>
              <w:t xml:space="preserve">768000,00</w:t>
            </w:r>
          </w:p>
        </w:tc>
        <w:tc>
          <w:tcPr>
            <w:tcW w:w="1474" w:type="dxa"/>
          </w:tcPr>
          <w:p>
            <w:pPr>
              <w:pStyle w:val="0"/>
            </w:pPr>
            <w:r>
              <w:rPr>
                <w:sz w:val="20"/>
              </w:rPr>
              <w:t xml:space="preserve">500709,00</w:t>
            </w:r>
          </w:p>
        </w:tc>
        <w:tc>
          <w:tcPr>
            <w:gridSpan w:val="5"/>
            <w:tcW w:w="5295" w:type="dxa"/>
          </w:tcPr>
          <w:p>
            <w:pPr>
              <w:pStyle w:val="0"/>
            </w:pPr>
            <w:r>
              <w:rPr>
                <w:sz w:val="20"/>
              </w:rPr>
              <w:t xml:space="preserve">1300000,00</w:t>
            </w:r>
          </w:p>
        </w:tc>
        <w:tc>
          <w:tcPr>
            <w:tcW w:w="1531" w:type="dxa"/>
          </w:tcPr>
          <w:p>
            <w:pPr>
              <w:pStyle w:val="0"/>
            </w:pPr>
            <w:r>
              <w:rPr>
                <w:sz w:val="20"/>
              </w:rPr>
              <w:t xml:space="preserve">1300000,00</w:t>
            </w:r>
          </w:p>
        </w:tc>
        <w:tc>
          <w:tcPr>
            <w:tcW w:w="1531" w:type="dxa"/>
          </w:tcPr>
          <w:p>
            <w:pPr>
              <w:pStyle w:val="0"/>
            </w:pPr>
            <w:r>
              <w:rPr>
                <w:sz w:val="20"/>
              </w:rPr>
              <w:t xml:space="preserve">1300000,00</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1. Субъектам МСП предоставлен объем кредитов по льготной процентной ставке (нарастающим итогом),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20453</w:t>
            </w:r>
          </w:p>
        </w:tc>
        <w:tc>
          <w:tcPr>
            <w:tcW w:w="1531" w:type="dxa"/>
            <w:tcBorders>
              <w:bottom w:val="nil"/>
            </w:tcBorders>
          </w:tcPr>
          <w:p>
            <w:pPr>
              <w:pStyle w:val="0"/>
            </w:pPr>
            <w:r>
              <w:rPr>
                <w:sz w:val="20"/>
              </w:rPr>
              <w:t xml:space="preserve">14453</w:t>
            </w:r>
          </w:p>
        </w:tc>
        <w:tc>
          <w:tcPr>
            <w:tcW w:w="1474" w:type="dxa"/>
            <w:tcBorders>
              <w:bottom w:val="nil"/>
            </w:tcBorders>
          </w:tcPr>
          <w:p>
            <w:pPr>
              <w:pStyle w:val="0"/>
            </w:pPr>
            <w:r>
              <w:rPr>
                <w:sz w:val="20"/>
              </w:rPr>
              <w:t xml:space="preserve">17000</w:t>
            </w:r>
          </w:p>
        </w:tc>
        <w:tc>
          <w:tcPr>
            <w:tcW w:w="1020" w:type="dxa"/>
            <w:tcBorders>
              <w:bottom w:val="nil"/>
            </w:tcBorders>
          </w:tcPr>
          <w:p>
            <w:pPr>
              <w:pStyle w:val="0"/>
            </w:pPr>
            <w:r>
              <w:rPr>
                <w:sz w:val="20"/>
              </w:rPr>
              <w:t xml:space="preserve">20453</w:t>
            </w:r>
          </w:p>
        </w:tc>
        <w:tc>
          <w:tcPr>
            <w:tcW w:w="1068" w:type="dxa"/>
            <w:tcBorders>
              <w:bottom w:val="nil"/>
            </w:tcBorders>
          </w:tcPr>
          <w:p>
            <w:pPr>
              <w:pStyle w:val="0"/>
            </w:pPr>
            <w:r>
              <w:rPr>
                <w:sz w:val="20"/>
              </w:rPr>
              <w:t xml:space="preserve">17453</w:t>
            </w:r>
          </w:p>
        </w:tc>
        <w:tc>
          <w:tcPr>
            <w:tcW w:w="1068" w:type="dxa"/>
            <w:tcBorders>
              <w:bottom w:val="nil"/>
            </w:tcBorders>
          </w:tcPr>
          <w:p>
            <w:pPr>
              <w:pStyle w:val="0"/>
            </w:pPr>
            <w:r>
              <w:rPr>
                <w:sz w:val="20"/>
              </w:rPr>
              <w:t xml:space="preserve">18453</w:t>
            </w:r>
          </w:p>
        </w:tc>
        <w:tc>
          <w:tcPr>
            <w:tcW w:w="1068" w:type="dxa"/>
            <w:tcBorders>
              <w:bottom w:val="nil"/>
            </w:tcBorders>
          </w:tcPr>
          <w:p>
            <w:pPr>
              <w:pStyle w:val="0"/>
            </w:pPr>
            <w:r>
              <w:rPr>
                <w:sz w:val="20"/>
              </w:rPr>
              <w:t xml:space="preserve">19453</w:t>
            </w:r>
          </w:p>
        </w:tc>
        <w:tc>
          <w:tcPr>
            <w:tcW w:w="1071" w:type="dxa"/>
            <w:tcBorders>
              <w:bottom w:val="nil"/>
            </w:tcBorders>
          </w:tcPr>
          <w:p>
            <w:pPr>
              <w:pStyle w:val="0"/>
            </w:pPr>
            <w:r>
              <w:rPr>
                <w:sz w:val="20"/>
              </w:rPr>
              <w:t xml:space="preserve">20453</w:t>
            </w:r>
          </w:p>
        </w:tc>
        <w:tc>
          <w:tcPr>
            <w:tcW w:w="1531" w:type="dxa"/>
            <w:tcBorders>
              <w:bottom w:val="nil"/>
            </w:tcBorders>
          </w:tcPr>
          <w:p>
            <w:pPr>
              <w:pStyle w:val="0"/>
            </w:pPr>
            <w:r>
              <w:rPr>
                <w:sz w:val="20"/>
              </w:rPr>
              <w:t xml:space="preserve">20453</w:t>
            </w:r>
          </w:p>
        </w:tc>
        <w:tc>
          <w:tcPr>
            <w:tcW w:w="1531" w:type="dxa"/>
            <w:tcBorders>
              <w:bottom w:val="nil"/>
            </w:tcBorders>
          </w:tcPr>
          <w:p>
            <w:pPr>
              <w:pStyle w:val="0"/>
            </w:pPr>
            <w:r>
              <w:rPr>
                <w:sz w:val="20"/>
              </w:rPr>
              <w:t xml:space="preserve">20453</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1.5 в ред. </w:t>
            </w:r>
            <w:hyperlink w:history="0" r:id="rId571"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1.6</w:t>
            </w:r>
          </w:p>
        </w:tc>
        <w:tc>
          <w:tcPr>
            <w:tcW w:w="3345" w:type="dxa"/>
            <w:vMerge w:val="restart"/>
          </w:tcPr>
          <w:bookmarkStart w:id="12896" w:name="P12896"/>
          <w:bookmarkEnd w:id="12896"/>
          <w:p>
            <w:pPr>
              <w:pStyle w:val="0"/>
            </w:pPr>
            <w:r>
              <w:rPr>
                <w:sz w:val="20"/>
              </w:rPr>
              <w:t xml:space="preserve">Мероприятие 01.06.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w:t>
            </w:r>
          </w:p>
        </w:tc>
        <w:tc>
          <w:tcPr>
            <w:tcW w:w="1361" w:type="dxa"/>
            <w:vMerge w:val="restart"/>
          </w:tcPr>
          <w:p>
            <w:pPr>
              <w:pStyle w:val="0"/>
            </w:pPr>
            <w:r>
              <w:rPr>
                <w:sz w:val="20"/>
              </w:rPr>
              <w:t xml:space="preserve">2023-2027</w:t>
            </w:r>
          </w:p>
        </w:tc>
        <w:tc>
          <w:tcPr>
            <w:tcW w:w="1587" w:type="dxa"/>
          </w:tcPr>
          <w:p>
            <w:pPr>
              <w:pStyle w:val="0"/>
            </w:pPr>
            <w:r>
              <w:rPr>
                <w:sz w:val="20"/>
              </w:rPr>
              <w:t xml:space="preserve">Итого:</w:t>
            </w:r>
          </w:p>
        </w:tc>
        <w:tc>
          <w:tcPr>
            <w:tcW w:w="1644" w:type="dxa"/>
          </w:tcPr>
          <w:p>
            <w:pPr>
              <w:pStyle w:val="0"/>
            </w:pPr>
            <w:r>
              <w:rPr>
                <w:sz w:val="20"/>
              </w:rPr>
              <w:t xml:space="preserve">404000,00</w:t>
            </w:r>
          </w:p>
        </w:tc>
        <w:tc>
          <w:tcPr>
            <w:tcW w:w="1531" w:type="dxa"/>
          </w:tcPr>
          <w:p>
            <w:pPr>
              <w:pStyle w:val="0"/>
            </w:pPr>
            <w:r>
              <w:rPr>
                <w:sz w:val="20"/>
              </w:rPr>
              <w:t xml:space="preserve">40000,00</w:t>
            </w:r>
          </w:p>
        </w:tc>
        <w:tc>
          <w:tcPr>
            <w:tcW w:w="1474" w:type="dxa"/>
          </w:tcPr>
          <w:p>
            <w:pPr>
              <w:pStyle w:val="0"/>
            </w:pPr>
            <w:r>
              <w:rPr>
                <w:sz w:val="20"/>
              </w:rPr>
              <w:t xml:space="preserve">64000,00</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404000,00</w:t>
            </w:r>
          </w:p>
        </w:tc>
        <w:tc>
          <w:tcPr>
            <w:tcW w:w="1531" w:type="dxa"/>
          </w:tcPr>
          <w:p>
            <w:pPr>
              <w:pStyle w:val="0"/>
            </w:pPr>
            <w:r>
              <w:rPr>
                <w:sz w:val="20"/>
              </w:rPr>
              <w:t xml:space="preserve">40000,00</w:t>
            </w:r>
          </w:p>
        </w:tc>
        <w:tc>
          <w:tcPr>
            <w:tcW w:w="1474" w:type="dxa"/>
          </w:tcPr>
          <w:p>
            <w:pPr>
              <w:pStyle w:val="0"/>
            </w:pPr>
            <w:r>
              <w:rPr>
                <w:sz w:val="20"/>
              </w:rPr>
              <w:t xml:space="preserve">64000,00</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vMerge w:val="continue"/>
          </w:tcPr>
          <w:p/>
        </w:tc>
      </w:tr>
      <w:tr>
        <w:tc>
          <w:tcPr>
            <w:tcBorders>
              <w:bottom w:val="nil"/>
            </w:tcBorders>
            <w:vMerge w:val="continue"/>
          </w:tcPr>
          <w:p/>
        </w:tc>
        <w:tc>
          <w:tcPr>
            <w:tcW w:w="3345" w:type="dxa"/>
            <w:vMerge w:val="restart"/>
          </w:tcPr>
          <w:p>
            <w:pPr>
              <w:pStyle w:val="0"/>
            </w:pPr>
            <w:r>
              <w:rPr>
                <w:sz w:val="20"/>
              </w:rPr>
              <w:t xml:space="preserve">Результат 1. Субъектами МСП, осуществляющими деятельность в рамках лицензионных договоров (сублицензионных договоров), договоров коммерческой концессии (субконцессии), получена государственная поддержка,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tcW w:w="1644" w:type="dxa"/>
          </w:tcPr>
          <w:p>
            <w:pPr>
              <w:pStyle w:val="0"/>
            </w:pPr>
            <w:r>
              <w:rPr>
                <w:sz w:val="20"/>
              </w:rPr>
              <w:t xml:space="preserve">86</w:t>
            </w:r>
          </w:p>
        </w:tc>
        <w:tc>
          <w:tcPr>
            <w:tcW w:w="1531" w:type="dxa"/>
          </w:tcPr>
          <w:p>
            <w:pPr>
              <w:pStyle w:val="0"/>
            </w:pPr>
            <w:r>
              <w:rPr>
                <w:sz w:val="20"/>
              </w:rPr>
              <w:t xml:space="preserve">86</w:t>
            </w:r>
          </w:p>
        </w:tc>
        <w:tc>
          <w:tcPr>
            <w:tcW w:w="1474" w:type="dxa"/>
          </w:tcPr>
          <w:p>
            <w:pPr>
              <w:pStyle w:val="0"/>
            </w:pPr>
            <w:r>
              <w:rPr>
                <w:sz w:val="20"/>
              </w:rPr>
              <w:t xml:space="preserve">-</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2. Обеспечен прирост налоговых отчислений за год получения субсидии к году предшествующему году получения субсидии,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323,96</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56,96</w:t>
            </w:r>
          </w:p>
        </w:tc>
        <w:tc>
          <w:tcPr>
            <w:tcW w:w="1020" w:type="dxa"/>
            <w:tcBorders>
              <w:bottom w:val="nil"/>
            </w:tcBorders>
          </w:tcPr>
          <w:p>
            <w:pPr>
              <w:pStyle w:val="0"/>
            </w:pPr>
            <w:r>
              <w:rPr>
                <w:sz w:val="20"/>
              </w:rPr>
              <w:t xml:space="preserve">89</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89</w:t>
            </w:r>
          </w:p>
        </w:tc>
        <w:tc>
          <w:tcPr>
            <w:tcW w:w="1531" w:type="dxa"/>
            <w:tcBorders>
              <w:bottom w:val="nil"/>
            </w:tcBorders>
          </w:tcPr>
          <w:p>
            <w:pPr>
              <w:pStyle w:val="0"/>
            </w:pPr>
            <w:r>
              <w:rPr>
                <w:sz w:val="20"/>
              </w:rPr>
              <w:t xml:space="preserve">89</w:t>
            </w:r>
          </w:p>
        </w:tc>
        <w:tc>
          <w:tcPr>
            <w:tcW w:w="1531" w:type="dxa"/>
            <w:tcBorders>
              <w:bottom w:val="nil"/>
            </w:tcBorders>
          </w:tcPr>
          <w:p>
            <w:pPr>
              <w:pStyle w:val="0"/>
            </w:pPr>
            <w:r>
              <w:rPr>
                <w:sz w:val="20"/>
              </w:rPr>
              <w:t xml:space="preserve">89</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1.6 в ред. </w:t>
            </w:r>
            <w:hyperlink w:history="0" r:id="rId57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tcBorders>
              <w:bottom w:val="nil"/>
            </w:tcBorders>
            <w:vMerge w:val="restart"/>
          </w:tcPr>
          <w:p>
            <w:pPr>
              <w:pStyle w:val="0"/>
            </w:pPr>
            <w:r>
              <w:rPr>
                <w:sz w:val="20"/>
              </w:rPr>
              <w:t xml:space="preserve">1.7</w:t>
            </w:r>
          </w:p>
        </w:tc>
        <w:tc>
          <w:tcPr>
            <w:tcW w:w="3345" w:type="dxa"/>
            <w:vMerge w:val="restart"/>
          </w:tcPr>
          <w:bookmarkStart w:id="12965" w:name="P12965"/>
          <w:bookmarkEnd w:id="12965"/>
          <w:p>
            <w:pPr>
              <w:pStyle w:val="0"/>
            </w:pPr>
            <w:r>
              <w:rPr>
                <w:sz w:val="20"/>
              </w:rPr>
              <w:t xml:space="preserve">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w:t>
            </w:r>
          </w:p>
        </w:tc>
        <w:tc>
          <w:tcPr>
            <w:tcW w:w="1361" w:type="dxa"/>
            <w:vMerge w:val="restart"/>
          </w:tcPr>
          <w:p>
            <w:pPr>
              <w:pStyle w:val="0"/>
            </w:pPr>
            <w:r>
              <w:rPr>
                <w:sz w:val="20"/>
              </w:rPr>
              <w:t xml:space="preserve">2025-2027</w:t>
            </w:r>
          </w:p>
        </w:tc>
        <w:tc>
          <w:tcPr>
            <w:tcW w:w="1587" w:type="dxa"/>
          </w:tcPr>
          <w:p>
            <w:pPr>
              <w:pStyle w:val="0"/>
            </w:pPr>
            <w:r>
              <w:rPr>
                <w:sz w:val="20"/>
              </w:rPr>
              <w:t xml:space="preserve">Итого:</w:t>
            </w:r>
          </w:p>
        </w:tc>
        <w:tc>
          <w:tcPr>
            <w:tcW w:w="1644" w:type="dxa"/>
          </w:tcPr>
          <w:p>
            <w:pPr>
              <w:pStyle w:val="0"/>
            </w:pPr>
            <w:r>
              <w:rPr>
                <w:sz w:val="20"/>
              </w:rPr>
              <w:t xml:space="preserve">150000,00</w:t>
            </w:r>
          </w:p>
        </w:tc>
        <w:tc>
          <w:tcPr>
            <w:tcW w:w="1531" w:type="dxa"/>
          </w:tcPr>
          <w:p>
            <w:pPr>
              <w:pStyle w:val="0"/>
            </w:pPr>
            <w:r>
              <w:rPr>
                <w:sz w:val="20"/>
              </w:rPr>
              <w:t xml:space="preserve">-</w:t>
            </w:r>
          </w:p>
        </w:tc>
        <w:tc>
          <w:tcPr>
            <w:tcW w:w="1474" w:type="dxa"/>
          </w:tcPr>
          <w:p>
            <w:pPr>
              <w:pStyle w:val="0"/>
            </w:pPr>
            <w:r>
              <w:rPr>
                <w:sz w:val="20"/>
              </w:rPr>
              <w:t xml:space="preserve">-</w:t>
            </w:r>
          </w:p>
        </w:tc>
        <w:tc>
          <w:tcPr>
            <w:tcW w:w="1020" w:type="dxa"/>
          </w:tcPr>
          <w:p>
            <w:pPr>
              <w:pStyle w:val="0"/>
            </w:pPr>
            <w:r>
              <w:rPr>
                <w:sz w:val="20"/>
              </w:rPr>
              <w:t xml:space="preserve">50000,00</w:t>
            </w:r>
          </w:p>
        </w:tc>
        <w:tc>
          <w:tcPr>
            <w:gridSpan w:val="4"/>
            <w:tcW w:w="4275" w:type="dxa"/>
          </w:tcPr>
          <w:p>
            <w:pPr>
              <w:pStyle w:val="0"/>
            </w:pPr>
            <w:r>
              <w:rPr>
                <w:sz w:val="20"/>
              </w:rPr>
              <w:t xml:space="preserve">50000,00</w:t>
            </w:r>
          </w:p>
        </w:tc>
        <w:tc>
          <w:tcPr>
            <w:tcW w:w="1531" w:type="dxa"/>
          </w:tcPr>
          <w:p>
            <w:pPr>
              <w:pStyle w:val="0"/>
            </w:pPr>
            <w:r>
              <w:rPr>
                <w:sz w:val="20"/>
              </w:rPr>
              <w:t xml:space="preserve">50000,00</w:t>
            </w:r>
          </w:p>
        </w:tc>
        <w:tc>
          <w:tcPr>
            <w:tcW w:w="1531" w:type="dxa"/>
          </w:tcPr>
          <w:p>
            <w:pPr>
              <w:pStyle w:val="0"/>
            </w:pPr>
            <w:r>
              <w:rPr>
                <w:sz w:val="20"/>
              </w:rPr>
              <w:t xml:space="preserve">50000,00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150000,00</w:t>
            </w:r>
          </w:p>
        </w:tc>
        <w:tc>
          <w:tcPr>
            <w:tcW w:w="1531" w:type="dxa"/>
          </w:tcPr>
          <w:p>
            <w:pPr>
              <w:pStyle w:val="0"/>
            </w:pPr>
            <w:r>
              <w:rPr>
                <w:sz w:val="20"/>
              </w:rPr>
              <w:t xml:space="preserve">-</w:t>
            </w:r>
          </w:p>
        </w:tc>
        <w:tc>
          <w:tcPr>
            <w:tcW w:w="1474" w:type="dxa"/>
          </w:tcPr>
          <w:p>
            <w:pPr>
              <w:pStyle w:val="0"/>
            </w:pPr>
            <w:r>
              <w:rPr>
                <w:sz w:val="20"/>
              </w:rPr>
              <w:t xml:space="preserve">-</w:t>
            </w:r>
          </w:p>
        </w:tc>
        <w:tc>
          <w:tcPr>
            <w:tcW w:w="1020" w:type="dxa"/>
          </w:tcPr>
          <w:p>
            <w:pPr>
              <w:pStyle w:val="0"/>
            </w:pPr>
            <w:r>
              <w:rPr>
                <w:sz w:val="20"/>
              </w:rPr>
              <w:t xml:space="preserve">50000,00</w:t>
            </w:r>
          </w:p>
        </w:tc>
        <w:tc>
          <w:tcPr>
            <w:gridSpan w:val="4"/>
            <w:tcW w:w="4275" w:type="dxa"/>
          </w:tcPr>
          <w:p>
            <w:pPr>
              <w:pStyle w:val="0"/>
            </w:pPr>
            <w:r>
              <w:rPr>
                <w:sz w:val="20"/>
              </w:rPr>
              <w:t xml:space="preserve">50000,00</w:t>
            </w:r>
          </w:p>
        </w:tc>
        <w:tc>
          <w:tcPr>
            <w:tcW w:w="1531" w:type="dxa"/>
          </w:tcPr>
          <w:p>
            <w:pPr>
              <w:pStyle w:val="0"/>
            </w:pPr>
            <w:r>
              <w:rPr>
                <w:sz w:val="20"/>
              </w:rPr>
              <w:t xml:space="preserve">50000,00</w:t>
            </w:r>
          </w:p>
        </w:tc>
        <w:tc>
          <w:tcPr>
            <w:tcW w:w="1531" w:type="dxa"/>
          </w:tcPr>
          <w:p>
            <w:pPr>
              <w:pStyle w:val="0"/>
            </w:pPr>
            <w:r>
              <w:rPr>
                <w:sz w:val="20"/>
              </w:rPr>
              <w:t xml:space="preserve">50000,00</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1. Обеспечен прирост налоговых отчислений за год получения субсидии к году, предшествующему году получения субсидии, млн рублей</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189</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w:t>
            </w:r>
          </w:p>
        </w:tc>
        <w:tc>
          <w:tcPr>
            <w:tcW w:w="1020" w:type="dxa"/>
            <w:tcBorders>
              <w:bottom w:val="nil"/>
            </w:tcBorders>
          </w:tcPr>
          <w:p>
            <w:pPr>
              <w:pStyle w:val="0"/>
            </w:pPr>
            <w:r>
              <w:rPr>
                <w:sz w:val="20"/>
              </w:rPr>
              <w:t xml:space="preserve">63</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63</w:t>
            </w:r>
          </w:p>
        </w:tc>
        <w:tc>
          <w:tcPr>
            <w:tcW w:w="1531" w:type="dxa"/>
            <w:tcBorders>
              <w:bottom w:val="nil"/>
            </w:tcBorders>
          </w:tcPr>
          <w:p>
            <w:pPr>
              <w:pStyle w:val="0"/>
            </w:pPr>
            <w:r>
              <w:rPr>
                <w:sz w:val="20"/>
              </w:rPr>
              <w:t xml:space="preserve">63</w:t>
            </w:r>
          </w:p>
        </w:tc>
        <w:tc>
          <w:tcPr>
            <w:tcW w:w="1531" w:type="dxa"/>
            <w:tcBorders>
              <w:bottom w:val="nil"/>
            </w:tcBorders>
          </w:tcPr>
          <w:p>
            <w:pPr>
              <w:pStyle w:val="0"/>
            </w:pPr>
            <w:r>
              <w:rPr>
                <w:sz w:val="20"/>
              </w:rPr>
              <w:t xml:space="preserve">63</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1.7 введена </w:t>
            </w:r>
            <w:hyperlink w:history="0" r:id="rId573"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rPr>
              <w:t xml:space="preserve"> Правительства МО от 25.12.2024 N 1684-ПП)</w:t>
            </w:r>
          </w:p>
        </w:tc>
      </w:tr>
      <w:tr>
        <w:tc>
          <w:tcPr>
            <w:tcW w:w="680" w:type="dxa"/>
            <w:vMerge w:val="restart"/>
          </w:tcPr>
          <w:p>
            <w:pPr>
              <w:pStyle w:val="0"/>
              <w:outlineLvl w:val="3"/>
            </w:pPr>
            <w:r>
              <w:rPr>
                <w:sz w:val="20"/>
              </w:rPr>
              <w:t xml:space="preserve">2</w:t>
            </w:r>
          </w:p>
        </w:tc>
        <w:tc>
          <w:tcPr>
            <w:tcW w:w="3345" w:type="dxa"/>
            <w:vMerge w:val="restart"/>
          </w:tcPr>
          <w:p>
            <w:pPr>
              <w:pStyle w:val="0"/>
            </w:pPr>
            <w:r>
              <w:rPr>
                <w:sz w:val="20"/>
              </w:rPr>
              <w:t xml:space="preserve">Основное мероприятие 02. Обеспечение уставной деятельности организаций, образующих инфраструктуру поддержки субъектов малого и среднего предпринимательства</w:t>
            </w:r>
          </w:p>
        </w:tc>
        <w:tc>
          <w:tcPr>
            <w:tcW w:w="1361" w:type="dxa"/>
            <w:vMerge w:val="restart"/>
          </w:tcPr>
          <w:p>
            <w:pPr>
              <w:pStyle w:val="0"/>
            </w:pPr>
            <w:r>
              <w:rPr>
                <w:sz w:val="20"/>
              </w:rPr>
              <w:t xml:space="preserve">2024-2027</w:t>
            </w:r>
          </w:p>
        </w:tc>
        <w:tc>
          <w:tcPr>
            <w:tcW w:w="1587" w:type="dxa"/>
          </w:tcPr>
          <w:p>
            <w:pPr>
              <w:pStyle w:val="0"/>
            </w:pPr>
            <w:r>
              <w:rPr>
                <w:sz w:val="20"/>
              </w:rPr>
              <w:t xml:space="preserve">Итого:</w:t>
            </w:r>
          </w:p>
        </w:tc>
        <w:tc>
          <w:tcPr>
            <w:tcW w:w="1644" w:type="dxa"/>
          </w:tcPr>
          <w:p>
            <w:pPr>
              <w:pStyle w:val="0"/>
            </w:pPr>
            <w:r>
              <w:rPr>
                <w:sz w:val="20"/>
              </w:rPr>
              <w:t xml:space="preserve">2300000,00</w:t>
            </w:r>
          </w:p>
        </w:tc>
        <w:tc>
          <w:tcPr>
            <w:tcW w:w="1531" w:type="dxa"/>
          </w:tcPr>
          <w:p>
            <w:pPr>
              <w:pStyle w:val="0"/>
            </w:pPr>
            <w:r>
              <w:rPr>
                <w:sz w:val="20"/>
              </w:rPr>
              <w:t xml:space="preserve">-</w:t>
            </w:r>
          </w:p>
        </w:tc>
        <w:tc>
          <w:tcPr>
            <w:tcW w:w="1474" w:type="dxa"/>
          </w:tcPr>
          <w:p>
            <w:pPr>
              <w:pStyle w:val="0"/>
            </w:pPr>
            <w:r>
              <w:rPr>
                <w:sz w:val="20"/>
              </w:rPr>
              <w:t xml:space="preserve">500000,00</w:t>
            </w:r>
          </w:p>
        </w:tc>
        <w:tc>
          <w:tcPr>
            <w:gridSpan w:val="5"/>
            <w:tcW w:w="5295" w:type="dxa"/>
          </w:tcPr>
          <w:p>
            <w:pPr>
              <w:pStyle w:val="0"/>
            </w:pPr>
            <w:r>
              <w:rPr>
                <w:sz w:val="20"/>
              </w:rPr>
              <w:t xml:space="preserve">600000,00</w:t>
            </w:r>
          </w:p>
        </w:tc>
        <w:tc>
          <w:tcPr>
            <w:tcW w:w="1531" w:type="dxa"/>
          </w:tcPr>
          <w:p>
            <w:pPr>
              <w:pStyle w:val="0"/>
            </w:pPr>
            <w:r>
              <w:rPr>
                <w:sz w:val="20"/>
              </w:rPr>
              <w:t xml:space="preserve">600000,00</w:t>
            </w:r>
          </w:p>
        </w:tc>
        <w:tc>
          <w:tcPr>
            <w:tcW w:w="1531" w:type="dxa"/>
          </w:tcPr>
          <w:p>
            <w:pPr>
              <w:pStyle w:val="0"/>
            </w:pPr>
            <w:r>
              <w:rPr>
                <w:sz w:val="20"/>
              </w:rPr>
              <w:t xml:space="preserve">600000,00</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2300000,00</w:t>
            </w:r>
          </w:p>
        </w:tc>
        <w:tc>
          <w:tcPr>
            <w:tcW w:w="1531" w:type="dxa"/>
          </w:tcPr>
          <w:p>
            <w:pPr>
              <w:pStyle w:val="0"/>
            </w:pPr>
            <w:r>
              <w:rPr>
                <w:sz w:val="20"/>
              </w:rPr>
              <w:t xml:space="preserve">-</w:t>
            </w:r>
          </w:p>
        </w:tc>
        <w:tc>
          <w:tcPr>
            <w:tcW w:w="1474" w:type="dxa"/>
          </w:tcPr>
          <w:p>
            <w:pPr>
              <w:pStyle w:val="0"/>
            </w:pPr>
            <w:r>
              <w:rPr>
                <w:sz w:val="20"/>
              </w:rPr>
              <w:t xml:space="preserve">500000,00</w:t>
            </w:r>
          </w:p>
        </w:tc>
        <w:tc>
          <w:tcPr>
            <w:gridSpan w:val="5"/>
            <w:tcW w:w="5295" w:type="dxa"/>
          </w:tcPr>
          <w:p>
            <w:pPr>
              <w:pStyle w:val="0"/>
            </w:pPr>
            <w:r>
              <w:rPr>
                <w:sz w:val="20"/>
              </w:rPr>
              <w:t xml:space="preserve">600000,00</w:t>
            </w:r>
          </w:p>
        </w:tc>
        <w:tc>
          <w:tcPr>
            <w:tcW w:w="1531" w:type="dxa"/>
          </w:tcPr>
          <w:p>
            <w:pPr>
              <w:pStyle w:val="0"/>
            </w:pPr>
            <w:r>
              <w:rPr>
                <w:sz w:val="20"/>
              </w:rPr>
              <w:t xml:space="preserve">600000,00</w:t>
            </w:r>
          </w:p>
        </w:tc>
        <w:tc>
          <w:tcPr>
            <w:tcW w:w="1531" w:type="dxa"/>
          </w:tcPr>
          <w:p>
            <w:pPr>
              <w:pStyle w:val="0"/>
            </w:pPr>
            <w:r>
              <w:rPr>
                <w:sz w:val="20"/>
              </w:rPr>
              <w:t xml:space="preserve">600000,00</w:t>
            </w:r>
          </w:p>
        </w:tc>
        <w:tc>
          <w:tcPr>
            <w:vMerge w:val="continue"/>
          </w:tcPr>
          <w:p/>
        </w:tc>
      </w:tr>
      <w:tr>
        <w:tc>
          <w:tcPr>
            <w:tcW w:w="680" w:type="dxa"/>
            <w:tcBorders>
              <w:bottom w:val="nil"/>
            </w:tcBorders>
            <w:vMerge w:val="restart"/>
          </w:tcPr>
          <w:bookmarkStart w:id="13028" w:name="P13028"/>
          <w:bookmarkEnd w:id="13028"/>
          <w:p>
            <w:pPr>
              <w:pStyle w:val="0"/>
            </w:pPr>
            <w:r>
              <w:rPr>
                <w:sz w:val="20"/>
              </w:rPr>
              <w:t xml:space="preserve">2.1</w:t>
            </w:r>
          </w:p>
        </w:tc>
        <w:tc>
          <w:tcPr>
            <w:tcW w:w="3345" w:type="dxa"/>
            <w:vMerge w:val="restart"/>
          </w:tcPr>
          <w:p>
            <w:pPr>
              <w:pStyle w:val="0"/>
            </w:pPr>
            <w:r>
              <w:rPr>
                <w:sz w:val="20"/>
              </w:rPr>
              <w:t xml:space="preserve">Мероприятие 02.01. Поддержка некоммерческой организации "Московский областной гарантийный фонд содействия кредитованию субъектов малого и среднего предпринимательства" в целях гарантийной поддержки субъектов малого и среднего предпринимательства</w:t>
            </w:r>
          </w:p>
        </w:tc>
        <w:tc>
          <w:tcPr>
            <w:tcW w:w="1361" w:type="dxa"/>
            <w:vMerge w:val="restart"/>
          </w:tcPr>
          <w:p>
            <w:pPr>
              <w:pStyle w:val="0"/>
            </w:pPr>
            <w:r>
              <w:rPr>
                <w:sz w:val="20"/>
              </w:rPr>
              <w:t xml:space="preserve">2024-2027</w:t>
            </w:r>
          </w:p>
        </w:tc>
        <w:tc>
          <w:tcPr>
            <w:tcW w:w="1587" w:type="dxa"/>
          </w:tcPr>
          <w:p>
            <w:pPr>
              <w:pStyle w:val="0"/>
            </w:pPr>
            <w:r>
              <w:rPr>
                <w:sz w:val="20"/>
              </w:rPr>
              <w:t xml:space="preserve">Итого:</w:t>
            </w:r>
          </w:p>
        </w:tc>
        <w:tc>
          <w:tcPr>
            <w:tcW w:w="1644" w:type="dxa"/>
          </w:tcPr>
          <w:p>
            <w:pPr>
              <w:pStyle w:val="0"/>
            </w:pPr>
            <w:r>
              <w:rPr>
                <w:sz w:val="20"/>
              </w:rPr>
              <w:t xml:space="preserve">2000000,00</w:t>
            </w:r>
          </w:p>
        </w:tc>
        <w:tc>
          <w:tcPr>
            <w:tcW w:w="1531" w:type="dxa"/>
          </w:tcPr>
          <w:p>
            <w:pPr>
              <w:pStyle w:val="0"/>
            </w:pPr>
            <w:r>
              <w:rPr>
                <w:sz w:val="20"/>
              </w:rPr>
              <w:t xml:space="preserve">-</w:t>
            </w:r>
          </w:p>
        </w:tc>
        <w:tc>
          <w:tcPr>
            <w:tcW w:w="1474" w:type="dxa"/>
          </w:tcPr>
          <w:p>
            <w:pPr>
              <w:pStyle w:val="0"/>
            </w:pPr>
            <w:r>
              <w:rPr>
                <w:sz w:val="20"/>
              </w:rPr>
              <w:t xml:space="preserve">500000,00</w:t>
            </w:r>
          </w:p>
        </w:tc>
        <w:tc>
          <w:tcPr>
            <w:gridSpan w:val="5"/>
            <w:tcW w:w="5295" w:type="dxa"/>
          </w:tcPr>
          <w:p>
            <w:pPr>
              <w:pStyle w:val="0"/>
            </w:pPr>
            <w:r>
              <w:rPr>
                <w:sz w:val="20"/>
              </w:rPr>
              <w:t xml:space="preserve">500000,00</w:t>
            </w:r>
          </w:p>
        </w:tc>
        <w:tc>
          <w:tcPr>
            <w:tcW w:w="1531" w:type="dxa"/>
          </w:tcPr>
          <w:p>
            <w:pPr>
              <w:pStyle w:val="0"/>
            </w:pPr>
            <w:r>
              <w:rPr>
                <w:sz w:val="20"/>
              </w:rPr>
              <w:t xml:space="preserve">500000,00</w:t>
            </w:r>
          </w:p>
        </w:tc>
        <w:tc>
          <w:tcPr>
            <w:tcW w:w="1531" w:type="dxa"/>
          </w:tcPr>
          <w:p>
            <w:pPr>
              <w:pStyle w:val="0"/>
            </w:pPr>
            <w:r>
              <w:rPr>
                <w:sz w:val="20"/>
              </w:rPr>
              <w:t xml:space="preserve">500000,00</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2000000,00</w:t>
            </w:r>
          </w:p>
        </w:tc>
        <w:tc>
          <w:tcPr>
            <w:tcW w:w="1531" w:type="dxa"/>
          </w:tcPr>
          <w:p>
            <w:pPr>
              <w:pStyle w:val="0"/>
            </w:pPr>
            <w:r>
              <w:rPr>
                <w:sz w:val="20"/>
              </w:rPr>
              <w:t xml:space="preserve">-</w:t>
            </w:r>
          </w:p>
        </w:tc>
        <w:tc>
          <w:tcPr>
            <w:tcW w:w="1474" w:type="dxa"/>
          </w:tcPr>
          <w:p>
            <w:pPr>
              <w:pStyle w:val="0"/>
            </w:pPr>
            <w:r>
              <w:rPr>
                <w:sz w:val="20"/>
              </w:rPr>
              <w:t xml:space="preserve">500000,00</w:t>
            </w:r>
          </w:p>
        </w:tc>
        <w:tc>
          <w:tcPr>
            <w:gridSpan w:val="5"/>
            <w:tcW w:w="5295" w:type="dxa"/>
          </w:tcPr>
          <w:p>
            <w:pPr>
              <w:pStyle w:val="0"/>
            </w:pPr>
            <w:r>
              <w:rPr>
                <w:sz w:val="20"/>
              </w:rPr>
              <w:t xml:space="preserve">500000,00</w:t>
            </w:r>
          </w:p>
        </w:tc>
        <w:tc>
          <w:tcPr>
            <w:tcW w:w="1531" w:type="dxa"/>
          </w:tcPr>
          <w:p>
            <w:pPr>
              <w:pStyle w:val="0"/>
            </w:pPr>
            <w:r>
              <w:rPr>
                <w:sz w:val="20"/>
              </w:rPr>
              <w:t xml:space="preserve">500000,00</w:t>
            </w:r>
          </w:p>
        </w:tc>
        <w:tc>
          <w:tcPr>
            <w:tcW w:w="1531" w:type="dxa"/>
          </w:tcPr>
          <w:p>
            <w:pPr>
              <w:pStyle w:val="0"/>
            </w:pPr>
            <w:r>
              <w:rPr>
                <w:sz w:val="20"/>
              </w:rPr>
              <w:t xml:space="preserve">500000,00</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1. Фондом предоставлены поручительства субъектам МСП и самозанятым гражданам, единиц</w:t>
            </w:r>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40</w:t>
            </w:r>
          </w:p>
        </w:tc>
        <w:tc>
          <w:tcPr>
            <w:tcW w:w="1531" w:type="dxa"/>
            <w:tcBorders>
              <w:bottom w:val="nil"/>
            </w:tcBorders>
          </w:tcPr>
          <w:p>
            <w:pPr>
              <w:pStyle w:val="0"/>
            </w:pPr>
            <w:r>
              <w:rPr>
                <w:sz w:val="20"/>
              </w:rPr>
              <w:t xml:space="preserve">-</w:t>
            </w:r>
          </w:p>
        </w:tc>
        <w:tc>
          <w:tcPr>
            <w:tcW w:w="1474" w:type="dxa"/>
            <w:tcBorders>
              <w:bottom w:val="nil"/>
            </w:tcBorders>
          </w:tcPr>
          <w:p>
            <w:pPr>
              <w:pStyle w:val="0"/>
            </w:pPr>
            <w:r>
              <w:rPr>
                <w:sz w:val="20"/>
              </w:rPr>
              <w:t xml:space="preserve">10</w:t>
            </w:r>
          </w:p>
        </w:tc>
        <w:tc>
          <w:tcPr>
            <w:tcW w:w="1020" w:type="dxa"/>
            <w:tcBorders>
              <w:bottom w:val="nil"/>
            </w:tcBorders>
          </w:tcPr>
          <w:p>
            <w:pPr>
              <w:pStyle w:val="0"/>
            </w:pPr>
            <w:r>
              <w:rPr>
                <w:sz w:val="20"/>
              </w:rPr>
              <w:t xml:space="preserve">10</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10</w:t>
            </w:r>
          </w:p>
        </w:tc>
        <w:tc>
          <w:tcPr>
            <w:tcW w:w="1531" w:type="dxa"/>
            <w:tcBorders>
              <w:bottom w:val="nil"/>
            </w:tcBorders>
          </w:tcPr>
          <w:p>
            <w:pPr>
              <w:pStyle w:val="0"/>
            </w:pPr>
            <w:r>
              <w:rPr>
                <w:sz w:val="20"/>
              </w:rPr>
              <w:t xml:space="preserve">10</w:t>
            </w:r>
          </w:p>
        </w:tc>
        <w:tc>
          <w:tcPr>
            <w:tcW w:w="1531" w:type="dxa"/>
            <w:tcBorders>
              <w:bottom w:val="nil"/>
            </w:tcBorders>
          </w:tcPr>
          <w:p>
            <w:pPr>
              <w:pStyle w:val="0"/>
            </w:pPr>
            <w:r>
              <w:rPr>
                <w:sz w:val="20"/>
              </w:rPr>
              <w:t xml:space="preserve">10</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2.1 в ред. </w:t>
            </w:r>
            <w:hyperlink w:history="0" r:id="rId574"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vMerge w:val="restart"/>
          </w:tcPr>
          <w:p>
            <w:pPr>
              <w:pStyle w:val="0"/>
            </w:pPr>
            <w:r>
              <w:rPr>
                <w:sz w:val="20"/>
              </w:rPr>
              <w:t xml:space="preserve">2.2</w:t>
            </w:r>
          </w:p>
        </w:tc>
        <w:tc>
          <w:tcPr>
            <w:tcW w:w="3345" w:type="dxa"/>
            <w:vMerge w:val="restart"/>
          </w:tcPr>
          <w:bookmarkStart w:id="13073" w:name="P13073"/>
          <w:bookmarkEnd w:id="13073"/>
          <w:p>
            <w:pPr>
              <w:pStyle w:val="0"/>
            </w:pPr>
            <w:r>
              <w:rPr>
                <w:sz w:val="20"/>
              </w:rPr>
              <w:t xml:space="preserve">Мероприятие 02.02. Субсидия автономной некоммерческой организации "Агентство инвестиционного развития Московской области" в целях предоставления комплекса услуг, направленных на вовлечение в предпринимательскую деятельность начинающих и действующих предпринимателей, граждан, желающих вести бизнес</w:t>
            </w:r>
          </w:p>
        </w:tc>
        <w:tc>
          <w:tcPr>
            <w:tcW w:w="1361" w:type="dxa"/>
            <w:vMerge w:val="restart"/>
          </w:tcPr>
          <w:p>
            <w:pPr>
              <w:pStyle w:val="0"/>
            </w:pPr>
            <w:r>
              <w:rPr>
                <w:sz w:val="20"/>
              </w:rPr>
              <w:t xml:space="preserve">2025-2027</w:t>
            </w:r>
          </w:p>
        </w:tc>
        <w:tc>
          <w:tcPr>
            <w:tcW w:w="1587" w:type="dxa"/>
          </w:tcPr>
          <w:p>
            <w:pPr>
              <w:pStyle w:val="0"/>
            </w:pPr>
            <w:r>
              <w:rPr>
                <w:sz w:val="20"/>
              </w:rPr>
              <w:t xml:space="preserve">Итого:</w:t>
            </w:r>
          </w:p>
        </w:tc>
        <w:tc>
          <w:tcPr>
            <w:tcW w:w="1644" w:type="dxa"/>
          </w:tcPr>
          <w:p>
            <w:pPr>
              <w:pStyle w:val="0"/>
            </w:pPr>
            <w:r>
              <w:rPr>
                <w:sz w:val="20"/>
              </w:rPr>
              <w:t xml:space="preserve">300000,00</w:t>
            </w:r>
          </w:p>
        </w:tc>
        <w:tc>
          <w:tcPr>
            <w:tcW w:w="1531" w:type="dxa"/>
          </w:tcPr>
          <w:p>
            <w:pPr>
              <w:pStyle w:val="0"/>
            </w:pPr>
            <w:r>
              <w:rPr>
                <w:sz w:val="20"/>
              </w:rPr>
              <w:t xml:space="preserve">-</w:t>
            </w:r>
          </w:p>
        </w:tc>
        <w:tc>
          <w:tcPr>
            <w:tcW w:w="1474" w:type="dxa"/>
          </w:tcPr>
          <w:p>
            <w:pPr>
              <w:pStyle w:val="0"/>
            </w:pPr>
            <w:r>
              <w:rPr>
                <w:sz w:val="20"/>
              </w:rPr>
              <w:t xml:space="preserve">-</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300000,00</w:t>
            </w:r>
          </w:p>
        </w:tc>
        <w:tc>
          <w:tcPr>
            <w:tcW w:w="1531" w:type="dxa"/>
          </w:tcPr>
          <w:p>
            <w:pPr>
              <w:pStyle w:val="0"/>
            </w:pPr>
            <w:r>
              <w:rPr>
                <w:sz w:val="20"/>
              </w:rPr>
              <w:t xml:space="preserve">-</w:t>
            </w:r>
          </w:p>
        </w:tc>
        <w:tc>
          <w:tcPr>
            <w:tcW w:w="1474" w:type="dxa"/>
          </w:tcPr>
          <w:p>
            <w:pPr>
              <w:pStyle w:val="0"/>
            </w:pPr>
            <w:r>
              <w:rPr>
                <w:sz w:val="20"/>
              </w:rPr>
              <w:t xml:space="preserve">-</w:t>
            </w:r>
          </w:p>
        </w:tc>
        <w:tc>
          <w:tcPr>
            <w:gridSpan w:val="5"/>
            <w:tcW w:w="5295" w:type="dxa"/>
          </w:tcPr>
          <w:p>
            <w:pPr>
              <w:pStyle w:val="0"/>
            </w:pPr>
            <w:r>
              <w:rPr>
                <w:sz w:val="20"/>
              </w:rPr>
              <w:t xml:space="preserve">100000,00</w:t>
            </w:r>
          </w:p>
        </w:tc>
        <w:tc>
          <w:tcPr>
            <w:tcW w:w="1531" w:type="dxa"/>
          </w:tcPr>
          <w:p>
            <w:pPr>
              <w:pStyle w:val="0"/>
            </w:pPr>
            <w:r>
              <w:rPr>
                <w:sz w:val="20"/>
              </w:rPr>
              <w:t xml:space="preserve">100000,00</w:t>
            </w:r>
          </w:p>
        </w:tc>
        <w:tc>
          <w:tcPr>
            <w:tcW w:w="1531" w:type="dxa"/>
          </w:tcPr>
          <w:p>
            <w:pPr>
              <w:pStyle w:val="0"/>
            </w:pPr>
            <w:r>
              <w:rPr>
                <w:sz w:val="20"/>
              </w:rPr>
              <w:t xml:space="preserve">100000,00</w:t>
            </w:r>
          </w:p>
        </w:tc>
        <w:tc>
          <w:tcPr>
            <w:vMerge w:val="continue"/>
          </w:tcPr>
          <w:p/>
        </w:tc>
      </w:tr>
      <w:tr>
        <w:tc>
          <w:tcPr>
            <w:vMerge w:val="continue"/>
          </w:tcPr>
          <w:p/>
        </w:tc>
        <w:tc>
          <w:tcPr>
            <w:tcW w:w="3345" w:type="dxa"/>
            <w:vMerge w:val="restart"/>
          </w:tcPr>
          <w:p>
            <w:pPr>
              <w:pStyle w:val="0"/>
            </w:pPr>
            <w:r>
              <w:rPr>
                <w:sz w:val="20"/>
              </w:rPr>
              <w:t xml:space="preserve">Результат 1. Начинающим и действующим предпринимателям и гражданам, желающим вести бизнес, обеспечено предоставление комплекса услуг получателем субсидии, тысяч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19,197</w:t>
            </w:r>
          </w:p>
        </w:tc>
        <w:tc>
          <w:tcPr>
            <w:tcW w:w="1531" w:type="dxa"/>
          </w:tcPr>
          <w:p>
            <w:pPr>
              <w:pStyle w:val="0"/>
            </w:pPr>
            <w:r>
              <w:rPr>
                <w:sz w:val="20"/>
              </w:rPr>
              <w:t xml:space="preserve">-</w:t>
            </w:r>
          </w:p>
        </w:tc>
        <w:tc>
          <w:tcPr>
            <w:tcW w:w="1474" w:type="dxa"/>
          </w:tcPr>
          <w:p>
            <w:pPr>
              <w:pStyle w:val="0"/>
            </w:pPr>
            <w:r>
              <w:rPr>
                <w:sz w:val="20"/>
              </w:rPr>
              <w:t xml:space="preserve">-</w:t>
            </w:r>
          </w:p>
        </w:tc>
        <w:tc>
          <w:tcPr>
            <w:tcW w:w="1020" w:type="dxa"/>
          </w:tcPr>
          <w:p>
            <w:pPr>
              <w:pStyle w:val="0"/>
            </w:pPr>
            <w:r>
              <w:rPr>
                <w:sz w:val="20"/>
              </w:rPr>
              <w:t xml:space="preserve">6,399</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6,399</w:t>
            </w:r>
          </w:p>
        </w:tc>
        <w:tc>
          <w:tcPr>
            <w:tcW w:w="1531" w:type="dxa"/>
          </w:tcPr>
          <w:p>
            <w:pPr>
              <w:pStyle w:val="0"/>
            </w:pPr>
            <w:r>
              <w:rPr>
                <w:sz w:val="20"/>
              </w:rPr>
              <w:t xml:space="preserve">6,399</w:t>
            </w:r>
          </w:p>
        </w:tc>
        <w:tc>
          <w:tcPr>
            <w:tcW w:w="1531" w:type="dxa"/>
          </w:tcPr>
          <w:p>
            <w:pPr>
              <w:pStyle w:val="0"/>
            </w:pPr>
            <w:r>
              <w:rPr>
                <w:sz w:val="20"/>
              </w:rPr>
              <w:t xml:space="preserve">6,399</w:t>
            </w:r>
          </w:p>
        </w:tc>
        <w:tc>
          <w:tcPr>
            <w:vMerge w:val="continue"/>
          </w:tcPr>
          <w:p/>
        </w:tc>
      </w:tr>
      <w:tr>
        <w:tc>
          <w:tcPr>
            <w:tcW w:w="680" w:type="dxa"/>
            <w:vMerge w:val="restart"/>
          </w:tcPr>
          <w:p>
            <w:pPr>
              <w:pStyle w:val="0"/>
              <w:outlineLvl w:val="3"/>
            </w:pPr>
            <w:r>
              <w:rPr>
                <w:sz w:val="20"/>
              </w:rPr>
              <w:t xml:space="preserve">3</w:t>
            </w:r>
          </w:p>
        </w:tc>
        <w:tc>
          <w:tcPr>
            <w:tcW w:w="3345" w:type="dxa"/>
            <w:vMerge w:val="restart"/>
          </w:tcPr>
          <w:p>
            <w:pPr>
              <w:pStyle w:val="0"/>
            </w:pPr>
            <w:r>
              <w:rPr>
                <w:sz w:val="20"/>
              </w:rPr>
              <w:t xml:space="preserve">Основное мероприятие I2. Федеральный проект "Создание благоприятных условий для осуществления деятельности самозанятыми гражданами"</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124118,00</w:t>
            </w:r>
          </w:p>
        </w:tc>
        <w:tc>
          <w:tcPr>
            <w:tcW w:w="1531" w:type="dxa"/>
          </w:tcPr>
          <w:p>
            <w:pPr>
              <w:pStyle w:val="0"/>
            </w:pPr>
            <w:r>
              <w:rPr>
                <w:sz w:val="20"/>
              </w:rPr>
              <w:t xml:space="preserve">62059,00</w:t>
            </w:r>
          </w:p>
        </w:tc>
        <w:tc>
          <w:tcPr>
            <w:tcW w:w="1474" w:type="dxa"/>
          </w:tcPr>
          <w:p>
            <w:pPr>
              <w:pStyle w:val="0"/>
            </w:pPr>
            <w:r>
              <w:rPr>
                <w:sz w:val="20"/>
              </w:rPr>
              <w:t xml:space="preserve">62059,00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31030,00</w:t>
            </w:r>
          </w:p>
        </w:tc>
        <w:tc>
          <w:tcPr>
            <w:tcW w:w="1531" w:type="dxa"/>
          </w:tcPr>
          <w:p>
            <w:pPr>
              <w:pStyle w:val="0"/>
            </w:pPr>
            <w:r>
              <w:rPr>
                <w:sz w:val="20"/>
              </w:rPr>
              <w:t xml:space="preserve">15515,00</w:t>
            </w:r>
          </w:p>
        </w:tc>
        <w:tc>
          <w:tcPr>
            <w:tcW w:w="1474" w:type="dxa"/>
          </w:tcPr>
          <w:p>
            <w:pPr>
              <w:pStyle w:val="0"/>
            </w:pPr>
            <w:r>
              <w:rPr>
                <w:sz w:val="20"/>
              </w:rPr>
              <w:t xml:space="preserve">15515,00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93088,00</w:t>
            </w:r>
          </w:p>
        </w:tc>
        <w:tc>
          <w:tcPr>
            <w:tcW w:w="1531" w:type="dxa"/>
          </w:tcPr>
          <w:p>
            <w:pPr>
              <w:pStyle w:val="0"/>
            </w:pPr>
            <w:r>
              <w:rPr>
                <w:sz w:val="20"/>
              </w:rPr>
              <w:t xml:space="preserve">46544,00</w:t>
            </w:r>
          </w:p>
        </w:tc>
        <w:tc>
          <w:tcPr>
            <w:tcW w:w="1474" w:type="dxa"/>
          </w:tcPr>
          <w:p>
            <w:pPr>
              <w:pStyle w:val="0"/>
            </w:pPr>
            <w:r>
              <w:rPr>
                <w:sz w:val="20"/>
              </w:rPr>
              <w:t xml:space="preserve">46544,00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pPr>
            <w:r>
              <w:rPr>
                <w:sz w:val="20"/>
              </w:rPr>
              <w:t xml:space="preserve">3.1</w:t>
            </w:r>
          </w:p>
        </w:tc>
        <w:tc>
          <w:tcPr>
            <w:tcW w:w="3345" w:type="dxa"/>
            <w:vMerge w:val="restart"/>
          </w:tcPr>
          <w:p>
            <w:pPr>
              <w:pStyle w:val="0"/>
            </w:pPr>
            <w:r>
              <w:rPr>
                <w:sz w:val="20"/>
              </w:rPr>
              <w:t xml:space="preserve">Мероприятие I2.01.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направленных на создание благоприятных условий для осуществления деятельности самозанятыми гражданами</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124118,00</w:t>
            </w:r>
          </w:p>
        </w:tc>
        <w:tc>
          <w:tcPr>
            <w:tcW w:w="1531" w:type="dxa"/>
          </w:tcPr>
          <w:p>
            <w:pPr>
              <w:pStyle w:val="0"/>
            </w:pPr>
            <w:r>
              <w:rPr>
                <w:sz w:val="20"/>
              </w:rPr>
              <w:t xml:space="preserve">62059,00</w:t>
            </w:r>
          </w:p>
        </w:tc>
        <w:tc>
          <w:tcPr>
            <w:tcW w:w="1474" w:type="dxa"/>
          </w:tcPr>
          <w:p>
            <w:pPr>
              <w:pStyle w:val="0"/>
            </w:pPr>
            <w:r>
              <w:rPr>
                <w:sz w:val="20"/>
              </w:rPr>
              <w:t xml:space="preserve">62059,00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31030,00</w:t>
            </w:r>
          </w:p>
        </w:tc>
        <w:tc>
          <w:tcPr>
            <w:tcW w:w="1531" w:type="dxa"/>
          </w:tcPr>
          <w:p>
            <w:pPr>
              <w:pStyle w:val="0"/>
            </w:pPr>
            <w:r>
              <w:rPr>
                <w:sz w:val="20"/>
              </w:rPr>
              <w:t xml:space="preserve">15515,00</w:t>
            </w:r>
          </w:p>
        </w:tc>
        <w:tc>
          <w:tcPr>
            <w:tcW w:w="1474" w:type="dxa"/>
          </w:tcPr>
          <w:p>
            <w:pPr>
              <w:pStyle w:val="0"/>
            </w:pPr>
            <w:r>
              <w:rPr>
                <w:sz w:val="20"/>
              </w:rPr>
              <w:t xml:space="preserve">15515,00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93088,00</w:t>
            </w:r>
          </w:p>
        </w:tc>
        <w:tc>
          <w:tcPr>
            <w:tcW w:w="1531" w:type="dxa"/>
          </w:tcPr>
          <w:p>
            <w:pPr>
              <w:pStyle w:val="0"/>
            </w:pPr>
            <w:r>
              <w:rPr>
                <w:sz w:val="20"/>
              </w:rPr>
              <w:t xml:space="preserve">46544,00</w:t>
            </w:r>
          </w:p>
        </w:tc>
        <w:tc>
          <w:tcPr>
            <w:tcW w:w="1474" w:type="dxa"/>
          </w:tcPr>
          <w:p>
            <w:pPr>
              <w:pStyle w:val="0"/>
            </w:pPr>
            <w:r>
              <w:rPr>
                <w:sz w:val="20"/>
              </w:rPr>
              <w:t xml:space="preserve">46544,00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tcW w:w="3345" w:type="dxa"/>
            <w:vMerge w:val="restart"/>
          </w:tcPr>
          <w:p>
            <w:pPr>
              <w:pStyle w:val="0"/>
            </w:pPr>
            <w:r>
              <w:rPr>
                <w:sz w:val="20"/>
              </w:rPr>
              <w:t xml:space="preserve">Результат 1.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тыс. человек</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9,891</w:t>
            </w:r>
          </w:p>
        </w:tc>
        <w:tc>
          <w:tcPr>
            <w:tcW w:w="1531" w:type="dxa"/>
          </w:tcPr>
          <w:p>
            <w:pPr>
              <w:pStyle w:val="0"/>
            </w:pPr>
            <w:r>
              <w:rPr>
                <w:sz w:val="20"/>
              </w:rPr>
              <w:t xml:space="preserve">4,557</w:t>
            </w:r>
          </w:p>
        </w:tc>
        <w:tc>
          <w:tcPr>
            <w:tcW w:w="1474" w:type="dxa"/>
          </w:tcPr>
          <w:p>
            <w:pPr>
              <w:pStyle w:val="0"/>
            </w:pPr>
            <w:r>
              <w:rPr>
                <w:sz w:val="20"/>
              </w:rPr>
              <w:t xml:space="preserve">5,334</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outlineLvl w:val="3"/>
            </w:pPr>
            <w:r>
              <w:rPr>
                <w:sz w:val="20"/>
              </w:rPr>
              <w:t xml:space="preserve">4</w:t>
            </w:r>
          </w:p>
        </w:tc>
        <w:tc>
          <w:tcPr>
            <w:tcW w:w="3345" w:type="dxa"/>
            <w:vMerge w:val="restart"/>
          </w:tcPr>
          <w:p>
            <w:pPr>
              <w:pStyle w:val="0"/>
            </w:pPr>
            <w:r>
              <w:rPr>
                <w:sz w:val="20"/>
              </w:rPr>
              <w:t xml:space="preserve">Основное мероприятие I4. Федеральный проект "Создание условий для легкого старта и комфортного ведения бизнеса"</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416535,00</w:t>
            </w:r>
          </w:p>
        </w:tc>
        <w:tc>
          <w:tcPr>
            <w:tcW w:w="1531" w:type="dxa"/>
          </w:tcPr>
          <w:p>
            <w:pPr>
              <w:pStyle w:val="0"/>
            </w:pPr>
            <w:r>
              <w:rPr>
                <w:sz w:val="20"/>
              </w:rPr>
              <w:t xml:space="preserve">311482,00</w:t>
            </w:r>
          </w:p>
        </w:tc>
        <w:tc>
          <w:tcPr>
            <w:tcW w:w="1474" w:type="dxa"/>
          </w:tcPr>
          <w:p>
            <w:pPr>
              <w:pStyle w:val="0"/>
            </w:pPr>
            <w:r>
              <w:rPr>
                <w:sz w:val="20"/>
              </w:rPr>
              <w:t xml:space="preserve">105053,00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104135,00</w:t>
            </w:r>
          </w:p>
        </w:tc>
        <w:tc>
          <w:tcPr>
            <w:tcW w:w="1531" w:type="dxa"/>
          </w:tcPr>
          <w:p>
            <w:pPr>
              <w:pStyle w:val="0"/>
            </w:pPr>
            <w:r>
              <w:rPr>
                <w:sz w:val="20"/>
              </w:rPr>
              <w:t xml:space="preserve">77871,00</w:t>
            </w:r>
          </w:p>
        </w:tc>
        <w:tc>
          <w:tcPr>
            <w:tcW w:w="1474" w:type="dxa"/>
          </w:tcPr>
          <w:p>
            <w:pPr>
              <w:pStyle w:val="0"/>
            </w:pPr>
            <w:r>
              <w:rPr>
                <w:sz w:val="20"/>
              </w:rPr>
              <w:t xml:space="preserve">26264,00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312400,00</w:t>
            </w:r>
          </w:p>
        </w:tc>
        <w:tc>
          <w:tcPr>
            <w:tcW w:w="1531" w:type="dxa"/>
          </w:tcPr>
          <w:p>
            <w:pPr>
              <w:pStyle w:val="0"/>
            </w:pPr>
            <w:r>
              <w:rPr>
                <w:sz w:val="20"/>
              </w:rPr>
              <w:t xml:space="preserve">233611,00</w:t>
            </w:r>
          </w:p>
        </w:tc>
        <w:tc>
          <w:tcPr>
            <w:tcW w:w="1474" w:type="dxa"/>
          </w:tcPr>
          <w:p>
            <w:pPr>
              <w:pStyle w:val="0"/>
            </w:pPr>
            <w:r>
              <w:rPr>
                <w:sz w:val="20"/>
              </w:rPr>
              <w:t xml:space="preserve">78789,00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pPr>
            <w:r>
              <w:rPr>
                <w:sz w:val="20"/>
              </w:rPr>
              <w:t xml:space="preserve">4.1</w:t>
            </w:r>
          </w:p>
        </w:tc>
        <w:tc>
          <w:tcPr>
            <w:tcW w:w="3345" w:type="dxa"/>
            <w:vMerge w:val="restart"/>
          </w:tcPr>
          <w:p>
            <w:pPr>
              <w:pStyle w:val="0"/>
            </w:pPr>
            <w:r>
              <w:rPr>
                <w:sz w:val="20"/>
              </w:rPr>
              <w:t xml:space="preserve">Мероприятие I4.01. Обеспечение деятельности автономной некоммерческой организации "Агентство инвестиционного развития Московской области" в целях реализации мероприятий, направленных на создание условий для легкого старта и комфортного ведения бизнеса</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201396,00</w:t>
            </w:r>
          </w:p>
        </w:tc>
        <w:tc>
          <w:tcPr>
            <w:tcW w:w="1531" w:type="dxa"/>
          </w:tcPr>
          <w:p>
            <w:pPr>
              <w:pStyle w:val="0"/>
            </w:pPr>
            <w:r>
              <w:rPr>
                <w:sz w:val="20"/>
              </w:rPr>
              <w:t xml:space="preserve">99606,00</w:t>
            </w:r>
          </w:p>
        </w:tc>
        <w:tc>
          <w:tcPr>
            <w:tcW w:w="1474" w:type="dxa"/>
          </w:tcPr>
          <w:p>
            <w:pPr>
              <w:pStyle w:val="0"/>
            </w:pPr>
            <w:r>
              <w:rPr>
                <w:sz w:val="20"/>
              </w:rPr>
              <w:t xml:space="preserve">101790,00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50350,00</w:t>
            </w:r>
          </w:p>
        </w:tc>
        <w:tc>
          <w:tcPr>
            <w:tcW w:w="1531" w:type="dxa"/>
          </w:tcPr>
          <w:p>
            <w:pPr>
              <w:pStyle w:val="0"/>
            </w:pPr>
            <w:r>
              <w:rPr>
                <w:sz w:val="20"/>
              </w:rPr>
              <w:t xml:space="preserve">24902,00</w:t>
            </w:r>
          </w:p>
        </w:tc>
        <w:tc>
          <w:tcPr>
            <w:tcW w:w="1474" w:type="dxa"/>
          </w:tcPr>
          <w:p>
            <w:pPr>
              <w:pStyle w:val="0"/>
            </w:pPr>
            <w:r>
              <w:rPr>
                <w:sz w:val="20"/>
              </w:rPr>
              <w:t xml:space="preserve">25448,00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151046,00</w:t>
            </w:r>
          </w:p>
        </w:tc>
        <w:tc>
          <w:tcPr>
            <w:tcW w:w="1531" w:type="dxa"/>
          </w:tcPr>
          <w:p>
            <w:pPr>
              <w:pStyle w:val="0"/>
            </w:pPr>
            <w:r>
              <w:rPr>
                <w:sz w:val="20"/>
              </w:rPr>
              <w:t xml:space="preserve">74704,00</w:t>
            </w:r>
          </w:p>
        </w:tc>
        <w:tc>
          <w:tcPr>
            <w:tcW w:w="1474" w:type="dxa"/>
          </w:tcPr>
          <w:p>
            <w:pPr>
              <w:pStyle w:val="0"/>
            </w:pPr>
            <w:r>
              <w:rPr>
                <w:sz w:val="20"/>
              </w:rPr>
              <w:t xml:space="preserve">76342,00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tcW w:w="3345" w:type="dxa"/>
            <w:vMerge w:val="restart"/>
          </w:tcPr>
          <w:p>
            <w:pPr>
              <w:pStyle w:val="0"/>
            </w:pPr>
            <w:r>
              <w:rPr>
                <w:sz w:val="20"/>
              </w:rPr>
              <w:t xml:space="preserve">Результат 1.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тыс.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26,659</w:t>
            </w:r>
          </w:p>
        </w:tc>
        <w:tc>
          <w:tcPr>
            <w:tcW w:w="1531" w:type="dxa"/>
          </w:tcPr>
          <w:p>
            <w:pPr>
              <w:pStyle w:val="0"/>
            </w:pPr>
            <w:r>
              <w:rPr>
                <w:sz w:val="20"/>
              </w:rPr>
              <w:t xml:space="preserve">12,528</w:t>
            </w:r>
          </w:p>
        </w:tc>
        <w:tc>
          <w:tcPr>
            <w:tcW w:w="1474" w:type="dxa"/>
          </w:tcPr>
          <w:p>
            <w:pPr>
              <w:pStyle w:val="0"/>
            </w:pPr>
            <w:r>
              <w:rPr>
                <w:sz w:val="20"/>
              </w:rPr>
              <w:t xml:space="preserve">14,131</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tcBorders>
              <w:bottom w:val="nil"/>
            </w:tcBorders>
            <w:vMerge w:val="restart"/>
          </w:tcPr>
          <w:p>
            <w:pPr>
              <w:pStyle w:val="0"/>
            </w:pPr>
            <w:r>
              <w:rPr>
                <w:sz w:val="20"/>
              </w:rPr>
              <w:t xml:space="preserve">4.2</w:t>
            </w:r>
          </w:p>
        </w:tc>
        <w:tc>
          <w:tcPr>
            <w:tcW w:w="3345" w:type="dxa"/>
            <w:vMerge w:val="restart"/>
          </w:tcPr>
          <w:p>
            <w:pPr>
              <w:pStyle w:val="0"/>
            </w:pPr>
            <w:r>
              <w:rPr>
                <w:sz w:val="20"/>
              </w:rPr>
              <w:t xml:space="preserve">Мероприятие I4.02. Финансовая поддержка социальных предприятий и молодых предпринимателей</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215139,00</w:t>
            </w:r>
          </w:p>
        </w:tc>
        <w:tc>
          <w:tcPr>
            <w:tcW w:w="1531" w:type="dxa"/>
          </w:tcPr>
          <w:p>
            <w:pPr>
              <w:pStyle w:val="0"/>
            </w:pPr>
            <w:r>
              <w:rPr>
                <w:sz w:val="20"/>
              </w:rPr>
              <w:t xml:space="preserve">211876,00</w:t>
            </w:r>
          </w:p>
        </w:tc>
        <w:tc>
          <w:tcPr>
            <w:tcW w:w="1474" w:type="dxa"/>
          </w:tcPr>
          <w:p>
            <w:pPr>
              <w:pStyle w:val="0"/>
            </w:pPr>
            <w:r>
              <w:rPr>
                <w:sz w:val="20"/>
              </w:rPr>
              <w:t xml:space="preserve">3263,00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53785,00</w:t>
            </w:r>
          </w:p>
        </w:tc>
        <w:tc>
          <w:tcPr>
            <w:tcW w:w="1531" w:type="dxa"/>
          </w:tcPr>
          <w:p>
            <w:pPr>
              <w:pStyle w:val="0"/>
            </w:pPr>
            <w:r>
              <w:rPr>
                <w:sz w:val="20"/>
              </w:rPr>
              <w:t xml:space="preserve">52969,00</w:t>
            </w:r>
          </w:p>
        </w:tc>
        <w:tc>
          <w:tcPr>
            <w:tcW w:w="1474" w:type="dxa"/>
          </w:tcPr>
          <w:p>
            <w:pPr>
              <w:pStyle w:val="0"/>
            </w:pPr>
            <w:r>
              <w:rPr>
                <w:sz w:val="20"/>
              </w:rPr>
              <w:t xml:space="preserve">816,00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161354,00</w:t>
            </w:r>
          </w:p>
        </w:tc>
        <w:tc>
          <w:tcPr>
            <w:tcW w:w="1531" w:type="dxa"/>
          </w:tcPr>
          <w:p>
            <w:pPr>
              <w:pStyle w:val="0"/>
            </w:pPr>
            <w:r>
              <w:rPr>
                <w:sz w:val="20"/>
              </w:rPr>
              <w:t xml:space="preserve">158907,00</w:t>
            </w:r>
          </w:p>
        </w:tc>
        <w:tc>
          <w:tcPr>
            <w:tcW w:w="1474" w:type="dxa"/>
          </w:tcPr>
          <w:p>
            <w:pPr>
              <w:pStyle w:val="0"/>
            </w:pPr>
            <w:r>
              <w:rPr>
                <w:sz w:val="20"/>
              </w:rPr>
              <w:t xml:space="preserve">2447,00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Borders>
              <w:bottom w:val="nil"/>
            </w:tcBorders>
            <w:vMerge w:val="continue"/>
          </w:tcPr>
          <w:p/>
        </w:tc>
        <w:tc>
          <w:tcPr>
            <w:tcW w:w="3345" w:type="dxa"/>
            <w:tcBorders>
              <w:bottom w:val="nil"/>
            </w:tcBorders>
            <w:vMerge w:val="restart"/>
          </w:tcPr>
          <w:p>
            <w:pPr>
              <w:pStyle w:val="0"/>
            </w:pPr>
            <w:r>
              <w:rPr>
                <w:sz w:val="20"/>
              </w:rPr>
              <w:t xml:space="preserve">Результат 1.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 единиц </w:t>
            </w:r>
            <w:hyperlink w:history="0" w:anchor="P13518" w:tooltip="&lt;2&gt; Значения результата реализации мероприятия (предоставления субсидии) учитывают его значение на 2022 год в соответствии с Соглашением о реализации регионального проекта &quot;Создание условий для легкого старта и комфортного ведения бизнеса&quot; на территории Московской области от 29.01.2019 N 139-2019-140078-1 и дополнительными соглашениями к указанному Соглашению.">
              <w:r>
                <w:rPr>
                  <w:sz w:val="20"/>
                  <w:color w:val="0000ff"/>
                </w:rPr>
                <w:t xml:space="preserve">&lt;2&gt;</w:t>
              </w:r>
            </w:hyperlink>
          </w:p>
        </w:tc>
        <w:tc>
          <w:tcPr>
            <w:tcW w:w="1361" w:type="dxa"/>
            <w:tcBorders>
              <w:bottom w:val="nil"/>
            </w:tcBorders>
            <w:vMerge w:val="restart"/>
          </w:tcPr>
          <w:p>
            <w:pPr>
              <w:pStyle w:val="0"/>
            </w:pPr>
            <w:r>
              <w:rPr>
                <w:sz w:val="20"/>
              </w:rPr>
              <w:t xml:space="preserve">Х</w:t>
            </w:r>
          </w:p>
        </w:tc>
        <w:tc>
          <w:tcPr>
            <w:tcW w:w="1587" w:type="dxa"/>
            <w:tcBorders>
              <w:bottom w:val="nil"/>
            </w:tcBorders>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tcBorders>
              <w:bottom w:val="nil"/>
            </w:tcBorders>
            <w:vMerge w:val="restart"/>
          </w:tcPr>
          <w:p>
            <w:pPr>
              <w:pStyle w:val="0"/>
            </w:pPr>
            <w:r>
              <w:rPr>
                <w:sz w:val="20"/>
              </w:rPr>
              <w:t xml:space="preserve">Х</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Borders>
              <w:bottom w:val="nil"/>
            </w:tcBorders>
          </w:tcPr>
          <w:p>
            <w:pPr>
              <w:pStyle w:val="0"/>
            </w:pPr>
            <w:r>
              <w:rPr>
                <w:sz w:val="20"/>
              </w:rPr>
              <w:t xml:space="preserve">556</w:t>
            </w:r>
          </w:p>
        </w:tc>
        <w:tc>
          <w:tcPr>
            <w:tcW w:w="1531" w:type="dxa"/>
            <w:tcBorders>
              <w:bottom w:val="nil"/>
            </w:tcBorders>
          </w:tcPr>
          <w:p>
            <w:pPr>
              <w:pStyle w:val="0"/>
            </w:pPr>
            <w:r>
              <w:rPr>
                <w:sz w:val="20"/>
              </w:rPr>
              <w:t xml:space="preserve">551</w:t>
            </w:r>
          </w:p>
        </w:tc>
        <w:tc>
          <w:tcPr>
            <w:tcW w:w="1474" w:type="dxa"/>
            <w:tcBorders>
              <w:bottom w:val="nil"/>
            </w:tcBorders>
          </w:tcPr>
          <w:p>
            <w:pPr>
              <w:pStyle w:val="0"/>
            </w:pPr>
            <w:r>
              <w:rPr>
                <w:sz w:val="20"/>
              </w:rPr>
              <w:t xml:space="preserve">556</w:t>
            </w:r>
          </w:p>
        </w:tc>
        <w:tc>
          <w:tcPr>
            <w:tcW w:w="1020"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68" w:type="dxa"/>
            <w:tcBorders>
              <w:bottom w:val="nil"/>
            </w:tcBorders>
          </w:tcPr>
          <w:p>
            <w:pPr>
              <w:pStyle w:val="0"/>
            </w:pPr>
            <w:r>
              <w:rPr>
                <w:sz w:val="20"/>
              </w:rPr>
              <w:t xml:space="preserve">-</w:t>
            </w:r>
          </w:p>
        </w:tc>
        <w:tc>
          <w:tcPr>
            <w:tcW w:w="1071" w:type="dxa"/>
            <w:tcBorders>
              <w:bottom w:val="nil"/>
            </w:tcBorders>
          </w:tcPr>
          <w:p>
            <w:pPr>
              <w:pStyle w:val="0"/>
            </w:pPr>
            <w:r>
              <w:rPr>
                <w:sz w:val="20"/>
              </w:rPr>
              <w:t xml:space="preserve">-</w:t>
            </w:r>
          </w:p>
        </w:tc>
        <w:tc>
          <w:tcPr>
            <w:tcW w:w="1531" w:type="dxa"/>
            <w:tcBorders>
              <w:bottom w:val="nil"/>
            </w:tcBorders>
          </w:tcPr>
          <w:p>
            <w:pPr>
              <w:pStyle w:val="0"/>
            </w:pPr>
            <w:r>
              <w:rPr>
                <w:sz w:val="20"/>
              </w:rPr>
              <w:t xml:space="preserve">-</w:t>
            </w:r>
          </w:p>
        </w:tc>
        <w:tc>
          <w:tcPr>
            <w:tcW w:w="1531" w:type="dxa"/>
            <w:tcBorders>
              <w:bottom w:val="nil"/>
            </w:tcBorders>
          </w:tcPr>
          <w:p>
            <w:pPr>
              <w:pStyle w:val="0"/>
            </w:pPr>
            <w:r>
              <w:rPr>
                <w:sz w:val="20"/>
              </w:rPr>
              <w:t xml:space="preserve">-</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(строка 4.2 в ред. </w:t>
            </w:r>
            <w:hyperlink w:history="0" r:id="rId57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r>
        <w:tc>
          <w:tcPr>
            <w:tcW w:w="680" w:type="dxa"/>
            <w:vMerge w:val="restart"/>
          </w:tcPr>
          <w:p>
            <w:pPr>
              <w:pStyle w:val="0"/>
              <w:outlineLvl w:val="3"/>
            </w:pPr>
            <w:r>
              <w:rPr>
                <w:sz w:val="20"/>
              </w:rPr>
              <w:t xml:space="preserve">5</w:t>
            </w:r>
          </w:p>
        </w:tc>
        <w:tc>
          <w:tcPr>
            <w:tcW w:w="3345" w:type="dxa"/>
            <w:vMerge w:val="restart"/>
          </w:tcPr>
          <w:p>
            <w:pPr>
              <w:pStyle w:val="0"/>
            </w:pPr>
            <w:r>
              <w:rPr>
                <w:sz w:val="20"/>
              </w:rPr>
              <w:t xml:space="preserve">Основное мероприятие I5. Федеральный проект "Акселерация субъектов малого и среднего предпринимательства"</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255318,00</w:t>
            </w:r>
          </w:p>
        </w:tc>
        <w:tc>
          <w:tcPr>
            <w:tcW w:w="1531" w:type="dxa"/>
          </w:tcPr>
          <w:p>
            <w:pPr>
              <w:pStyle w:val="0"/>
            </w:pPr>
            <w:r>
              <w:rPr>
                <w:sz w:val="20"/>
              </w:rPr>
              <w:t xml:space="preserve">143385,00</w:t>
            </w:r>
          </w:p>
        </w:tc>
        <w:tc>
          <w:tcPr>
            <w:tcW w:w="1474" w:type="dxa"/>
          </w:tcPr>
          <w:p>
            <w:pPr>
              <w:pStyle w:val="0"/>
            </w:pPr>
            <w:r>
              <w:rPr>
                <w:sz w:val="20"/>
              </w:rPr>
              <w:t xml:space="preserve">111933,00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63831,00</w:t>
            </w:r>
          </w:p>
        </w:tc>
        <w:tc>
          <w:tcPr>
            <w:tcW w:w="1531" w:type="dxa"/>
          </w:tcPr>
          <w:p>
            <w:pPr>
              <w:pStyle w:val="0"/>
            </w:pPr>
            <w:r>
              <w:rPr>
                <w:sz w:val="20"/>
              </w:rPr>
              <w:t xml:space="preserve">35847,00</w:t>
            </w:r>
          </w:p>
        </w:tc>
        <w:tc>
          <w:tcPr>
            <w:tcW w:w="1474" w:type="dxa"/>
          </w:tcPr>
          <w:p>
            <w:pPr>
              <w:pStyle w:val="0"/>
            </w:pPr>
            <w:r>
              <w:rPr>
                <w:sz w:val="20"/>
              </w:rPr>
              <w:t xml:space="preserve">27984,00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191487,00</w:t>
            </w:r>
          </w:p>
        </w:tc>
        <w:tc>
          <w:tcPr>
            <w:tcW w:w="1531" w:type="dxa"/>
          </w:tcPr>
          <w:p>
            <w:pPr>
              <w:pStyle w:val="0"/>
            </w:pPr>
            <w:r>
              <w:rPr>
                <w:sz w:val="20"/>
              </w:rPr>
              <w:t xml:space="preserve">107538,00</w:t>
            </w:r>
          </w:p>
        </w:tc>
        <w:tc>
          <w:tcPr>
            <w:tcW w:w="1474" w:type="dxa"/>
          </w:tcPr>
          <w:p>
            <w:pPr>
              <w:pStyle w:val="0"/>
            </w:pPr>
            <w:r>
              <w:rPr>
                <w:sz w:val="20"/>
              </w:rPr>
              <w:t xml:space="preserve">83949,00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pPr>
            <w:r>
              <w:rPr>
                <w:sz w:val="20"/>
              </w:rPr>
              <w:t xml:space="preserve">5.1</w:t>
            </w:r>
          </w:p>
        </w:tc>
        <w:tc>
          <w:tcPr>
            <w:tcW w:w="3345" w:type="dxa"/>
            <w:vMerge w:val="restart"/>
          </w:tcPr>
          <w:p>
            <w:pPr>
              <w:pStyle w:val="0"/>
            </w:pPr>
            <w:r>
              <w:rPr>
                <w:sz w:val="20"/>
              </w:rPr>
              <w:t xml:space="preserve">Мероприятие I5.01. Обеспечение деятельности некоммерческой организации "Фонд поддержки внешнеэкономической деятельности Московской области" в целях реализации мероприятий, направленных на цели координации поддержки экспортно ориентированных субъектов малого и среднего предпринимательства</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110148,00</w:t>
            </w:r>
          </w:p>
        </w:tc>
        <w:tc>
          <w:tcPr>
            <w:tcW w:w="1531" w:type="dxa"/>
          </w:tcPr>
          <w:p>
            <w:pPr>
              <w:pStyle w:val="0"/>
            </w:pPr>
            <w:r>
              <w:rPr>
                <w:sz w:val="20"/>
              </w:rPr>
              <w:t xml:space="preserve">57634,00</w:t>
            </w:r>
          </w:p>
        </w:tc>
        <w:tc>
          <w:tcPr>
            <w:tcW w:w="1474" w:type="dxa"/>
          </w:tcPr>
          <w:p>
            <w:pPr>
              <w:pStyle w:val="0"/>
            </w:pPr>
            <w:r>
              <w:rPr>
                <w:sz w:val="20"/>
              </w:rPr>
              <w:t xml:space="preserve">52514,00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27538,00</w:t>
            </w:r>
          </w:p>
        </w:tc>
        <w:tc>
          <w:tcPr>
            <w:tcW w:w="1531" w:type="dxa"/>
          </w:tcPr>
          <w:p>
            <w:pPr>
              <w:pStyle w:val="0"/>
            </w:pPr>
            <w:r>
              <w:rPr>
                <w:sz w:val="20"/>
              </w:rPr>
              <w:t xml:space="preserve">14409,00</w:t>
            </w:r>
          </w:p>
        </w:tc>
        <w:tc>
          <w:tcPr>
            <w:tcW w:w="1474" w:type="dxa"/>
          </w:tcPr>
          <w:p>
            <w:pPr>
              <w:pStyle w:val="0"/>
            </w:pPr>
            <w:r>
              <w:rPr>
                <w:sz w:val="20"/>
              </w:rPr>
              <w:t xml:space="preserve">13129,00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82610,00</w:t>
            </w:r>
          </w:p>
        </w:tc>
        <w:tc>
          <w:tcPr>
            <w:tcW w:w="1531" w:type="dxa"/>
          </w:tcPr>
          <w:p>
            <w:pPr>
              <w:pStyle w:val="0"/>
            </w:pPr>
            <w:r>
              <w:rPr>
                <w:sz w:val="20"/>
              </w:rPr>
              <w:t xml:space="preserve">43225,00</w:t>
            </w:r>
          </w:p>
        </w:tc>
        <w:tc>
          <w:tcPr>
            <w:tcW w:w="1474" w:type="dxa"/>
          </w:tcPr>
          <w:p>
            <w:pPr>
              <w:pStyle w:val="0"/>
            </w:pPr>
            <w:r>
              <w:rPr>
                <w:sz w:val="20"/>
              </w:rPr>
              <w:t xml:space="preserve">39385,00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tcW w:w="3345" w:type="dxa"/>
            <w:vMerge w:val="restart"/>
          </w:tcPr>
          <w:p>
            <w:pPr>
              <w:pStyle w:val="0"/>
            </w:pPr>
            <w:r>
              <w:rPr>
                <w:sz w:val="20"/>
              </w:rPr>
              <w:t xml:space="preserve">Результат 1.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105</w:t>
            </w:r>
          </w:p>
        </w:tc>
        <w:tc>
          <w:tcPr>
            <w:tcW w:w="1531" w:type="dxa"/>
          </w:tcPr>
          <w:p>
            <w:pPr>
              <w:pStyle w:val="0"/>
            </w:pPr>
            <w:r>
              <w:rPr>
                <w:sz w:val="20"/>
              </w:rPr>
              <w:t xml:space="preserve">55</w:t>
            </w:r>
          </w:p>
        </w:tc>
        <w:tc>
          <w:tcPr>
            <w:tcW w:w="1474" w:type="dxa"/>
          </w:tcPr>
          <w:p>
            <w:pPr>
              <w:pStyle w:val="0"/>
            </w:pPr>
            <w:r>
              <w:rPr>
                <w:sz w:val="20"/>
              </w:rPr>
              <w:t xml:space="preserve">50</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pPr>
            <w:r>
              <w:rPr>
                <w:sz w:val="20"/>
              </w:rPr>
              <w:t xml:space="preserve">5.2</w:t>
            </w:r>
          </w:p>
        </w:tc>
        <w:tc>
          <w:tcPr>
            <w:tcW w:w="3345" w:type="dxa"/>
            <w:vMerge w:val="restart"/>
          </w:tcPr>
          <w:p>
            <w:pPr>
              <w:pStyle w:val="0"/>
            </w:pPr>
            <w:r>
              <w:rPr>
                <w:sz w:val="20"/>
              </w:rPr>
              <w:t xml:space="preserve">Мероприятие I5.02. Обеспечение деятельности автономной некоммерческой организации "Агентство инвестиционного развития Московской области" в целях оказания комплекса услуг, сервисов и мер поддержки субъектам малого и среднего предпринимательства</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26332,00</w:t>
            </w:r>
          </w:p>
        </w:tc>
        <w:tc>
          <w:tcPr>
            <w:tcW w:w="1531" w:type="dxa"/>
          </w:tcPr>
          <w:p>
            <w:pPr>
              <w:pStyle w:val="0"/>
            </w:pPr>
            <w:r>
              <w:rPr>
                <w:sz w:val="20"/>
              </w:rPr>
              <w:t xml:space="preserve">26332,00</w:t>
            </w:r>
          </w:p>
        </w:tc>
        <w:tc>
          <w:tcPr>
            <w:tcW w:w="1474" w:type="dxa"/>
          </w:tcPr>
          <w:p>
            <w:pPr>
              <w:pStyle w:val="0"/>
            </w:pPr>
            <w:r>
              <w:rPr>
                <w:sz w:val="20"/>
              </w:rPr>
              <w:t xml:space="preserve">-</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6583,00</w:t>
            </w:r>
          </w:p>
        </w:tc>
        <w:tc>
          <w:tcPr>
            <w:tcW w:w="1531" w:type="dxa"/>
          </w:tcPr>
          <w:p>
            <w:pPr>
              <w:pStyle w:val="0"/>
            </w:pPr>
            <w:r>
              <w:rPr>
                <w:sz w:val="20"/>
              </w:rPr>
              <w:t xml:space="preserve">6583,00</w:t>
            </w:r>
          </w:p>
        </w:tc>
        <w:tc>
          <w:tcPr>
            <w:tcW w:w="1474" w:type="dxa"/>
          </w:tcPr>
          <w:p>
            <w:pPr>
              <w:pStyle w:val="0"/>
            </w:pPr>
            <w:r>
              <w:rPr>
                <w:sz w:val="20"/>
              </w:rPr>
              <w:t xml:space="preserve">-</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19749,00</w:t>
            </w:r>
          </w:p>
        </w:tc>
        <w:tc>
          <w:tcPr>
            <w:tcW w:w="1531" w:type="dxa"/>
          </w:tcPr>
          <w:p>
            <w:pPr>
              <w:pStyle w:val="0"/>
            </w:pPr>
            <w:r>
              <w:rPr>
                <w:sz w:val="20"/>
              </w:rPr>
              <w:t xml:space="preserve">19749,00</w:t>
            </w:r>
          </w:p>
        </w:tc>
        <w:tc>
          <w:tcPr>
            <w:tcW w:w="1474" w:type="dxa"/>
          </w:tcPr>
          <w:p>
            <w:pPr>
              <w:pStyle w:val="0"/>
            </w:pPr>
            <w:r>
              <w:rPr>
                <w:sz w:val="20"/>
              </w:rPr>
              <w:t xml:space="preserve">-</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tcW w:w="3345" w:type="dxa"/>
            <w:vMerge w:val="restart"/>
          </w:tcPr>
          <w:p>
            <w:pPr>
              <w:pStyle w:val="0"/>
            </w:pPr>
            <w:r>
              <w:rPr>
                <w:sz w:val="20"/>
              </w:rPr>
              <w:t xml:space="preserve">Результат 1.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 получивших комплексные услуги), тыс. единиц</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9,017</w:t>
            </w:r>
          </w:p>
        </w:tc>
        <w:tc>
          <w:tcPr>
            <w:tcW w:w="1531" w:type="dxa"/>
          </w:tcPr>
          <w:p>
            <w:pPr>
              <w:pStyle w:val="0"/>
            </w:pPr>
            <w:r>
              <w:rPr>
                <w:sz w:val="20"/>
              </w:rPr>
              <w:t xml:space="preserve">4,099</w:t>
            </w:r>
          </w:p>
        </w:tc>
        <w:tc>
          <w:tcPr>
            <w:tcW w:w="1474" w:type="dxa"/>
          </w:tcPr>
          <w:p>
            <w:pPr>
              <w:pStyle w:val="0"/>
            </w:pPr>
            <w:r>
              <w:rPr>
                <w:sz w:val="20"/>
              </w:rPr>
              <w:t xml:space="preserve">4,918</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tcW w:w="680" w:type="dxa"/>
            <w:vMerge w:val="restart"/>
          </w:tcPr>
          <w:p>
            <w:pPr>
              <w:pStyle w:val="0"/>
            </w:pPr>
            <w:r>
              <w:rPr>
                <w:sz w:val="20"/>
              </w:rPr>
              <w:t xml:space="preserve">5.3</w:t>
            </w:r>
          </w:p>
        </w:tc>
        <w:tc>
          <w:tcPr>
            <w:tcW w:w="3345" w:type="dxa"/>
            <w:vMerge w:val="restart"/>
          </w:tcPr>
          <w:p>
            <w:pPr>
              <w:pStyle w:val="0"/>
            </w:pPr>
            <w:r>
              <w:rPr>
                <w:sz w:val="20"/>
              </w:rPr>
              <w:t xml:space="preserve">Мероприятие I5.03.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w:t>
            </w:r>
          </w:p>
        </w:tc>
        <w:tc>
          <w:tcPr>
            <w:tcW w:w="1361" w:type="dxa"/>
            <w:vMerge w:val="restart"/>
          </w:tcPr>
          <w:p>
            <w:pPr>
              <w:pStyle w:val="0"/>
            </w:pPr>
            <w:r>
              <w:rPr>
                <w:sz w:val="20"/>
              </w:rPr>
              <w:t xml:space="preserve">2023-2024</w:t>
            </w:r>
          </w:p>
        </w:tc>
        <w:tc>
          <w:tcPr>
            <w:tcW w:w="1587" w:type="dxa"/>
          </w:tcPr>
          <w:p>
            <w:pPr>
              <w:pStyle w:val="0"/>
            </w:pPr>
            <w:r>
              <w:rPr>
                <w:sz w:val="20"/>
              </w:rPr>
              <w:t xml:space="preserve">Итого:</w:t>
            </w:r>
          </w:p>
        </w:tc>
        <w:tc>
          <w:tcPr>
            <w:tcW w:w="1644" w:type="dxa"/>
          </w:tcPr>
          <w:p>
            <w:pPr>
              <w:pStyle w:val="0"/>
            </w:pPr>
            <w:r>
              <w:rPr>
                <w:sz w:val="20"/>
              </w:rPr>
              <w:t xml:space="preserve">118838,00</w:t>
            </w:r>
          </w:p>
        </w:tc>
        <w:tc>
          <w:tcPr>
            <w:tcW w:w="1531" w:type="dxa"/>
          </w:tcPr>
          <w:p>
            <w:pPr>
              <w:pStyle w:val="0"/>
            </w:pPr>
            <w:r>
              <w:rPr>
                <w:sz w:val="20"/>
              </w:rPr>
              <w:t xml:space="preserve">59419,00</w:t>
            </w:r>
          </w:p>
        </w:tc>
        <w:tc>
          <w:tcPr>
            <w:tcW w:w="1474" w:type="dxa"/>
          </w:tcPr>
          <w:p>
            <w:pPr>
              <w:pStyle w:val="0"/>
            </w:pPr>
            <w:r>
              <w:rPr>
                <w:sz w:val="20"/>
              </w:rPr>
              <w:t xml:space="preserve">59419,00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tcW w:w="1531"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29710,00</w:t>
            </w:r>
          </w:p>
        </w:tc>
        <w:tc>
          <w:tcPr>
            <w:tcW w:w="1531" w:type="dxa"/>
          </w:tcPr>
          <w:p>
            <w:pPr>
              <w:pStyle w:val="0"/>
            </w:pPr>
            <w:r>
              <w:rPr>
                <w:sz w:val="20"/>
              </w:rPr>
              <w:t xml:space="preserve">14855,00</w:t>
            </w:r>
          </w:p>
        </w:tc>
        <w:tc>
          <w:tcPr>
            <w:tcW w:w="1474" w:type="dxa"/>
          </w:tcPr>
          <w:p>
            <w:pPr>
              <w:pStyle w:val="0"/>
            </w:pPr>
            <w:r>
              <w:rPr>
                <w:sz w:val="20"/>
              </w:rPr>
              <w:t xml:space="preserve">14855,00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587" w:type="dxa"/>
          </w:tcPr>
          <w:p>
            <w:pPr>
              <w:pStyle w:val="0"/>
            </w:pPr>
            <w:r>
              <w:rPr>
                <w:sz w:val="20"/>
              </w:rPr>
              <w:t xml:space="preserve">Средства федерального бюджета</w:t>
            </w:r>
          </w:p>
        </w:tc>
        <w:tc>
          <w:tcPr>
            <w:tcW w:w="1644" w:type="dxa"/>
          </w:tcPr>
          <w:p>
            <w:pPr>
              <w:pStyle w:val="0"/>
            </w:pPr>
            <w:r>
              <w:rPr>
                <w:sz w:val="20"/>
              </w:rPr>
              <w:t xml:space="preserve">89128,00</w:t>
            </w:r>
          </w:p>
        </w:tc>
        <w:tc>
          <w:tcPr>
            <w:tcW w:w="1531" w:type="dxa"/>
          </w:tcPr>
          <w:p>
            <w:pPr>
              <w:pStyle w:val="0"/>
            </w:pPr>
            <w:r>
              <w:rPr>
                <w:sz w:val="20"/>
              </w:rPr>
              <w:t xml:space="preserve">44564,00</w:t>
            </w:r>
          </w:p>
        </w:tc>
        <w:tc>
          <w:tcPr>
            <w:tcW w:w="1474" w:type="dxa"/>
          </w:tcPr>
          <w:p>
            <w:pPr>
              <w:pStyle w:val="0"/>
            </w:pPr>
            <w:r>
              <w:rPr>
                <w:sz w:val="20"/>
              </w:rPr>
              <w:t xml:space="preserve">44564,00</w:t>
            </w:r>
          </w:p>
        </w:tc>
        <w:tc>
          <w:tcPr>
            <w:gridSpan w:val="5"/>
            <w:tcW w:w="5295"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vMerge w:val="continue"/>
          </w:tcPr>
          <w:p/>
        </w:tc>
        <w:tc>
          <w:tcPr>
            <w:tcW w:w="3345" w:type="dxa"/>
            <w:vMerge w:val="restart"/>
          </w:tcPr>
          <w:p>
            <w:pPr>
              <w:pStyle w:val="0"/>
            </w:pPr>
            <w:r>
              <w:rPr>
                <w:sz w:val="20"/>
              </w:rPr>
              <w:t xml:space="preserve">Результат 1. Субъектами малого и среднего предпринимательства обеспечено привлечение финансирования за счет поручительств (независимых гарантий) региональных гарантийных организаций, млн рублей</w:t>
            </w:r>
          </w:p>
        </w:tc>
        <w:tc>
          <w:tcPr>
            <w:tcW w:w="1361" w:type="dxa"/>
            <w:vMerge w:val="restart"/>
          </w:tcPr>
          <w:p>
            <w:pPr>
              <w:pStyle w:val="0"/>
            </w:pPr>
            <w:r>
              <w:rPr>
                <w:sz w:val="20"/>
              </w:rPr>
              <w:t xml:space="preserve">Х</w:t>
            </w:r>
          </w:p>
        </w:tc>
        <w:tc>
          <w:tcPr>
            <w:tcW w:w="1587" w:type="dxa"/>
            <w:vMerge w:val="restart"/>
          </w:tcPr>
          <w:p>
            <w:pPr>
              <w:pStyle w:val="0"/>
            </w:pPr>
            <w:r>
              <w:rPr>
                <w:sz w:val="20"/>
              </w:rPr>
              <w:t xml:space="preserve">Х</w:t>
            </w:r>
          </w:p>
        </w:tc>
        <w:tc>
          <w:tcPr>
            <w:tcW w:w="1644" w:type="dxa"/>
            <w:vMerge w:val="restart"/>
          </w:tcPr>
          <w:p>
            <w:pPr>
              <w:pStyle w:val="0"/>
            </w:pPr>
            <w:r>
              <w:rPr>
                <w:sz w:val="20"/>
              </w:rPr>
              <w:t xml:space="preserve">Всего</w:t>
            </w:r>
          </w:p>
        </w:tc>
        <w:tc>
          <w:tcPr>
            <w:tcW w:w="1531" w:type="dxa"/>
            <w:vMerge w:val="restart"/>
          </w:tcPr>
          <w:p>
            <w:pPr>
              <w:pStyle w:val="0"/>
            </w:pPr>
            <w:r>
              <w:rPr>
                <w:sz w:val="20"/>
              </w:rPr>
              <w:t xml:space="preserve">2023 год</w:t>
            </w:r>
          </w:p>
        </w:tc>
        <w:tc>
          <w:tcPr>
            <w:tcW w:w="1474"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4275" w:type="dxa"/>
          </w:tcPr>
          <w:p>
            <w:pPr>
              <w:pStyle w:val="0"/>
            </w:pPr>
            <w:r>
              <w:rPr>
                <w:sz w:val="20"/>
              </w:rPr>
              <w:t xml:space="preserve">В том числе:</w:t>
            </w:r>
          </w:p>
        </w:tc>
        <w:tc>
          <w:tcPr>
            <w:tcW w:w="1531" w:type="dxa"/>
            <w:vMerge w:val="restart"/>
          </w:tcPr>
          <w:p>
            <w:pPr>
              <w:pStyle w:val="0"/>
            </w:pPr>
            <w:r>
              <w:rPr>
                <w:sz w:val="20"/>
              </w:rPr>
              <w:t xml:space="preserve">2026 год</w:t>
            </w:r>
          </w:p>
        </w:tc>
        <w:tc>
          <w:tcPr>
            <w:tcW w:w="1531" w:type="dxa"/>
            <w:vMerge w:val="restart"/>
          </w:tcPr>
          <w:p>
            <w:pPr>
              <w:pStyle w:val="0"/>
            </w:pPr>
            <w:r>
              <w:rPr>
                <w:sz w:val="20"/>
              </w:rPr>
              <w:t xml:space="preserve">2027 год</w:t>
            </w:r>
          </w:p>
        </w:tc>
        <w:tc>
          <w:tcPr>
            <w:tcW w:w="1531"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68" w:type="dxa"/>
          </w:tcPr>
          <w:p>
            <w:pPr>
              <w:pStyle w:val="0"/>
            </w:pPr>
            <w:r>
              <w:rPr>
                <w:sz w:val="20"/>
              </w:rPr>
              <w:t xml:space="preserve">1 квартал</w:t>
            </w:r>
          </w:p>
        </w:tc>
        <w:tc>
          <w:tcPr>
            <w:tcW w:w="1068" w:type="dxa"/>
          </w:tcPr>
          <w:p>
            <w:pPr>
              <w:pStyle w:val="0"/>
            </w:pPr>
            <w:r>
              <w:rPr>
                <w:sz w:val="20"/>
              </w:rPr>
              <w:t xml:space="preserve">1 полугодие</w:t>
            </w:r>
          </w:p>
        </w:tc>
        <w:tc>
          <w:tcPr>
            <w:tcW w:w="1068" w:type="dxa"/>
          </w:tcPr>
          <w:p>
            <w:pPr>
              <w:pStyle w:val="0"/>
            </w:pPr>
            <w:r>
              <w:rPr>
                <w:sz w:val="20"/>
              </w:rPr>
              <w:t xml:space="preserve">9 месяцев</w:t>
            </w:r>
          </w:p>
        </w:tc>
        <w:tc>
          <w:tcPr>
            <w:tcW w:w="1071"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14716,5772</w:t>
            </w:r>
          </w:p>
        </w:tc>
        <w:tc>
          <w:tcPr>
            <w:tcW w:w="1531" w:type="dxa"/>
          </w:tcPr>
          <w:p>
            <w:pPr>
              <w:pStyle w:val="0"/>
            </w:pPr>
            <w:r>
              <w:rPr>
                <w:sz w:val="20"/>
              </w:rPr>
              <w:t xml:space="preserve">6648,7415</w:t>
            </w:r>
          </w:p>
        </w:tc>
        <w:tc>
          <w:tcPr>
            <w:tcW w:w="1474" w:type="dxa"/>
          </w:tcPr>
          <w:p>
            <w:pPr>
              <w:pStyle w:val="0"/>
            </w:pPr>
            <w:r>
              <w:rPr>
                <w:sz w:val="20"/>
              </w:rPr>
              <w:t xml:space="preserve">8067,8357</w:t>
            </w:r>
          </w:p>
        </w:tc>
        <w:tc>
          <w:tcPr>
            <w:tcW w:w="1020"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68" w:type="dxa"/>
          </w:tcPr>
          <w:p>
            <w:pPr>
              <w:pStyle w:val="0"/>
            </w:pPr>
            <w:r>
              <w:rPr>
                <w:sz w:val="20"/>
              </w:rPr>
              <w:t xml:space="preserve">-</w:t>
            </w:r>
          </w:p>
        </w:tc>
        <w:tc>
          <w:tcPr>
            <w:tcW w:w="1071" w:type="dxa"/>
          </w:tcPr>
          <w:p>
            <w:pPr>
              <w:pStyle w:val="0"/>
            </w:pPr>
            <w:r>
              <w:rPr>
                <w:sz w:val="20"/>
              </w:rPr>
              <w:t xml:space="preserve">-</w:t>
            </w:r>
          </w:p>
        </w:tc>
        <w:tc>
          <w:tcPr>
            <w:tcW w:w="1531" w:type="dxa"/>
          </w:tcPr>
          <w:p>
            <w:pPr>
              <w:pStyle w:val="0"/>
            </w:pPr>
            <w:r>
              <w:rPr>
                <w:sz w:val="20"/>
              </w:rPr>
              <w:t xml:space="preserve">-</w:t>
            </w:r>
          </w:p>
        </w:tc>
        <w:tc>
          <w:tcPr>
            <w:tcW w:w="1531" w:type="dxa"/>
          </w:tcPr>
          <w:p>
            <w:pPr>
              <w:pStyle w:val="0"/>
            </w:pPr>
            <w:r>
              <w:rPr>
                <w:sz w:val="20"/>
              </w:rPr>
              <w:t xml:space="preserve">-</w:t>
            </w:r>
          </w:p>
        </w:tc>
        <w:tc>
          <w:tcPr>
            <w:vMerge w:val="continue"/>
          </w:tcPr>
          <w:p/>
        </w:tc>
      </w:tr>
      <w:tr>
        <w:tc>
          <w:tcPr>
            <w:gridSpan w:val="3"/>
            <w:tcW w:w="5386" w:type="dxa"/>
            <w:tcBorders>
              <w:bottom w:val="nil"/>
            </w:tcBorders>
            <w:vMerge w:val="restart"/>
          </w:tcPr>
          <w:p>
            <w:pPr>
              <w:pStyle w:val="0"/>
            </w:pPr>
            <w:r>
              <w:rPr>
                <w:sz w:val="20"/>
              </w:rPr>
              <w:t xml:space="preserve">Итого по подпрограмме</w:t>
            </w:r>
          </w:p>
        </w:tc>
        <w:tc>
          <w:tcPr>
            <w:tcW w:w="1587" w:type="dxa"/>
          </w:tcPr>
          <w:p>
            <w:pPr>
              <w:pStyle w:val="0"/>
            </w:pPr>
            <w:r>
              <w:rPr>
                <w:sz w:val="20"/>
              </w:rPr>
              <w:t xml:space="preserve">Итого:</w:t>
            </w:r>
          </w:p>
        </w:tc>
        <w:tc>
          <w:tcPr>
            <w:tcW w:w="1644" w:type="dxa"/>
          </w:tcPr>
          <w:p>
            <w:pPr>
              <w:pStyle w:val="0"/>
            </w:pPr>
            <w:r>
              <w:rPr>
                <w:sz w:val="20"/>
              </w:rPr>
              <w:t xml:space="preserve">12836680,00</w:t>
            </w:r>
          </w:p>
        </w:tc>
        <w:tc>
          <w:tcPr>
            <w:tcW w:w="1531" w:type="dxa"/>
          </w:tcPr>
          <w:p>
            <w:pPr>
              <w:pStyle w:val="0"/>
            </w:pPr>
            <w:r>
              <w:rPr>
                <w:sz w:val="20"/>
              </w:rPr>
              <w:t xml:space="preserve">2138926,00</w:t>
            </w:r>
          </w:p>
        </w:tc>
        <w:tc>
          <w:tcPr>
            <w:tcW w:w="1474" w:type="dxa"/>
          </w:tcPr>
          <w:p>
            <w:pPr>
              <w:pStyle w:val="0"/>
            </w:pPr>
            <w:r>
              <w:rPr>
                <w:sz w:val="20"/>
              </w:rPr>
              <w:t xml:space="preserve">2243754,00</w:t>
            </w:r>
          </w:p>
        </w:tc>
        <w:tc>
          <w:tcPr>
            <w:gridSpan w:val="5"/>
            <w:tcW w:w="5295" w:type="dxa"/>
          </w:tcPr>
          <w:p>
            <w:pPr>
              <w:pStyle w:val="0"/>
            </w:pPr>
            <w:r>
              <w:rPr>
                <w:sz w:val="20"/>
              </w:rPr>
              <w:t xml:space="preserve">2818000,00</w:t>
            </w:r>
          </w:p>
        </w:tc>
        <w:tc>
          <w:tcPr>
            <w:tcW w:w="1531" w:type="dxa"/>
          </w:tcPr>
          <w:p>
            <w:pPr>
              <w:pStyle w:val="0"/>
            </w:pPr>
            <w:r>
              <w:rPr>
                <w:sz w:val="20"/>
              </w:rPr>
              <w:t xml:space="preserve">2818000,00</w:t>
            </w:r>
          </w:p>
        </w:tc>
        <w:tc>
          <w:tcPr>
            <w:tcW w:w="1531" w:type="dxa"/>
          </w:tcPr>
          <w:p>
            <w:pPr>
              <w:pStyle w:val="0"/>
            </w:pPr>
            <w:r>
              <w:rPr>
                <w:sz w:val="20"/>
              </w:rPr>
              <w:t xml:space="preserve">2818000,00</w:t>
            </w:r>
          </w:p>
        </w:tc>
        <w:tc>
          <w:tcPr>
            <w:tcW w:w="1531" w:type="dxa"/>
            <w:tcBorders>
              <w:bottom w:val="nil"/>
            </w:tcBorders>
            <w:vMerge w:val="restart"/>
          </w:tcPr>
          <w:p>
            <w:pPr>
              <w:pStyle w:val="0"/>
            </w:pPr>
            <w:r>
              <w:rPr>
                <w:sz w:val="20"/>
              </w:rPr>
              <w:t xml:space="preserve">Х</w:t>
            </w:r>
          </w:p>
        </w:tc>
      </w:tr>
      <w:tr>
        <w:tc>
          <w:tcPr>
            <w:gridSpan w:val="3"/>
            <w:tcBorders>
              <w:bottom w:val="nil"/>
            </w:tcBorders>
            <w:vMerge w:val="continue"/>
          </w:tcPr>
          <w:p/>
        </w:tc>
        <w:tc>
          <w:tcPr>
            <w:tcW w:w="1587" w:type="dxa"/>
          </w:tcPr>
          <w:p>
            <w:pPr>
              <w:pStyle w:val="0"/>
            </w:pPr>
            <w:r>
              <w:rPr>
                <w:sz w:val="20"/>
              </w:rPr>
              <w:t xml:space="preserve">Средства бюджета Московской области</w:t>
            </w:r>
          </w:p>
        </w:tc>
        <w:tc>
          <w:tcPr>
            <w:tcW w:w="1644" w:type="dxa"/>
          </w:tcPr>
          <w:p>
            <w:pPr>
              <w:pStyle w:val="0"/>
            </w:pPr>
            <w:r>
              <w:rPr>
                <w:sz w:val="20"/>
              </w:rPr>
              <w:t xml:space="preserve">12239705,00</w:t>
            </w:r>
          </w:p>
        </w:tc>
        <w:tc>
          <w:tcPr>
            <w:tcW w:w="1531" w:type="dxa"/>
          </w:tcPr>
          <w:p>
            <w:pPr>
              <w:pStyle w:val="0"/>
            </w:pPr>
            <w:r>
              <w:rPr>
                <w:sz w:val="20"/>
              </w:rPr>
              <w:t xml:space="preserve">1751233,00</w:t>
            </w:r>
          </w:p>
        </w:tc>
        <w:tc>
          <w:tcPr>
            <w:tcW w:w="1474" w:type="dxa"/>
          </w:tcPr>
          <w:p>
            <w:pPr>
              <w:pStyle w:val="0"/>
            </w:pPr>
            <w:r>
              <w:rPr>
                <w:sz w:val="20"/>
              </w:rPr>
              <w:t xml:space="preserve">2034472,00</w:t>
            </w:r>
          </w:p>
        </w:tc>
        <w:tc>
          <w:tcPr>
            <w:gridSpan w:val="5"/>
            <w:tcW w:w="5295" w:type="dxa"/>
          </w:tcPr>
          <w:p>
            <w:pPr>
              <w:pStyle w:val="0"/>
            </w:pPr>
            <w:r>
              <w:rPr>
                <w:sz w:val="20"/>
              </w:rPr>
              <w:t xml:space="preserve">2818000,00</w:t>
            </w:r>
          </w:p>
        </w:tc>
        <w:tc>
          <w:tcPr>
            <w:tcW w:w="1531" w:type="dxa"/>
          </w:tcPr>
          <w:p>
            <w:pPr>
              <w:pStyle w:val="0"/>
            </w:pPr>
            <w:r>
              <w:rPr>
                <w:sz w:val="20"/>
              </w:rPr>
              <w:t xml:space="preserve">2818000,00</w:t>
            </w:r>
          </w:p>
        </w:tc>
        <w:tc>
          <w:tcPr>
            <w:tcW w:w="1531" w:type="dxa"/>
          </w:tcPr>
          <w:p>
            <w:pPr>
              <w:pStyle w:val="0"/>
            </w:pPr>
            <w:r>
              <w:rPr>
                <w:sz w:val="20"/>
              </w:rPr>
              <w:t xml:space="preserve">2818000,00</w:t>
            </w:r>
          </w:p>
        </w:tc>
        <w:tc>
          <w:tcPr>
            <w:tcBorders>
              <w:bottom w:val="nil"/>
            </w:tcBorders>
            <w:vMerge w:val="continue"/>
          </w:tcPr>
          <w:p/>
        </w:tc>
      </w:tr>
      <w:tr>
        <w:tblPrEx>
          <w:tblBorders>
            <w:insideH w:val="nil"/>
          </w:tblBorders>
        </w:tblPrEx>
        <w:tc>
          <w:tcPr>
            <w:gridSpan w:val="3"/>
            <w:tcBorders>
              <w:bottom w:val="nil"/>
            </w:tcBorders>
            <w:vMerge w:val="continue"/>
          </w:tcPr>
          <w:p/>
        </w:tc>
        <w:tc>
          <w:tcPr>
            <w:tcW w:w="1587" w:type="dxa"/>
            <w:tcBorders>
              <w:bottom w:val="nil"/>
            </w:tcBorders>
          </w:tcPr>
          <w:p>
            <w:pPr>
              <w:pStyle w:val="0"/>
            </w:pPr>
            <w:r>
              <w:rPr>
                <w:sz w:val="20"/>
              </w:rPr>
              <w:t xml:space="preserve">Средства федерального бюджета</w:t>
            </w:r>
          </w:p>
        </w:tc>
        <w:tc>
          <w:tcPr>
            <w:tcW w:w="1644" w:type="dxa"/>
            <w:tcBorders>
              <w:bottom w:val="nil"/>
            </w:tcBorders>
          </w:tcPr>
          <w:p>
            <w:pPr>
              <w:pStyle w:val="0"/>
            </w:pPr>
            <w:r>
              <w:rPr>
                <w:sz w:val="20"/>
              </w:rPr>
              <w:t xml:space="preserve">596975,00</w:t>
            </w:r>
          </w:p>
        </w:tc>
        <w:tc>
          <w:tcPr>
            <w:tcW w:w="1531" w:type="dxa"/>
            <w:tcBorders>
              <w:bottom w:val="nil"/>
            </w:tcBorders>
          </w:tcPr>
          <w:p>
            <w:pPr>
              <w:pStyle w:val="0"/>
            </w:pPr>
            <w:r>
              <w:rPr>
                <w:sz w:val="20"/>
              </w:rPr>
              <w:t xml:space="preserve">387693,00</w:t>
            </w:r>
          </w:p>
        </w:tc>
        <w:tc>
          <w:tcPr>
            <w:tcW w:w="1474" w:type="dxa"/>
            <w:tcBorders>
              <w:bottom w:val="nil"/>
            </w:tcBorders>
          </w:tcPr>
          <w:p>
            <w:pPr>
              <w:pStyle w:val="0"/>
            </w:pPr>
            <w:r>
              <w:rPr>
                <w:sz w:val="20"/>
              </w:rPr>
              <w:t xml:space="preserve">209282,00</w:t>
            </w:r>
          </w:p>
        </w:tc>
        <w:tc>
          <w:tcPr>
            <w:gridSpan w:val="5"/>
            <w:tcW w:w="5295" w:type="dxa"/>
            <w:tcBorders>
              <w:bottom w:val="nil"/>
            </w:tcBorders>
          </w:tcPr>
          <w:p>
            <w:pPr>
              <w:pStyle w:val="0"/>
            </w:pPr>
            <w:r>
              <w:rPr>
                <w:sz w:val="20"/>
              </w:rPr>
              <w:t xml:space="preserve">-</w:t>
            </w:r>
          </w:p>
        </w:tc>
        <w:tc>
          <w:tcPr>
            <w:tcW w:w="1531" w:type="dxa"/>
            <w:tcBorders>
              <w:bottom w:val="nil"/>
            </w:tcBorders>
          </w:tcPr>
          <w:p>
            <w:pPr>
              <w:pStyle w:val="0"/>
            </w:pPr>
            <w:r>
              <w:rPr>
                <w:sz w:val="20"/>
              </w:rPr>
              <w:t xml:space="preserve">-</w:t>
            </w:r>
          </w:p>
        </w:tc>
        <w:tc>
          <w:tcPr>
            <w:tcW w:w="1531" w:type="dxa"/>
            <w:tcBorders>
              <w:bottom w:val="nil"/>
            </w:tcBorders>
          </w:tcPr>
          <w:p>
            <w:pPr>
              <w:pStyle w:val="0"/>
            </w:pPr>
            <w:r>
              <w:rPr>
                <w:sz w:val="20"/>
              </w:rPr>
              <w:t xml:space="preserve">-</w:t>
            </w:r>
          </w:p>
        </w:tc>
        <w:tc>
          <w:tcPr>
            <w:tcBorders>
              <w:bottom w:val="nil"/>
            </w:tcBorders>
            <w:vMerge w:val="continue"/>
          </w:tcPr>
          <w:p/>
        </w:tc>
      </w:tr>
      <w:tr>
        <w:tblPrEx>
          <w:tblBorders>
            <w:insideH w:val="nil"/>
          </w:tblBorders>
        </w:tblPrEx>
        <w:tc>
          <w:tcPr>
            <w:gridSpan w:val="15"/>
            <w:tcW w:w="21510" w:type="dxa"/>
            <w:tcBorders>
              <w:top w:val="nil"/>
            </w:tcBorders>
          </w:tcPr>
          <w:p>
            <w:pPr>
              <w:pStyle w:val="0"/>
              <w:jc w:val="both"/>
            </w:pPr>
            <w:r>
              <w:rPr>
                <w:sz w:val="20"/>
              </w:rPr>
              <w:t xml:space="preserve">(в ред. </w:t>
            </w:r>
            <w:hyperlink w:history="0" r:id="rId576"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 от 25.12.2024 N 1684-ПП)</w:t>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Сноска утратила силу. - </w:t>
      </w:r>
      <w:hyperlink w:history="0" r:id="rId57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w:t>
        </w:r>
      </w:hyperlink>
      <w:r>
        <w:rPr>
          <w:sz w:val="20"/>
        </w:rPr>
        <w:t xml:space="preserve"> Правительства МО от 25.12.2024 N 1684-ПП.</w:t>
      </w:r>
    </w:p>
    <w:bookmarkStart w:id="13518" w:name="P13518"/>
    <w:bookmarkEnd w:id="13518"/>
    <w:p>
      <w:pPr>
        <w:pStyle w:val="0"/>
        <w:spacing w:before="200" w:line-rule="auto"/>
        <w:ind w:firstLine="540"/>
        <w:jc w:val="both"/>
      </w:pPr>
      <w:r>
        <w:rPr>
          <w:sz w:val="20"/>
        </w:rPr>
        <w:t xml:space="preserve">&lt;2&gt; Значения результата реализации мероприятия (предоставления субсидии) учитывают его значение на 2022 год в соответствии с Соглашением о реализации регионального проекта "Создание условий для легкого старта и комфортного ведения бизнеса" на территории Московской области от 29.01.2019 N 139-2019-140078-1 и дополнительными соглашениями к указанному Соглашению.</w:t>
      </w:r>
    </w:p>
    <w:p>
      <w:pPr>
        <w:pStyle w:val="0"/>
        <w:jc w:val="both"/>
      </w:pPr>
      <w:r>
        <w:rPr>
          <w:sz w:val="20"/>
        </w:rPr>
      </w:r>
    </w:p>
    <w:p>
      <w:pPr>
        <w:pStyle w:val="2"/>
        <w:outlineLvl w:val="2"/>
        <w:jc w:val="center"/>
      </w:pPr>
      <w:r>
        <w:rPr>
          <w:sz w:val="20"/>
        </w:rPr>
        <w:t xml:space="preserve">7.2. Порядки предоставления субсидий из бюджета Московской</w:t>
      </w:r>
    </w:p>
    <w:p>
      <w:pPr>
        <w:pStyle w:val="2"/>
        <w:jc w:val="center"/>
      </w:pPr>
      <w:r>
        <w:rPr>
          <w:sz w:val="20"/>
        </w:rPr>
        <w:t xml:space="preserve">области юридическим лицам (за исключением государственных</w:t>
      </w:r>
    </w:p>
    <w:p>
      <w:pPr>
        <w:pStyle w:val="2"/>
        <w:jc w:val="center"/>
      </w:pPr>
      <w:r>
        <w:rPr>
          <w:sz w:val="20"/>
        </w:rPr>
        <w:t xml:space="preserve">(муниципальных) учреждений), индивидуальным</w:t>
      </w:r>
    </w:p>
    <w:p>
      <w:pPr>
        <w:pStyle w:val="2"/>
        <w:jc w:val="center"/>
      </w:pPr>
      <w:r>
        <w:rPr>
          <w:sz w:val="20"/>
        </w:rPr>
        <w:t xml:space="preserve">предпринимателям,</w:t>
      </w:r>
    </w:p>
    <w:p>
      <w:pPr>
        <w:pStyle w:val="2"/>
        <w:jc w:val="center"/>
      </w:pPr>
      <w:r>
        <w:rPr>
          <w:sz w:val="20"/>
        </w:rPr>
        <w:t xml:space="preserve">физическим лицам - производителям товаров, работ, услуг</w:t>
      </w:r>
    </w:p>
    <w:p>
      <w:pPr>
        <w:pStyle w:val="0"/>
        <w:jc w:val="both"/>
      </w:pPr>
      <w:r>
        <w:rPr>
          <w:sz w:val="20"/>
        </w:rPr>
      </w:r>
    </w:p>
    <w:p>
      <w:pPr>
        <w:pStyle w:val="2"/>
        <w:outlineLvl w:val="3"/>
        <w:jc w:val="center"/>
      </w:pPr>
      <w:r>
        <w:rPr>
          <w:sz w:val="20"/>
        </w:rPr>
        <w:t xml:space="preserve">7.2.1.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 индивидуальным</w:t>
      </w:r>
    </w:p>
    <w:p>
      <w:pPr>
        <w:pStyle w:val="2"/>
        <w:jc w:val="center"/>
      </w:pPr>
      <w:r>
        <w:rPr>
          <w:sz w:val="20"/>
        </w:rPr>
        <w:t xml:space="preserve">предпринимателям на возмещение части затрат субъектов малого</w:t>
      </w:r>
    </w:p>
    <w:p>
      <w:pPr>
        <w:pStyle w:val="2"/>
        <w:jc w:val="center"/>
      </w:pPr>
      <w:r>
        <w:rPr>
          <w:sz w:val="20"/>
        </w:rPr>
        <w:t xml:space="preserve">и среднего предпринимательства, связанных с приобретением</w:t>
      </w:r>
    </w:p>
    <w:p>
      <w:pPr>
        <w:pStyle w:val="2"/>
        <w:jc w:val="center"/>
      </w:pPr>
      <w:r>
        <w:rPr>
          <w:sz w:val="20"/>
        </w:rPr>
        <w:t xml:space="preserve">оборудования в целях создания и (или) развития либо</w:t>
      </w:r>
    </w:p>
    <w:p>
      <w:pPr>
        <w:pStyle w:val="2"/>
        <w:jc w:val="center"/>
      </w:pPr>
      <w:r>
        <w:rPr>
          <w:sz w:val="20"/>
        </w:rPr>
        <w:t xml:space="preserve">модернизации производства товаров (работ, услуг) в рамках</w:t>
      </w:r>
    </w:p>
    <w:p>
      <w:pPr>
        <w:pStyle w:val="2"/>
        <w:jc w:val="center"/>
      </w:pPr>
      <w:r>
        <w:rPr>
          <w:sz w:val="20"/>
        </w:rPr>
        <w:t xml:space="preserve">реализации мероприятия 01.01 "Возмещение части затрат</w:t>
      </w:r>
    </w:p>
    <w:p>
      <w:pPr>
        <w:pStyle w:val="2"/>
        <w:jc w:val="center"/>
      </w:pPr>
      <w:r>
        <w:rPr>
          <w:sz w:val="20"/>
        </w:rPr>
        <w:t xml:space="preserve">субъектов малого и среднего предпринимательства, связанных</w:t>
      </w:r>
    </w:p>
    <w:p>
      <w:pPr>
        <w:pStyle w:val="2"/>
        <w:jc w:val="center"/>
      </w:pPr>
      <w:r>
        <w:rPr>
          <w:sz w:val="20"/>
        </w:rPr>
        <w:t xml:space="preserve">с приобретением оборудования в целях создания и (или)</w:t>
      </w:r>
    </w:p>
    <w:p>
      <w:pPr>
        <w:pStyle w:val="2"/>
        <w:jc w:val="center"/>
      </w:pPr>
      <w:r>
        <w:rPr>
          <w:sz w:val="20"/>
        </w:rPr>
        <w:t xml:space="preserve">развития либо модернизации производства товаров (работ,</w:t>
      </w:r>
    </w:p>
    <w:p>
      <w:pPr>
        <w:pStyle w:val="2"/>
        <w:jc w:val="center"/>
      </w:pPr>
      <w:r>
        <w:rPr>
          <w:sz w:val="20"/>
        </w:rPr>
        <w:t xml:space="preserve">услуг)" Подпрограммы 3 государственной программы</w:t>
      </w:r>
    </w:p>
    <w:p>
      <w:pPr>
        <w:pStyle w:val="0"/>
        <w:jc w:val="center"/>
      </w:pPr>
      <w:r>
        <w:rPr>
          <w:sz w:val="20"/>
        </w:rPr>
      </w:r>
    </w:p>
    <w:p>
      <w:pPr>
        <w:pStyle w:val="0"/>
        <w:jc w:val="center"/>
      </w:pPr>
      <w:r>
        <w:rPr>
          <w:sz w:val="20"/>
        </w:rPr>
        <w:t xml:space="preserve">(в ред. </w:t>
      </w:r>
      <w:hyperlink w:history="0" r:id="rId578"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 индивидуальным предпринимателям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рамках реализации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мероприятия 01.01</w:t>
        </w:r>
      </w:hyperlink>
      <w:r>
        <w:rPr>
          <w:sz w:val="20"/>
        </w:rPr>
        <w:t xml:space="preserve">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Подпрограммы 3 государственной программы (далее соответственно - Порядок, субсидия) разработан в соответствии со </w:t>
      </w:r>
      <w:hyperlink w:history="0" r:id="rId5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58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на соответствующий финансовый год и на плановый период и в пределах утвержденных лимитов бюджетных обязательств, а также лимитов бюджетных обязательств на предоставление субсидий, доведенных до Мининвеста Московской области.</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p>
      <w:pPr>
        <w:pStyle w:val="0"/>
        <w:spacing w:before="200" w:line-rule="auto"/>
        <w:ind w:firstLine="540"/>
        <w:jc w:val="both"/>
      </w:pPr>
      <w:r>
        <w:rPr>
          <w:sz w:val="20"/>
        </w:rPr>
        <w:t xml:space="preserve">5. Целью предоставления субсидии является возмещение части затрат, связанных с приобретением в собственность, 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330.32.50 согласно Общероссийскому </w:t>
      </w:r>
      <w:hyperlink w:history="0" r:id="rId581" w:tooltip="&quot;ОК 013-2014 (СНС 2008). Общероссийский классификатор основных фондов&quot; (принят и введен в действие Приказом Росстандарта от 12.12.2014 N 2018-ст) (ред. от 02.05.2024) {КонсультантПлюс}">
        <w:r>
          <w:rPr>
            <w:sz w:val="20"/>
            <w:color w:val="0000ff"/>
          </w:rPr>
          <w:t xml:space="preserve">классификатору</w:t>
        </w:r>
      </w:hyperlink>
      <w:r>
        <w:rPr>
          <w:sz w:val="20"/>
        </w:rPr>
        <w:t xml:space="preserve">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bookmarkStart w:id="13553" w:name="P13553"/>
    <w:bookmarkEnd w:id="13553"/>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Мининвеста Московской области и АНО "АИР" осуществляется с использованием документов в электронной форме в государственной информационной системе Московской области "Единая информационная система обеспечения выполнения государственных функций и предоставления государственных услуг в сферах аккредитации, лицензионной и разрешительной деятельности" (далее - ИС ЛОД).</w:t>
      </w:r>
    </w:p>
    <w:p>
      <w:pPr>
        <w:pStyle w:val="0"/>
        <w:spacing w:before="200" w:line-rule="auto"/>
        <w:ind w:firstLine="540"/>
        <w:jc w:val="both"/>
      </w:pPr>
      <w:r>
        <w:rPr>
          <w:sz w:val="20"/>
        </w:rPr>
        <w:t xml:space="preserve">8. Способ проведения отбора получателей субсидий - конкурс (далее - конкурс), проводимый Мининвестом Московской области с участием АНО "АИР".</w:t>
      </w:r>
    </w:p>
    <w:p>
      <w:pPr>
        <w:pStyle w:val="0"/>
        <w:spacing w:before="200" w:line-rule="auto"/>
        <w:ind w:firstLine="540"/>
        <w:jc w:val="both"/>
      </w:pPr>
      <w:r>
        <w:rPr>
          <w:sz w:val="20"/>
        </w:rPr>
        <w:t xml:space="preserve">Получатели субсидии определяются по результатам конкурса исходя из наилучших условий достижения результата предоставления субсидии.</w:t>
      </w:r>
    </w:p>
    <w:p>
      <w:pPr>
        <w:pStyle w:val="0"/>
        <w:spacing w:before="200" w:line-rule="auto"/>
        <w:ind w:firstLine="540"/>
        <w:jc w:val="both"/>
      </w:pPr>
      <w:r>
        <w:rPr>
          <w:sz w:val="20"/>
        </w:rPr>
        <w:t xml:space="preserve">Наилучшие условия достижения результата предоставления субсидии определяются исходя из критериев оценки заявок об участии в конкурсе, поданных участниками конкурса (далее - заявки).</w:t>
      </w:r>
    </w:p>
    <w:bookmarkStart w:id="13563" w:name="P13563"/>
    <w:bookmarkEnd w:id="13563"/>
    <w:p>
      <w:pPr>
        <w:pStyle w:val="0"/>
        <w:spacing w:before="200" w:line-rule="auto"/>
        <w:ind w:firstLine="540"/>
        <w:jc w:val="both"/>
      </w:pPr>
      <w:r>
        <w:rPr>
          <w:sz w:val="20"/>
        </w:rPr>
        <w:t xml:space="preserve">9. Категория получателей субсидии: юридические лица и индивидуальные предприниматели, являющиеся субъектами МСП в соответствии с Федеральным </w:t>
      </w:r>
      <w:hyperlink w:history="0" r:id="rId58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и состоящие в реестре субъектов МСП, за исключением категории субъектов МСП, указанной в </w:t>
      </w:r>
      <w:hyperlink w:history="0" r:id="rId58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пункте 4 части 5 статьи 14</w:t>
        </w:r>
      </w:hyperlink>
      <w:r>
        <w:rPr>
          <w:sz w:val="20"/>
        </w:rPr>
        <w:t xml:space="preserve"> Федерального закона N 209-ФЗ, зарегистрированные и осуществляющие деятельность на территории Московской области.</w:t>
      </w:r>
    </w:p>
    <w:p>
      <w:pPr>
        <w:pStyle w:val="0"/>
        <w:spacing w:before="200" w:line-rule="auto"/>
        <w:ind w:firstLine="540"/>
        <w:jc w:val="both"/>
      </w:pPr>
      <w:hyperlink w:history="0" w:anchor="P13871" w:tooltip="КРИТЕРИИ ОЦЕНКИ ЗАЯВОК, ПОДАВАЕМЫХ УЧАСТНИКАМИ КОНКУРСА">
        <w:r>
          <w:rPr>
            <w:sz w:val="20"/>
            <w:color w:val="0000ff"/>
          </w:rPr>
          <w:t xml:space="preserve">Критерии</w:t>
        </w:r>
      </w:hyperlink>
      <w:r>
        <w:rPr>
          <w:sz w:val="20"/>
        </w:rPr>
        <w:t xml:space="preserve"> оценки заявок и их весовое значение в общей оценке установлены в таблице 1 к Порядку.</w:t>
      </w:r>
    </w:p>
    <w:p>
      <w:pPr>
        <w:pStyle w:val="0"/>
        <w:spacing w:before="200" w:line-rule="auto"/>
        <w:ind w:firstLine="540"/>
        <w:jc w:val="both"/>
      </w:pPr>
      <w:r>
        <w:rPr>
          <w:sz w:val="20"/>
        </w:rPr>
        <w:t xml:space="preserve">Сумма величин значимости всех применяемых критериев оценки составляет 100 процентов.</w:t>
      </w:r>
    </w:p>
    <w:p>
      <w:pPr>
        <w:pStyle w:val="0"/>
        <w:spacing w:before="200" w:line-rule="auto"/>
        <w:ind w:firstLine="540"/>
        <w:jc w:val="both"/>
      </w:pPr>
      <w:r>
        <w:rPr>
          <w:sz w:val="20"/>
        </w:rPr>
        <w:t xml:space="preserve">Начисление баллов по критериям оценки осуществляется с использованием 100-балльной шкалы оценки.</w:t>
      </w:r>
    </w:p>
    <w:p>
      <w:pPr>
        <w:pStyle w:val="0"/>
        <w:spacing w:before="200" w:line-rule="auto"/>
        <w:ind w:firstLine="540"/>
        <w:jc w:val="both"/>
      </w:pPr>
      <w:r>
        <w:rPr>
          <w:sz w:val="20"/>
        </w:rPr>
        <w:t xml:space="preserve">Шкалы оценки по критериям оценки имеют конкретные значения.</w:t>
      </w:r>
    </w:p>
    <w:p>
      <w:pPr>
        <w:pStyle w:val="0"/>
        <w:spacing w:before="200" w:line-rule="auto"/>
        <w:ind w:firstLine="540"/>
        <w:jc w:val="both"/>
      </w:pPr>
      <w:r>
        <w:rPr>
          <w:sz w:val="20"/>
        </w:rPr>
        <w:t xml:space="preserve">10. В целях проведения конкурса Мининвест Московской области издает приказ об объявлении приема заявок на получение субсидии, в котором устанавливается:</w:t>
      </w:r>
    </w:p>
    <w:p>
      <w:pPr>
        <w:pStyle w:val="0"/>
        <w:spacing w:before="200" w:line-rule="auto"/>
        <w:ind w:firstLine="540"/>
        <w:jc w:val="both"/>
      </w:pPr>
      <w:r>
        <w:rPr>
          <w:sz w:val="20"/>
        </w:rPr>
        <w:t xml:space="preserve">даты и время начала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конкурса;</w:t>
      </w:r>
    </w:p>
    <w:p>
      <w:pPr>
        <w:pStyle w:val="0"/>
        <w:spacing w:before="200" w:line-rule="auto"/>
        <w:ind w:firstLine="540"/>
        <w:jc w:val="both"/>
      </w:pPr>
      <w:r>
        <w:rPr>
          <w:sz w:val="20"/>
        </w:rPr>
        <w:t xml:space="preserve">период возмещения затрат.</w:t>
      </w:r>
    </w:p>
    <w:p>
      <w:pPr>
        <w:pStyle w:val="0"/>
        <w:spacing w:before="200" w:line-rule="auto"/>
        <w:ind w:firstLine="540"/>
        <w:jc w:val="both"/>
      </w:pPr>
      <w:r>
        <w:rPr>
          <w:sz w:val="20"/>
        </w:rPr>
        <w:t xml:space="preserve">11. В целях проведения конкурса Мининвестом Московской области формируется объявление о проведении конкурса на бумажном носителе, которое подписывается руководителем Мининвеста Московской области или уполномоченным им лицом. Объявление о проведении конкурса размещается в Информационной системе не ранее размещения информации о субсидии в соответствии с </w:t>
      </w:r>
      <w:hyperlink w:history="0" w:anchor="P13553"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1 рабочего дня до наступления даты начала приема заявок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В объявлении о проведении конкурса указывается следующая информация:</w:t>
      </w:r>
    </w:p>
    <w:p>
      <w:pPr>
        <w:pStyle w:val="0"/>
        <w:spacing w:before="200" w:line-rule="auto"/>
        <w:ind w:firstLine="540"/>
        <w:jc w:val="both"/>
      </w:pPr>
      <w:r>
        <w:rPr>
          <w:sz w:val="20"/>
        </w:rPr>
        <w:t xml:space="preserve">1) сроки проведения конкурса;</w:t>
      </w:r>
    </w:p>
    <w:p>
      <w:pPr>
        <w:pStyle w:val="0"/>
        <w:spacing w:before="200" w:line-rule="auto"/>
        <w:ind w:firstLine="540"/>
        <w:jc w:val="both"/>
      </w:pPr>
      <w:r>
        <w:rPr>
          <w:sz w:val="20"/>
        </w:rPr>
        <w:t xml:space="preserve">2) даты начала и окончания приема заявок участников конкурса, при этом дата окончания приема заявок не может быть ранее 30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 и АНО "АИР";</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6) требования к участникам конкурса, которым участник конкурса должен соответствовать на дату, определенную Порядком, и перечню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7) категории получателей субсидий и критерии оценки;</w:t>
      </w:r>
    </w:p>
    <w:p>
      <w:pPr>
        <w:pStyle w:val="0"/>
        <w:spacing w:before="200" w:line-rule="auto"/>
        <w:ind w:firstLine="540"/>
        <w:jc w:val="both"/>
      </w:pPr>
      <w:r>
        <w:rPr>
          <w:sz w:val="20"/>
        </w:rPr>
        <w:t xml:space="preserve">8) порядок подачи заявок участниками конкурса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и их весовое значение в общей оценке, необходимую для представления участником конкурса информацию по каждому критерию оценки, сведения, документы и материалы, подтверждающие такую информацию, сроки оценки заявок, информация о неучастии комиссии и экспертов (экспертных организаций) в оценке заявок;</w:t>
      </w:r>
    </w:p>
    <w:p>
      <w:pPr>
        <w:pStyle w:val="0"/>
        <w:spacing w:before="200" w:line-rule="auto"/>
        <w:ind w:firstLine="540"/>
        <w:jc w:val="both"/>
      </w:pPr>
      <w:r>
        <w:rPr>
          <w:sz w:val="20"/>
        </w:rPr>
        <w:t xml:space="preserve">14) объем распределяемой субсидии в рамках конкурса, порядок расчета размера субсидии, установленный Порядком, правила распределения субсидии по результатам конкурса, которые в том числе включают максимальный размер субсидии, предоставляемой победителю конкурса;</w:t>
      </w:r>
    </w:p>
    <w:p>
      <w:pPr>
        <w:pStyle w:val="0"/>
        <w:spacing w:before="200" w:line-rule="auto"/>
        <w:ind w:firstLine="540"/>
        <w:jc w:val="both"/>
      </w:pPr>
      <w:r>
        <w:rPr>
          <w:sz w:val="20"/>
        </w:rPr>
        <w:t xml:space="preserve">15) порядок представления участникам конкурса разъяснений положений объявления о проведении конкурса, даты начала и окончания срока такого представления;</w:t>
      </w:r>
    </w:p>
    <w:p>
      <w:pPr>
        <w:pStyle w:val="0"/>
        <w:spacing w:before="200" w:line-rule="auto"/>
        <w:ind w:firstLine="540"/>
        <w:jc w:val="both"/>
      </w:pPr>
      <w:r>
        <w:rPr>
          <w:sz w:val="20"/>
        </w:rPr>
        <w:t xml:space="preserve">16) срок, в течение которого победитель конкурса должен подписать соглашение о предоставлении субсидии, заключаемое с Мининвестом Московской области (далее - Соглашение);</w:t>
      </w:r>
    </w:p>
    <w:p>
      <w:pPr>
        <w:pStyle w:val="0"/>
        <w:spacing w:before="200" w:line-rule="auto"/>
        <w:ind w:firstLine="540"/>
        <w:jc w:val="both"/>
      </w:pPr>
      <w:r>
        <w:rPr>
          <w:sz w:val="20"/>
        </w:rPr>
        <w:t xml:space="preserve">17) 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конкурса (документа об итогах проведения конкурса) в Информационной системе и на официальном сайте Мининвеста Московской области (</w:t>
      </w:r>
      <w:hyperlink w:history="0" r:id="rId584">
        <w:r>
          <w:rPr>
            <w:sz w:val="20"/>
            <w:color w:val="0000ff"/>
          </w:rPr>
          <w:t xml:space="preserve">https://mii.mosreg.ru</w:t>
        </w:r>
      </w:hyperlink>
      <w:r>
        <w:rPr>
          <w:sz w:val="20"/>
        </w:rPr>
        <w:t xml:space="preserve">) с размещением указателя страницы сайта на едином портале, которые не могут быть позднее 14 календарного дня, следующего за днем определения победителя конкурса.</w:t>
      </w:r>
    </w:p>
    <w:bookmarkStart w:id="13592" w:name="P13592"/>
    <w:bookmarkEnd w:id="13592"/>
    <w:p>
      <w:pPr>
        <w:pStyle w:val="0"/>
        <w:spacing w:before="200" w:line-rule="auto"/>
        <w:ind w:firstLine="540"/>
        <w:jc w:val="both"/>
      </w:pPr>
      <w:r>
        <w:rPr>
          <w:sz w:val="20"/>
        </w:rPr>
        <w:t xml:space="preserve">12. Требования к участникам конкурса, которым они должны соответствовать на даты подачи заявки и заключения Соглашения:</w:t>
      </w:r>
    </w:p>
    <w:p>
      <w:pPr>
        <w:pStyle w:val="0"/>
        <w:spacing w:before="200" w:line-rule="auto"/>
        <w:ind w:firstLine="540"/>
        <w:jc w:val="both"/>
      </w:pPr>
      <w:r>
        <w:rPr>
          <w:sz w:val="20"/>
        </w:rPr>
        <w:t xml:space="preserve">1)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конкурса не находится в составляемых в рамках реализации полномочий, предусмотренных </w:t>
      </w:r>
      <w:hyperlink w:history="0" r:id="rId58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конкурса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5) участник конкурса не является иностранным агентом в соответствии с Федеральным </w:t>
      </w:r>
      <w:hyperlink w:history="0" r:id="rId586"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конкурса на едином налоговом счете отсутствует или не превышает размер, определенный </w:t>
      </w:r>
      <w:hyperlink w:history="0" r:id="rId587"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конкурса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являющемся участником конкурса;</w:t>
      </w:r>
    </w:p>
    <w:p>
      <w:pPr>
        <w:pStyle w:val="0"/>
        <w:spacing w:before="200" w:line-rule="auto"/>
        <w:ind w:firstLine="540"/>
        <w:jc w:val="both"/>
      </w:pPr>
      <w:r>
        <w:rPr>
          <w:sz w:val="20"/>
        </w:rPr>
        <w:t xml:space="preserve">10) участник конкурса соответствует категории получателей субсидий, установленной </w:t>
      </w:r>
      <w:hyperlink w:history="0" w:anchor="P13563"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11) участник конкурса осуществляет деятельность в сфере производства товаров (работ, услуг) по видам деятельности в соответствии с разделами "A", "B", "C", "D", "E", "F", "H", "I", "J", "P", "Q", "R", классами 71, 75, 95, 96 </w:t>
      </w:r>
      <w:hyperlink w:history="0" r:id="rId58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за исключением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pPr>
        <w:pStyle w:val="0"/>
        <w:spacing w:before="200" w:line-rule="auto"/>
        <w:ind w:firstLine="540"/>
        <w:jc w:val="both"/>
      </w:pPr>
      <w:r>
        <w:rPr>
          <w:sz w:val="20"/>
        </w:rPr>
        <w:t xml:space="preserve">12) участник конкурса достиг значений результатов предоставления субсидии по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мероприятию 01.01</w:t>
        </w:r>
      </w:hyperlink>
      <w:r>
        <w:rPr>
          <w:sz w:val="20"/>
        </w:rPr>
        <w:t xml:space="preserve">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Подпрограммы 3 государственной программы (далее - мероприятие 01.01) (в случае, если участник конкурса являлся получателем субсидии в году, предшествующем году проведения конкурса);</w:t>
      </w:r>
    </w:p>
    <w:bookmarkStart w:id="13605" w:name="P13605"/>
    <w:bookmarkEnd w:id="13605"/>
    <w:p>
      <w:pPr>
        <w:pStyle w:val="0"/>
        <w:spacing w:before="200" w:line-rule="auto"/>
        <w:ind w:firstLine="540"/>
        <w:jc w:val="both"/>
      </w:pPr>
      <w:r>
        <w:rPr>
          <w:sz w:val="20"/>
        </w:rPr>
        <w:t xml:space="preserve">13) наличие обязательства участника конкурса о представлении документов, в соответствии с </w:t>
      </w:r>
      <w:hyperlink w:history="0" w:anchor="P13979" w:tooltip="ПЕРЕЧЕНЬ ДОКУМЕНТОВ, ПРЕДСТАВЛЯЕМЫХ УЧАСТНИКАМИ КОНКУРСА">
        <w:r>
          <w:rPr>
            <w:sz w:val="20"/>
            <w:color w:val="0000ff"/>
          </w:rPr>
          <w:t xml:space="preserve">таблицей 3</w:t>
        </w:r>
      </w:hyperlink>
      <w:r>
        <w:rPr>
          <w:sz w:val="20"/>
        </w:rPr>
        <w:t xml:space="preserve"> к Порядку, подтверждающих произведенные затраты на приобретение Оборудования в размере 100 процентов и произведение приемки указанного Оборудования по договорам на приобретение Оборудования;</w:t>
      </w:r>
    </w:p>
    <w:bookmarkStart w:id="13606" w:name="P13606"/>
    <w:bookmarkEnd w:id="13606"/>
    <w:p>
      <w:pPr>
        <w:pStyle w:val="0"/>
        <w:spacing w:before="200" w:line-rule="auto"/>
        <w:ind w:firstLine="540"/>
        <w:jc w:val="both"/>
      </w:pPr>
      <w:r>
        <w:rPr>
          <w:sz w:val="20"/>
        </w:rPr>
        <w:t xml:space="preserve">14) обязательство участника конкурса о представлении документов, в соответствии с </w:t>
      </w:r>
      <w:hyperlink w:history="0" w:anchor="P13979" w:tooltip="ПЕРЕЧЕНЬ ДОКУМЕНТОВ, ПРЕДСТАВЛЯЕМЫХ УЧАСТНИКАМИ КОНКУРСА">
        <w:r>
          <w:rPr>
            <w:sz w:val="20"/>
            <w:color w:val="0000ff"/>
          </w:rPr>
          <w:t xml:space="preserve">таблицей 3</w:t>
        </w:r>
      </w:hyperlink>
      <w:r>
        <w:rPr>
          <w:sz w:val="20"/>
        </w:rPr>
        <w:t xml:space="preserve"> к Порядку о постановке на баланс Оборудования по договорам на приобретение Оборудования (обязательно для юридических лиц, для индивидуальных предпринимателей - при наличии);</w:t>
      </w:r>
    </w:p>
    <w:p>
      <w:pPr>
        <w:pStyle w:val="0"/>
        <w:spacing w:before="200" w:line-rule="auto"/>
        <w:ind w:firstLine="540"/>
        <w:jc w:val="both"/>
      </w:pPr>
      <w:r>
        <w:rPr>
          <w:sz w:val="20"/>
        </w:rPr>
        <w:t xml:space="preserve">15) участник конкурса представил документы согласно </w:t>
      </w:r>
      <w:hyperlink w:history="0" w:anchor="P13953"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13. Представление в Мининвест Московской области заявки и документов, подтверждающих соответствие участников конкурса требованиям, установленным Порядком, а также сведений, документов и материалов, подтверждающих информацию по критериям оценки, осуществляется с использованием Информационной системы путем заполнения соответствующих экранных форм веб-интерфейса и представления в Информационную систему электронных документов, а также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конкурса для подачи заявки.</w:t>
      </w:r>
    </w:p>
    <w:p>
      <w:pPr>
        <w:pStyle w:val="0"/>
        <w:spacing w:before="200" w:line-rule="auto"/>
        <w:ind w:firstLine="540"/>
        <w:jc w:val="both"/>
      </w:pPr>
      <w:r>
        <w:rPr>
          <w:sz w:val="20"/>
        </w:rPr>
        <w:t xml:space="preserve">Участник конкурса представляет в Министерство документы, подтверждающие соответствие участника конкурса требованиям, установленным Порядком, а также сведения, документы и материалы, подтверждающие информацию по критериям оценки, в соответствии с </w:t>
      </w:r>
      <w:hyperlink w:history="0" w:anchor="P13953" w:tooltip="ПЕРЕЧЕНЬ ДОКУМЕНТОВ, ПРЕДСТАВЛЯЕМЫХ УЧАСТНИКАМИ КОНКУРСА">
        <w:r>
          <w:rPr>
            <w:sz w:val="20"/>
            <w:color w:val="0000ff"/>
          </w:rPr>
          <w:t xml:space="preserve">таблицей 2</w:t>
        </w:r>
      </w:hyperlink>
      <w:r>
        <w:rPr>
          <w:sz w:val="20"/>
        </w:rPr>
        <w:t xml:space="preserve"> к Порядку.</w:t>
      </w:r>
    </w:p>
    <w:bookmarkStart w:id="13610" w:name="P13610"/>
    <w:bookmarkEnd w:id="13610"/>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конкурса: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конкурса, и формируется участниками конкурса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конкурса;</w:t>
      </w:r>
    </w:p>
    <w:p>
      <w:pPr>
        <w:pStyle w:val="0"/>
        <w:spacing w:before="200" w:line-rule="auto"/>
        <w:ind w:firstLine="540"/>
        <w:jc w:val="both"/>
      </w:pPr>
      <w:r>
        <w:rPr>
          <w:sz w:val="20"/>
        </w:rPr>
        <w:t xml:space="preserve">документы согласно </w:t>
      </w:r>
      <w:hyperlink w:history="0" w:anchor="P13953" w:tooltip="ПЕРЕЧЕНЬ ДОКУМЕНТОВ, ПРЕДСТАВЛЯЕМЫХ УЧАСТНИКАМИ КОНКУРСА">
        <w:r>
          <w:rPr>
            <w:sz w:val="20"/>
            <w:color w:val="0000ff"/>
          </w:rPr>
          <w:t xml:space="preserve">таблице 2</w:t>
        </w:r>
      </w:hyperlink>
      <w:r>
        <w:rPr>
          <w:sz w:val="20"/>
        </w:rPr>
        <w:t xml:space="preserve"> к Порядку (далее - документы);</w:t>
      </w:r>
    </w:p>
    <w:p>
      <w:pPr>
        <w:pStyle w:val="0"/>
        <w:spacing w:before="200" w:line-rule="auto"/>
        <w:ind w:firstLine="540"/>
        <w:jc w:val="both"/>
      </w:pPr>
      <w:r>
        <w:rPr>
          <w:sz w:val="20"/>
        </w:rPr>
        <w:t xml:space="preserve">предлагаемые участником конкурса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информацию по каждому критерию оценки;</w:t>
      </w:r>
    </w:p>
    <w:p>
      <w:pPr>
        <w:pStyle w:val="0"/>
        <w:spacing w:before="200" w:line-rule="auto"/>
        <w:ind w:firstLine="540"/>
        <w:jc w:val="both"/>
      </w:pPr>
      <w:r>
        <w:rPr>
          <w:sz w:val="20"/>
        </w:rPr>
        <w:t xml:space="preserve">обязательства, предусмотренные </w:t>
      </w:r>
      <w:hyperlink w:history="0" w:anchor="P13605" w:tooltip="13) наличие обязательства участника конкурса о представлении документов, в соответствии с таблицей 3 к Порядку, подтверждающих произведенные затраты на приобретение Оборудования в размере 100 процентов и произведение приемки указанного Оборудования по договорам на приобретение Оборудования;">
        <w:r>
          <w:rPr>
            <w:sz w:val="20"/>
            <w:color w:val="0000ff"/>
          </w:rPr>
          <w:t xml:space="preserve">подпунктами 13</w:t>
        </w:r>
      </w:hyperlink>
      <w:r>
        <w:rPr>
          <w:sz w:val="20"/>
        </w:rPr>
        <w:t xml:space="preserve"> и </w:t>
      </w:r>
      <w:hyperlink w:history="0" w:anchor="P13606" w:tooltip="14) обязательство участника конкурса о представлении документов, в соответствии с таблицей 3 к Порядку о постановке на баланс Оборудования по договорам на приобретение Оборудования (обязательно для юридических лиц, для индивидуальных предпринимателей - при наличии);">
        <w:r>
          <w:rPr>
            <w:sz w:val="20"/>
            <w:color w:val="0000ff"/>
          </w:rPr>
          <w:t xml:space="preserve">14 пункта 12</w:t>
        </w:r>
      </w:hyperlink>
      <w:r>
        <w:rPr>
          <w:sz w:val="20"/>
        </w:rPr>
        <w:t xml:space="preserve"> Порядка;</w:t>
      </w:r>
    </w:p>
    <w:p>
      <w:pPr>
        <w:pStyle w:val="0"/>
        <w:spacing w:before="200" w:line-rule="auto"/>
        <w:ind w:firstLine="540"/>
        <w:jc w:val="both"/>
      </w:pPr>
      <w:r>
        <w:rPr>
          <w:sz w:val="20"/>
        </w:rPr>
        <w:t xml:space="preserve">3) для представления заявки участник конкурса авторизуется в Информационной системе, заполняет интерактивные поля заявки, ставит отметку о согласии участника конкурса:</w:t>
      </w:r>
    </w:p>
    <w:p>
      <w:pPr>
        <w:pStyle w:val="0"/>
        <w:spacing w:before="200" w:line-rule="auto"/>
        <w:ind w:firstLine="540"/>
        <w:jc w:val="both"/>
      </w:pPr>
      <w:r>
        <w:rPr>
          <w:sz w:val="20"/>
        </w:rPr>
        <w:t xml:space="preserve">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на осуществление Мининвестом Московской области и АНО "АИР" проверок (обследований), документов и (или) сведений, представленных для получения субсидии, и запрос информации, уточняющей представленные в заявке сведения;</w:t>
      </w:r>
    </w:p>
    <w:p>
      <w:pPr>
        <w:pStyle w:val="0"/>
        <w:spacing w:before="200" w:line-rule="auto"/>
        <w:ind w:firstLine="540"/>
        <w:jc w:val="both"/>
      </w:pPr>
      <w:r>
        <w:rPr>
          <w:sz w:val="20"/>
        </w:rPr>
        <w:t xml:space="preserve">на уменьшение размера субсидии при недостаточности бюджетных ассигнований для предоставления субсидии в подтвержденном объеме, в соответствии с </w:t>
      </w:r>
      <w:hyperlink w:history="0" w:anchor="P13785" w:tooltip="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
        <w:r>
          <w:rPr>
            <w:sz w:val="20"/>
            <w:color w:val="0000ff"/>
          </w:rPr>
          <w:t xml:space="preserve">пунктом 44</w:t>
        </w:r>
      </w:hyperlink>
      <w:r>
        <w:rPr>
          <w:sz w:val="20"/>
        </w:rPr>
        <w:t xml:space="preserve"> Порядка;</w:t>
      </w:r>
    </w:p>
    <w:p>
      <w:pPr>
        <w:pStyle w:val="0"/>
        <w:spacing w:before="200" w:line-rule="auto"/>
        <w:ind w:firstLine="540"/>
        <w:jc w:val="both"/>
      </w:pPr>
      <w:r>
        <w:rPr>
          <w:sz w:val="20"/>
        </w:rPr>
        <w:t xml:space="preserve">4) заявка подписывается усиленной квалифицированной электронной подписью руководителя участника конкурса - юридического лица (уполномоченного им лица) или индивидуального предпринимателя;</w:t>
      </w:r>
    </w:p>
    <w:p>
      <w:pPr>
        <w:pStyle w:val="0"/>
        <w:spacing w:before="200" w:line-rule="auto"/>
        <w:ind w:firstLine="540"/>
        <w:jc w:val="both"/>
      </w:pPr>
      <w:r>
        <w:rPr>
          <w:sz w:val="20"/>
        </w:rPr>
        <w:t xml:space="preserve">5) в случае если от имени участника конкурса действует иное лицо, заявка должна содержать доверенность представителя на осуществление действий от имени участника конкурса,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6) доверенность представителя участника конкурса - юридического лица должна быть подписана руководителем участника конкурса или иным уполномоченным лицом и заверена печатью участника конкурса (при наличии);</w:t>
      </w:r>
    </w:p>
    <w:p>
      <w:pPr>
        <w:pStyle w:val="0"/>
        <w:spacing w:before="200" w:line-rule="auto"/>
        <w:ind w:firstLine="540"/>
        <w:jc w:val="both"/>
      </w:pPr>
      <w:r>
        <w:rPr>
          <w:sz w:val="20"/>
        </w:rPr>
        <w:t xml:space="preserve">7) требования к документам и материалам, включаемым в заявку, согласно </w:t>
      </w:r>
      <w:hyperlink w:history="0" w:anchor="P13953" w:tooltip="ПЕРЕЧЕНЬ ДОКУМЕНТОВ, ПРЕДСТАВЛЯЕМЫХ УЧАСТНИКАМИ КОНКУРСА">
        <w:r>
          <w:rPr>
            <w:sz w:val="20"/>
            <w:color w:val="0000ff"/>
          </w:rPr>
          <w:t xml:space="preserve">таблицам 2</w:t>
        </w:r>
      </w:hyperlink>
      <w:r>
        <w:rPr>
          <w:sz w:val="20"/>
        </w:rPr>
        <w:t xml:space="preserve"> и </w:t>
      </w:r>
      <w:hyperlink w:history="0" w:anchor="P13979" w:tooltip="ПЕРЕЧЕНЬ ДОКУМЕНТОВ, ПРЕДСТАВЛЯЕМЫХ УЧАСТНИКАМИ КОНКУРСА">
        <w:r>
          <w:rPr>
            <w:sz w:val="20"/>
            <w:color w:val="0000ff"/>
          </w:rPr>
          <w:t xml:space="preserve">3</w:t>
        </w:r>
      </w:hyperlink>
      <w:r>
        <w:rPr>
          <w:sz w:val="20"/>
        </w:rPr>
        <w:t xml:space="preserve"> к Порядку:</w:t>
      </w:r>
    </w:p>
    <w:p>
      <w:pPr>
        <w:pStyle w:val="0"/>
        <w:spacing w:before="200" w:line-rule="auto"/>
        <w:ind w:firstLine="540"/>
        <w:jc w:val="both"/>
      </w:pPr>
      <w:r>
        <w:rPr>
          <w:sz w:val="20"/>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 (для документов с текстовым содержанием, в том числе включающих формулы и (или) графические изображения, а также документов с графическим содержанием - в форматах pdf, jpg, jpeg);</w:t>
      </w:r>
    </w:p>
    <w:p>
      <w:pPr>
        <w:pStyle w:val="0"/>
        <w:spacing w:before="200" w:line-rule="auto"/>
        <w:ind w:firstLine="540"/>
        <w:jc w:val="both"/>
      </w:pPr>
      <w:r>
        <w:rPr>
          <w:sz w:val="20"/>
        </w:rPr>
        <w:t xml:space="preserve">представленные электронные образы документов (электронных документов) позволяют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заявителя или уполномоченного им лица и печатью (при наличии печати);</w:t>
      </w:r>
    </w:p>
    <w:p>
      <w:pPr>
        <w:pStyle w:val="0"/>
        <w:spacing w:before="200" w:line-rule="auto"/>
        <w:ind w:firstLine="540"/>
        <w:jc w:val="both"/>
      </w:pPr>
      <w:r>
        <w:rPr>
          <w:sz w:val="20"/>
        </w:rPr>
        <w:t xml:space="preserve">электронные образы документов должны быть подписаны ЭП руководителя или уполномоченного им лица;</w:t>
      </w:r>
    </w:p>
    <w:p>
      <w:pPr>
        <w:pStyle w:val="0"/>
        <w:spacing w:before="200" w:line-rule="auto"/>
        <w:ind w:firstLine="540"/>
        <w:jc w:val="both"/>
      </w:pPr>
      <w:r>
        <w:rPr>
          <w:sz w:val="20"/>
        </w:rPr>
        <w:t xml:space="preserve">формирование электронного документа путем сканирования непосредственно с оригинала документа, которое осуществляется с сохранением ориентации оригинала документа в разрешении 300-500 dpi (масштаб 1:1) с сохранением всех аутентичных признаков подлинности, а именно: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8) ответственность за полноту и достоверность информации, представленной в заявке и прилагаемых к ней документах, несет участник конкурса в соответствии с законодательством Российской Федерации;</w:t>
      </w:r>
    </w:p>
    <w:p>
      <w:pPr>
        <w:pStyle w:val="0"/>
        <w:spacing w:before="200" w:line-rule="auto"/>
        <w:ind w:firstLine="540"/>
        <w:jc w:val="both"/>
      </w:pPr>
      <w:r>
        <w:rPr>
          <w:sz w:val="20"/>
        </w:rPr>
        <w:t xml:space="preserve">9) датой и временем представления участником конкурса заявки считается дата и время подписания участником конкурса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конкурса участником конкурса может быть подана одна заявка.</w:t>
      </w:r>
    </w:p>
    <w:p>
      <w:pPr>
        <w:pStyle w:val="0"/>
        <w:spacing w:before="200" w:line-rule="auto"/>
        <w:ind w:firstLine="540"/>
        <w:jc w:val="both"/>
      </w:pPr>
      <w:r>
        <w:rPr>
          <w:sz w:val="20"/>
        </w:rPr>
        <w:t xml:space="preserve">15. Участник конкурса вправе отозвать представленную заявку путем формирования участником конкурса уведомления об отзыве заявки в электронной форме в Информационной системе и направления такого уведомления в Мининвест Московской области.</w:t>
      </w:r>
    </w:p>
    <w:p>
      <w:pPr>
        <w:pStyle w:val="0"/>
        <w:spacing w:before="200" w:line-rule="auto"/>
        <w:ind w:firstLine="540"/>
        <w:jc w:val="both"/>
      </w:pPr>
      <w:r>
        <w:rPr>
          <w:sz w:val="20"/>
        </w:rPr>
        <w:t xml:space="preserve">Участник конкурса вправе в случае отзыва заявки повторно представить заявку в сроки, установленные объявлением о проведении конкурса, до окончания срока подачи заявок. При этом регистрация заявки будет осуществлена в порядке очередности в день повторного представления заявки на участие в конкурсе.</w:t>
      </w:r>
    </w:p>
    <w:p>
      <w:pPr>
        <w:pStyle w:val="0"/>
        <w:spacing w:before="200" w:line-rule="auto"/>
        <w:ind w:firstLine="540"/>
        <w:jc w:val="both"/>
      </w:pPr>
      <w:r>
        <w:rPr>
          <w:sz w:val="20"/>
        </w:rPr>
        <w:t xml:space="preserve">Внесение изменений в заявку осуществляется участником конкурса в порядке, аналогичном порядку формирования заявки участником конкурса, указанному в </w:t>
      </w:r>
      <w:hyperlink w:history="0" w:anchor="P13610" w:tooltip="14. Требования, предъявляемые к форме и содержанию заявок, представляемых участниками конкурс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16. В рамках проведения Конкурса АНО "АИР" осуществляет следующие полномочия, за исключением полномочий по размещению объявления о проведении конкурса и утверждению протокола подведения итогов конкурса:</w:t>
      </w:r>
    </w:p>
    <w:p>
      <w:pPr>
        <w:pStyle w:val="0"/>
        <w:spacing w:before="200" w:line-rule="auto"/>
        <w:ind w:firstLine="540"/>
        <w:jc w:val="both"/>
      </w:pPr>
      <w:r>
        <w:rPr>
          <w:sz w:val="20"/>
        </w:rPr>
        <w:t xml:space="preserve">рассмотрение заявки на соответствие требованиям, установленным </w:t>
      </w:r>
      <w:hyperlink w:history="0" w:anchor="P13610" w:tooltip="14. Требования, предъявляемые к форме и содержанию заявок, представляемых участниками конкурс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проверка соответствия участника конкурса категории получателей субсидии, установленной </w:t>
      </w:r>
      <w:hyperlink w:history="0" w:anchor="P13563"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пунктом 9</w:t>
        </w:r>
      </w:hyperlink>
      <w:r>
        <w:rPr>
          <w:sz w:val="20"/>
        </w:rPr>
        <w:t xml:space="preserve"> Порядка, и требованиям, установленным в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проверка достоверности сведений, содержащихся в заявке участника конкурса, в соответствии с </w:t>
      </w:r>
      <w:hyperlink w:history="0" w:anchor="P13667" w:tooltip="19. Доступ Мининвесту Московской области и АНО &quot;АИР&quot; к поданным участниками конкурса заявкам в Информационной системе для их рассмотрения и оценки открывается в день регистрации заявок.">
        <w:r>
          <w:rPr>
            <w:sz w:val="20"/>
            <w:color w:val="0000ff"/>
          </w:rPr>
          <w:t xml:space="preserve">пунктом 19</w:t>
        </w:r>
      </w:hyperlink>
      <w:r>
        <w:rPr>
          <w:sz w:val="20"/>
        </w:rPr>
        <w:t xml:space="preserve"> Порядка;</w:t>
      </w:r>
    </w:p>
    <w:p>
      <w:pPr>
        <w:pStyle w:val="0"/>
        <w:spacing w:before="200" w:line-rule="auto"/>
        <w:ind w:firstLine="540"/>
        <w:jc w:val="both"/>
      </w:pPr>
      <w:r>
        <w:rPr>
          <w:sz w:val="20"/>
        </w:rPr>
        <w:t xml:space="preserve">составление заключений в соответствии с </w:t>
      </w:r>
      <w:hyperlink w:history="0" w:anchor="P13694" w:tooltip="22. По результатам рассмотрения заявки АНО &quot;АИР&quot; составляет одно из следующих заключений по форме, установленной Мининвестом (далее - Заключение &quot;АНО &quot;АИР&quot;):">
        <w:r>
          <w:rPr>
            <w:sz w:val="20"/>
            <w:color w:val="0000ff"/>
          </w:rPr>
          <w:t xml:space="preserve">пунктами 22</w:t>
        </w:r>
      </w:hyperlink>
      <w:r>
        <w:rPr>
          <w:sz w:val="20"/>
        </w:rPr>
        <w:t xml:space="preserve"> и </w:t>
      </w:r>
      <w:hyperlink w:history="0" w:anchor="P13724" w:tooltip="30. В течение 20 рабочих дней со дня окончания срока, указанного в уведомлениях, указанных в пункте 29 Порядка, АНО &quot;АИР&quot; рассматривает документы на Оборудование, на соответствие затрат, произведенных участником конкурса, цели предоставления субсидии и направлениям затрат, установленным пунктом 38 Порядка, а также проверяет полноту, комплектность и соответствие установленным требованиям документов на Оборудование согласно таблице 3 к Порядку.">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направление уведомлений участникам конкурса в соответствии с </w:t>
      </w:r>
      <w:hyperlink w:history="0" w:anchor="P13718" w:tooltip="28. АНО &quot;АИР&quot; осуществляет оценку заявок в срок не более 20 рабочих дней со дня принятия Мининвестом Московской области решения в соответствии с подпунктом 2 пункта 27 Порядка на основании критериев оценки заявок в соответствии с их весовым значением в общей оценке, предусмотренных таблицей 1 к Порядку.">
        <w:r>
          <w:rPr>
            <w:sz w:val="20"/>
            <w:color w:val="0000ff"/>
          </w:rPr>
          <w:t xml:space="preserve">пунктом 28</w:t>
        </w:r>
      </w:hyperlink>
      <w:r>
        <w:rPr>
          <w:sz w:val="20"/>
        </w:rPr>
        <w:t xml:space="preserve"> Порядка;</w:t>
      </w:r>
    </w:p>
    <w:p>
      <w:pPr>
        <w:pStyle w:val="0"/>
        <w:spacing w:before="200" w:line-rule="auto"/>
        <w:ind w:firstLine="540"/>
        <w:jc w:val="both"/>
      </w:pPr>
      <w:r>
        <w:rPr>
          <w:sz w:val="20"/>
        </w:rPr>
        <w:t xml:space="preserve">составление проекта рейтингового списка;</w:t>
      </w:r>
    </w:p>
    <w:p>
      <w:pPr>
        <w:pStyle w:val="0"/>
        <w:spacing w:before="200" w:line-rule="auto"/>
        <w:ind w:firstLine="540"/>
        <w:jc w:val="both"/>
      </w:pPr>
      <w:r>
        <w:rPr>
          <w:sz w:val="20"/>
        </w:rPr>
        <w:t xml:space="preserve">оценка заявок;</w:t>
      </w:r>
    </w:p>
    <w:p>
      <w:pPr>
        <w:pStyle w:val="0"/>
        <w:spacing w:before="200" w:line-rule="auto"/>
        <w:ind w:firstLine="540"/>
        <w:jc w:val="both"/>
      </w:pPr>
      <w:r>
        <w:rPr>
          <w:sz w:val="20"/>
        </w:rPr>
        <w:t xml:space="preserve">рассмотрение документов согласно </w:t>
      </w:r>
      <w:hyperlink w:history="0" w:anchor="P13979" w:tooltip="ПЕРЕЧЕНЬ ДОКУМЕНТОВ, ПРЕДСТАВЛЯЕМЫХ УЧАСТНИКАМИ КОНКУРСА">
        <w:r>
          <w:rPr>
            <w:sz w:val="20"/>
            <w:color w:val="0000ff"/>
          </w:rPr>
          <w:t xml:space="preserve">таблице 3</w:t>
        </w:r>
      </w:hyperlink>
      <w:r>
        <w:rPr>
          <w:sz w:val="20"/>
        </w:rPr>
        <w:t xml:space="preserve"> к Порядку (далее - документы на Оборудование) и документов согласно </w:t>
      </w:r>
      <w:hyperlink w:history="0" w:anchor="P13953"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осуществление запроса у участника конкурса разъяснения в отношении представленных им документов и информации;</w:t>
      </w:r>
    </w:p>
    <w:p>
      <w:pPr>
        <w:pStyle w:val="0"/>
        <w:spacing w:before="200" w:line-rule="auto"/>
        <w:ind w:firstLine="540"/>
        <w:jc w:val="both"/>
      </w:pPr>
      <w:r>
        <w:rPr>
          <w:sz w:val="20"/>
        </w:rPr>
        <w:t xml:space="preserve">возврат заявок на доработку;</w:t>
      </w:r>
    </w:p>
    <w:p>
      <w:pPr>
        <w:pStyle w:val="0"/>
        <w:spacing w:before="200" w:line-rule="auto"/>
        <w:ind w:firstLine="540"/>
        <w:jc w:val="both"/>
      </w:pPr>
      <w:r>
        <w:rPr>
          <w:sz w:val="20"/>
        </w:rPr>
        <w:t xml:space="preserve">разъяснение положений объявления о проведении конкурса при поступлении соответствующих запросов от участников конкурса в соответствии с </w:t>
      </w:r>
      <w:hyperlink w:history="0" w:anchor="P13752"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запрос сведений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запрос в государственные и муниципальные органы, касающийся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и оценки заявок участников конкурса, проверку сведений в заявках на достоверность и рассмотрение документов.</w:t>
      </w:r>
    </w:p>
    <w:p>
      <w:pPr>
        <w:pStyle w:val="0"/>
        <w:spacing w:before="200" w:line-rule="auto"/>
        <w:ind w:firstLine="540"/>
        <w:jc w:val="both"/>
      </w:pPr>
      <w:r>
        <w:rPr>
          <w:sz w:val="20"/>
        </w:rPr>
        <w:t xml:space="preserve">17. Взаимодействие Мининвеста Московской области и АНО "АИР" с участниками конкурса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18. При проведении конкурса предусмотрен возврат заявок на доработку по решению АНО "АИР". Решение о возврате принимается в равной мере ко всем участникам конкурса, если при рассмотрении заявок выявлены основания для их возврата на доработку. Решения о возврате заявок на доработку доводятся до участников конкурса в Информационной системе.</w:t>
      </w:r>
    </w:p>
    <w:p>
      <w:pPr>
        <w:pStyle w:val="0"/>
        <w:spacing w:before="200" w:line-rule="auto"/>
        <w:ind w:firstLine="540"/>
        <w:jc w:val="both"/>
      </w:pPr>
      <w:r>
        <w:rPr>
          <w:sz w:val="20"/>
        </w:rPr>
        <w:t xml:space="preserve">В случае принятия решения о возврате заявки на доработку АНО "АИР" направляет участнику конкурса уведомление о доработке заявки (далее - Уведомление о доработке), в электронном виде через личный кабинет посредством использования Информационной системы. Уведомление о доработке может быть направлено участнику конкурса в пределах установленного срока рассмотрения заявок.</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некорректное заполнение обязательных полей заявления в Информационной системе (отсутствие заполнения, недостоверное, неполное или неправильное, не соответствующее требованиям, установленным Порядком);</w:t>
      </w:r>
    </w:p>
    <w:p>
      <w:pPr>
        <w:pStyle w:val="0"/>
        <w:spacing w:before="200" w:line-rule="auto"/>
        <w:ind w:firstLine="540"/>
        <w:jc w:val="both"/>
      </w:pPr>
      <w:r>
        <w:rPr>
          <w:sz w:val="20"/>
        </w:rPr>
        <w:t xml:space="preserve">2) представление электронных образов документов посредством Информационной системы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3) наличие нечитаемых исправлений в представленных документах;</w:t>
      </w:r>
    </w:p>
    <w:p>
      <w:pPr>
        <w:pStyle w:val="0"/>
        <w:spacing w:before="200" w:line-rule="auto"/>
        <w:ind w:firstLine="540"/>
        <w:jc w:val="both"/>
      </w:pPr>
      <w:r>
        <w:rPr>
          <w:sz w:val="20"/>
        </w:rPr>
        <w:t xml:space="preserve">4) технические ошибки.</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конкурса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конкурса представляет документы и заявку, в срок не более 4 рабочих дней со дня направления Уведомления о доработке, но не позднее даты окончания срока рассмотрения заявок.</w:t>
      </w:r>
    </w:p>
    <w:bookmarkStart w:id="13667" w:name="P13667"/>
    <w:bookmarkEnd w:id="13667"/>
    <w:p>
      <w:pPr>
        <w:pStyle w:val="0"/>
        <w:spacing w:before="200" w:line-rule="auto"/>
        <w:ind w:firstLine="540"/>
        <w:jc w:val="both"/>
      </w:pPr>
      <w:r>
        <w:rPr>
          <w:sz w:val="20"/>
        </w:rPr>
        <w:t xml:space="preserve">19. Доступ Мининвесту Московской области и АНО "АИР" к поданным участниками конкурса заявкам в Информационной системе для их рассмотрения и оценки открывается в день регистрации заявок.</w:t>
      </w:r>
    </w:p>
    <w:p>
      <w:pPr>
        <w:pStyle w:val="0"/>
        <w:spacing w:before="200" w:line-rule="auto"/>
        <w:ind w:firstLine="540"/>
        <w:jc w:val="both"/>
      </w:pPr>
      <w:r>
        <w:rPr>
          <w:sz w:val="20"/>
        </w:rPr>
        <w:t xml:space="preserve">Протокол вскрытия заявок формируется на бумажном носителе, подписывается руководителем Мининвеста Московской области (уполномоченным им лицом) не позднее 1 рабочего дня, следующего за днем вскрытия заявок и размещается в Информационной системе не позднее 1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дату и время поступления заявки;</w:t>
      </w:r>
    </w:p>
    <w:p>
      <w:pPr>
        <w:pStyle w:val="0"/>
        <w:spacing w:before="200" w:line-rule="auto"/>
        <w:ind w:firstLine="540"/>
        <w:jc w:val="both"/>
      </w:pPr>
      <w:r>
        <w:rPr>
          <w:sz w:val="20"/>
        </w:rPr>
        <w:t xml:space="preserve">полное наименование участника конкурса (для юридических лиц) или фамилия, имя, отчество (последнее - при наличии) (для индивидуальных предпринимателей);</w:t>
      </w:r>
    </w:p>
    <w:p>
      <w:pPr>
        <w:pStyle w:val="0"/>
        <w:spacing w:before="200" w:line-rule="auto"/>
        <w:ind w:firstLine="540"/>
        <w:jc w:val="both"/>
      </w:pPr>
      <w:r>
        <w:rPr>
          <w:sz w:val="20"/>
        </w:rPr>
        <w:t xml:space="preserve">адрес юридического лица (для юридических лиц) или адрес регистрации (для индивидуальных предпринимателей);</w:t>
      </w:r>
    </w:p>
    <w:p>
      <w:pPr>
        <w:pStyle w:val="0"/>
        <w:spacing w:before="200" w:line-rule="auto"/>
        <w:ind w:firstLine="540"/>
        <w:jc w:val="both"/>
      </w:pPr>
      <w:r>
        <w:rPr>
          <w:sz w:val="20"/>
        </w:rPr>
        <w:t xml:space="preserve">запрашиваемый участником конкурса размер субсидии.</w:t>
      </w:r>
    </w:p>
    <w:p>
      <w:pPr>
        <w:pStyle w:val="0"/>
        <w:spacing w:before="200" w:line-rule="auto"/>
        <w:ind w:firstLine="540"/>
        <w:jc w:val="both"/>
      </w:pPr>
      <w:r>
        <w:rPr>
          <w:sz w:val="20"/>
        </w:rPr>
        <w:t xml:space="preserve">АНО "АИР"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1) запрашивает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сведения из ЕГРЮЛ (ЕГРИП);</w:t>
      </w:r>
    </w:p>
    <w:p>
      <w:pPr>
        <w:pStyle w:val="0"/>
        <w:spacing w:before="200" w:line-rule="auto"/>
        <w:ind w:firstLine="540"/>
        <w:jc w:val="both"/>
      </w:pPr>
      <w:r>
        <w:rPr>
          <w:sz w:val="20"/>
        </w:rPr>
        <w:t xml:space="preserve">сведения из Единого реестра субъектов МСП;</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из налоговых деклараций, представленных индивидуальными предпринимателями, применяющими специальные налоговые режимы, за финансовый год, предшествующий году подачи заявки;</w:t>
      </w:r>
    </w:p>
    <w:p>
      <w:pPr>
        <w:pStyle w:val="0"/>
        <w:spacing w:before="200" w:line-rule="auto"/>
        <w:ind w:firstLine="540"/>
        <w:jc w:val="both"/>
      </w:pPr>
      <w:r>
        <w:rPr>
          <w:sz w:val="20"/>
        </w:rPr>
        <w:t xml:space="preserve">сведения о сумме фактически уплаченных налогов в бюджеты всех уровней за финансовый год, предшествующий году подачи заявки;</w:t>
      </w:r>
    </w:p>
    <w:p>
      <w:pPr>
        <w:pStyle w:val="0"/>
        <w:spacing w:before="200" w:line-rule="auto"/>
        <w:ind w:firstLine="540"/>
        <w:jc w:val="both"/>
      </w:pPr>
      <w:r>
        <w:rPr>
          <w:sz w:val="20"/>
        </w:rPr>
        <w:t xml:space="preserve">сведения о распределении единого налогового платежа за финансовый год, предшествующий году подачи заявки;</w:t>
      </w:r>
    </w:p>
    <w:p>
      <w:pPr>
        <w:pStyle w:val="0"/>
        <w:spacing w:before="200" w:line-rule="auto"/>
        <w:ind w:firstLine="540"/>
        <w:jc w:val="both"/>
      </w:pPr>
      <w:r>
        <w:rPr>
          <w:sz w:val="20"/>
        </w:rPr>
        <w:t xml:space="preserve">2) проводит проверку достоверности сведений, содержащихся в заявке участника конкурса,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конкурса,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20. Мининвест Московской области и АНО "АИР" не вправе требовать от участника конкурса представления документов и информации в целях подтверждения соответствия участника конкурса требованиям, определенным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pPr>
        <w:pStyle w:val="0"/>
        <w:spacing w:before="200" w:line-rule="auto"/>
        <w:ind w:firstLine="540"/>
        <w:jc w:val="both"/>
      </w:pPr>
      <w:r>
        <w:rPr>
          <w:sz w:val="20"/>
        </w:rPr>
        <w:t xml:space="preserve">21. АНО "АИР" со дня получения доступа к поданным заявкам в Информационной системе и не позднее 10 рабочих дней со дня окончания срока приема заявок рассматривает заявки на предмет соответствия участников конкурса категории получателей субсидий и требованиям, установленным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и соблюдения требований к форме и содержанию заявки, установленных Порядком.</w:t>
      </w:r>
    </w:p>
    <w:p>
      <w:pPr>
        <w:pStyle w:val="0"/>
        <w:spacing w:before="200" w:line-rule="auto"/>
        <w:ind w:firstLine="540"/>
        <w:jc w:val="both"/>
      </w:pPr>
      <w:r>
        <w:rPr>
          <w:sz w:val="20"/>
        </w:rPr>
        <w:t xml:space="preserve">АНО "АИР" направляет участнику конкурса в Информационной системе уведомление о планируемых значениях результата предоставления субсидии, которые будут включены в Соглашение в случае признания участника конкурса победителем конкурса и принятия решения о предоставлении ему субсидии, по форме, утвержденной Мининвестом Московской области, которое также содержит:</w:t>
      </w:r>
    </w:p>
    <w:p>
      <w:pPr>
        <w:pStyle w:val="0"/>
        <w:spacing w:before="200" w:line-rule="auto"/>
        <w:ind w:firstLine="540"/>
        <w:jc w:val="both"/>
      </w:pPr>
      <w:r>
        <w:rPr>
          <w:sz w:val="20"/>
        </w:rPr>
        <w:t xml:space="preserve">значения налоговых отчислений за финансовый год, предшествующий году подачи заявки;</w:t>
      </w:r>
    </w:p>
    <w:p>
      <w:pPr>
        <w:pStyle w:val="0"/>
        <w:spacing w:before="200" w:line-rule="auto"/>
        <w:ind w:firstLine="540"/>
        <w:jc w:val="both"/>
      </w:pPr>
      <w:r>
        <w:rPr>
          <w:sz w:val="20"/>
        </w:rPr>
        <w:t xml:space="preserve">планируемые значения налоговых отчислений по итогам года получения субсидии.</w:t>
      </w:r>
    </w:p>
    <w:p>
      <w:pPr>
        <w:pStyle w:val="0"/>
        <w:spacing w:before="200" w:line-rule="auto"/>
        <w:ind w:firstLine="540"/>
        <w:jc w:val="both"/>
      </w:pPr>
      <w:r>
        <w:rPr>
          <w:sz w:val="20"/>
        </w:rPr>
        <w:t xml:space="preserve">АНО "АИР" вправе запросить у участника конкурса разъяснения в отношении представленных им документов и информации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В запросе АНО "АИР" устанавливает срок представления участником конкурса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не позднее даты окончания срока рассмотрения заявок.</w:t>
      </w:r>
    </w:p>
    <w:p>
      <w:pPr>
        <w:pStyle w:val="0"/>
        <w:spacing w:before="200" w:line-rule="auto"/>
        <w:ind w:firstLine="540"/>
        <w:jc w:val="both"/>
      </w:pPr>
      <w:r>
        <w:rPr>
          <w:sz w:val="20"/>
        </w:rPr>
        <w:t xml:space="preserve">Участник конкурса формирует и представляет в Информационную систему разъяснения, запрашиваемые АНО "АИР" в сроки, установленные соответствующим запросом.</w:t>
      </w:r>
    </w:p>
    <w:bookmarkStart w:id="13694" w:name="P13694"/>
    <w:bookmarkEnd w:id="13694"/>
    <w:p>
      <w:pPr>
        <w:pStyle w:val="0"/>
        <w:spacing w:before="200" w:line-rule="auto"/>
        <w:ind w:firstLine="540"/>
        <w:jc w:val="both"/>
      </w:pPr>
      <w:r>
        <w:rPr>
          <w:sz w:val="20"/>
        </w:rPr>
        <w:t xml:space="preserve">22. По результатам рассмотрения заявки АНО "АИР" составляет одно из следующих заключений по форме, установленной Мининвестом (далее - Заключение "АНО "АИР"):</w:t>
      </w:r>
    </w:p>
    <w:p>
      <w:pPr>
        <w:pStyle w:val="0"/>
        <w:spacing w:before="200" w:line-rule="auto"/>
        <w:ind w:firstLine="540"/>
        <w:jc w:val="both"/>
      </w:pPr>
      <w:r>
        <w:rPr>
          <w:sz w:val="20"/>
        </w:rPr>
        <w:t xml:space="preserve">о признании участника конкурса допущенным к конкурсу;</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В срок не позднее 10 рабочих дней со дня окончания срока приема заявок АНО "АИР" посредством ИС ЛОД направляет в Мининвест Московской области Заключения АНО "АИР".</w:t>
      </w:r>
    </w:p>
    <w:p>
      <w:pPr>
        <w:pStyle w:val="0"/>
        <w:spacing w:before="200" w:line-rule="auto"/>
        <w:ind w:firstLine="540"/>
        <w:jc w:val="both"/>
      </w:pPr>
      <w:r>
        <w:rPr>
          <w:sz w:val="20"/>
        </w:rPr>
        <w:t xml:space="preserve">23. Основаниями для составления заключения об отклонении заявки по результатам рассмотрения заявок АНО "АИР"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p>
      <w:pPr>
        <w:pStyle w:val="0"/>
        <w:spacing w:before="200" w:line-rule="auto"/>
        <w:ind w:firstLine="540"/>
        <w:jc w:val="both"/>
      </w:pPr>
      <w:r>
        <w:rPr>
          <w:sz w:val="20"/>
        </w:rPr>
        <w:t xml:space="preserve">24. Участник конкурса признается допущенным к конкурсу в случае, если в отношении него составлено Заключение АНО "АИР" о признании участника конкурса допущенным к конкурсу.</w:t>
      </w:r>
    </w:p>
    <w:p>
      <w:pPr>
        <w:pStyle w:val="0"/>
        <w:spacing w:before="200" w:line-rule="auto"/>
        <w:ind w:firstLine="540"/>
        <w:jc w:val="both"/>
      </w:pPr>
      <w:r>
        <w:rPr>
          <w:sz w:val="20"/>
        </w:rPr>
        <w:t xml:space="preserve">25. Мининвест Московской области осуществляет проверку Заключений АНО "АИР" в срок, не превышающий 4 рабочих дней со дня их получения.</w:t>
      </w:r>
    </w:p>
    <w:p>
      <w:pPr>
        <w:pStyle w:val="0"/>
        <w:spacing w:before="200" w:line-rule="auto"/>
        <w:ind w:firstLine="540"/>
        <w:jc w:val="both"/>
      </w:pPr>
      <w:r>
        <w:rPr>
          <w:sz w:val="20"/>
        </w:rPr>
        <w:t xml:space="preserve">26. Основаниями для отклонения Мининвестом Московской области заявки участника конкурса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bookmarkStart w:id="13714" w:name="P13714"/>
    <w:bookmarkEnd w:id="13714"/>
    <w:p>
      <w:pPr>
        <w:pStyle w:val="0"/>
        <w:spacing w:before="200" w:line-rule="auto"/>
        <w:ind w:firstLine="540"/>
        <w:jc w:val="both"/>
      </w:pPr>
      <w:r>
        <w:rPr>
          <w:sz w:val="20"/>
        </w:rPr>
        <w:t xml:space="preserve">27. Мининвест Московской области с учетом Заключений АНО "АИР" принимает решения:</w:t>
      </w:r>
    </w:p>
    <w:p>
      <w:pPr>
        <w:pStyle w:val="0"/>
        <w:spacing w:before="200" w:line-rule="auto"/>
        <w:ind w:firstLine="540"/>
        <w:jc w:val="both"/>
      </w:pPr>
      <w:r>
        <w:rPr>
          <w:sz w:val="20"/>
        </w:rPr>
        <w:t xml:space="preserve">1) об отклонении заявок участников конкурса;</w:t>
      </w:r>
    </w:p>
    <w:bookmarkStart w:id="13716" w:name="P13716"/>
    <w:bookmarkEnd w:id="13716"/>
    <w:p>
      <w:pPr>
        <w:pStyle w:val="0"/>
        <w:spacing w:before="200" w:line-rule="auto"/>
        <w:ind w:firstLine="540"/>
        <w:jc w:val="both"/>
      </w:pPr>
      <w:r>
        <w:rPr>
          <w:sz w:val="20"/>
        </w:rPr>
        <w:t xml:space="preserve">2) о признании участников конкурса, соответствующих требованиям.</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 и размещаются в Информационной системе, не позднее 5 рабочих дней с даты принятия.</w:t>
      </w:r>
    </w:p>
    <w:bookmarkStart w:id="13718" w:name="P13718"/>
    <w:bookmarkEnd w:id="13718"/>
    <w:p>
      <w:pPr>
        <w:pStyle w:val="0"/>
        <w:spacing w:before="200" w:line-rule="auto"/>
        <w:ind w:firstLine="540"/>
        <w:jc w:val="both"/>
      </w:pPr>
      <w:r>
        <w:rPr>
          <w:sz w:val="20"/>
        </w:rPr>
        <w:t xml:space="preserve">28. АНО "АИР" осуществляет оценку заявок в срок не более 20 рабочих дней со дня принятия Мининвестом Московской области решения в соответствии с </w:t>
      </w:r>
      <w:hyperlink w:history="0" w:anchor="P13716" w:tooltip="2) о признании участников конкурса, соответствующих требованиям.">
        <w:r>
          <w:rPr>
            <w:sz w:val="20"/>
            <w:color w:val="0000ff"/>
          </w:rPr>
          <w:t xml:space="preserve">подпунктом 2 пункта 27</w:t>
        </w:r>
      </w:hyperlink>
      <w:r>
        <w:rPr>
          <w:sz w:val="20"/>
        </w:rPr>
        <w:t xml:space="preserve"> Порядка на основании </w:t>
      </w:r>
      <w:hyperlink w:history="0" w:anchor="P13871" w:tooltip="КРИТЕРИИ ОЦЕНКИ ЗАЯВОК, ПОДАВАЕМЫХ УЧАСТНИКАМИ КОНКУРСА">
        <w:r>
          <w:rPr>
            <w:sz w:val="20"/>
            <w:color w:val="0000ff"/>
          </w:rPr>
          <w:t xml:space="preserve">критериев</w:t>
        </w:r>
      </w:hyperlink>
      <w:r>
        <w:rPr>
          <w:sz w:val="20"/>
        </w:rPr>
        <w:t xml:space="preserve"> оценки заявок в соответствии с их весовым значением в общей оценке, предусмотренных таблицей 1 к Порядку.</w:t>
      </w:r>
    </w:p>
    <w:p>
      <w:pPr>
        <w:pStyle w:val="0"/>
        <w:spacing w:before="200" w:line-rule="auto"/>
        <w:ind w:firstLine="540"/>
        <w:jc w:val="both"/>
      </w:pPr>
      <w:r>
        <w:rPr>
          <w:sz w:val="20"/>
        </w:rPr>
        <w:t xml:space="preserve">Ранжирование заявок участников конкурса, допущенных к конкурсу, осуществляется по мере уменьшения итоговой суммы баллов, полученных по итогам оценки заявок, и очередности их поступления в случае равенства количества полученных баллов.</w:t>
      </w:r>
    </w:p>
    <w:p>
      <w:pPr>
        <w:pStyle w:val="0"/>
        <w:spacing w:before="200" w:line-rule="auto"/>
        <w:ind w:firstLine="540"/>
        <w:jc w:val="both"/>
      </w:pPr>
      <w:r>
        <w:rPr>
          <w:sz w:val="20"/>
        </w:rPr>
        <w:t xml:space="preserve">По итогам оценки заявок АНО "АИР составляет проект рейтингового списка участников конкурса.</w:t>
      </w:r>
    </w:p>
    <w:p>
      <w:pPr>
        <w:pStyle w:val="0"/>
        <w:spacing w:before="200" w:line-rule="auto"/>
        <w:ind w:firstLine="540"/>
        <w:jc w:val="both"/>
      </w:pPr>
      <w:r>
        <w:rPr>
          <w:sz w:val="20"/>
        </w:rPr>
        <w:t xml:space="preserve">Порядковый номер в рейтинговом списке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bookmarkStart w:id="13722" w:name="P13722"/>
    <w:bookmarkEnd w:id="13722"/>
    <w:p>
      <w:pPr>
        <w:pStyle w:val="0"/>
        <w:spacing w:before="200" w:line-rule="auto"/>
        <w:ind w:firstLine="540"/>
        <w:jc w:val="both"/>
      </w:pPr>
      <w:r>
        <w:rPr>
          <w:sz w:val="20"/>
        </w:rPr>
        <w:t xml:space="preserve">29. АНО "АИР" направляет уведомления о принятых в соответствии с </w:t>
      </w:r>
      <w:hyperlink w:history="0" w:anchor="P13714" w:tooltip="27. Мининвест Московской области с учетом Заключений АНО &quot;АИР&quot; принимает решения:">
        <w:r>
          <w:rPr>
            <w:sz w:val="20"/>
            <w:color w:val="0000ff"/>
          </w:rPr>
          <w:t xml:space="preserve">пунктом 27</w:t>
        </w:r>
      </w:hyperlink>
      <w:r>
        <w:rPr>
          <w:sz w:val="20"/>
        </w:rPr>
        <w:t xml:space="preserve">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w:t>
      </w:r>
    </w:p>
    <w:p>
      <w:pPr>
        <w:pStyle w:val="0"/>
        <w:spacing w:before="200" w:line-rule="auto"/>
        <w:ind w:firstLine="540"/>
        <w:jc w:val="both"/>
      </w:pPr>
      <w:r>
        <w:rPr>
          <w:sz w:val="20"/>
        </w:rPr>
        <w:t xml:space="preserve">В уведомлениях, направленных участникам конкурса, признанных соответствующих требованиям указывается срок, в течение которого им необходимо представить документы на Оборудование, в соответствии с </w:t>
      </w:r>
      <w:hyperlink w:history="0" w:anchor="P13979" w:tooltip="ПЕРЕЧЕНЬ ДОКУМЕНТОВ, ПРЕДСТАВЛЯЕМЫХ УЧАСТНИКАМИ КОНКУРСА">
        <w:r>
          <w:rPr>
            <w:sz w:val="20"/>
            <w:color w:val="0000ff"/>
          </w:rPr>
          <w:t xml:space="preserve">таблицей 3</w:t>
        </w:r>
      </w:hyperlink>
      <w:r>
        <w:rPr>
          <w:sz w:val="20"/>
        </w:rPr>
        <w:t xml:space="preserve"> к Порядку.</w:t>
      </w:r>
    </w:p>
    <w:bookmarkStart w:id="13724" w:name="P13724"/>
    <w:bookmarkEnd w:id="13724"/>
    <w:p>
      <w:pPr>
        <w:pStyle w:val="0"/>
        <w:spacing w:before="200" w:line-rule="auto"/>
        <w:ind w:firstLine="540"/>
        <w:jc w:val="both"/>
      </w:pPr>
      <w:r>
        <w:rPr>
          <w:sz w:val="20"/>
        </w:rPr>
        <w:t xml:space="preserve">30. В течение 20 рабочих дней со дня окончания срока, указанного в уведомлениях, указанных в </w:t>
      </w:r>
      <w:hyperlink w:history="0" w:anchor="P13722" w:tooltip="29. АНО &quot;АИР&quot; направляет уведомления о принятых в соответствии с пунктом 27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
        <w:r>
          <w:rPr>
            <w:sz w:val="20"/>
            <w:color w:val="0000ff"/>
          </w:rPr>
          <w:t xml:space="preserve">пункте 29</w:t>
        </w:r>
      </w:hyperlink>
      <w:r>
        <w:rPr>
          <w:sz w:val="20"/>
        </w:rPr>
        <w:t xml:space="preserve"> Порядка, АНО "АИР" рассматривает документы на Оборудование, на соответствие затрат, произведенных участником конкурса, цели предоставления субсидии и направлениям затрат, установленным </w:t>
      </w:r>
      <w:hyperlink w:history="0" w:anchor="P13758" w:tooltip="38. Направления затрат, на возмещение которых предоставляется субсидия, являются затраты на приобретение Оборудования, под которыми понимаются:">
        <w:r>
          <w:rPr>
            <w:sz w:val="20"/>
            <w:color w:val="0000ff"/>
          </w:rPr>
          <w:t xml:space="preserve">пунктом 38</w:t>
        </w:r>
      </w:hyperlink>
      <w:r>
        <w:rPr>
          <w:sz w:val="20"/>
        </w:rPr>
        <w:t xml:space="preserve"> Порядка, а также проверяет полноту, комплектность и соответствие установленным требованиям документов на Оборудование согласно </w:t>
      </w:r>
      <w:hyperlink w:history="0" w:anchor="P13979" w:tooltip="ПЕРЕЧЕНЬ ДОКУМЕНТОВ, ПРЕДСТАВЛЯЕМЫХ УЧАСТНИКАМИ КОНКУРСА">
        <w:r>
          <w:rPr>
            <w:sz w:val="20"/>
            <w:color w:val="0000ff"/>
          </w:rPr>
          <w:t xml:space="preserve">таблице 3</w:t>
        </w:r>
      </w:hyperlink>
      <w:r>
        <w:rPr>
          <w:sz w:val="20"/>
        </w:rPr>
        <w:t xml:space="preserve"> к Порядку.</w:t>
      </w:r>
    </w:p>
    <w:p>
      <w:pPr>
        <w:pStyle w:val="0"/>
        <w:spacing w:before="200" w:line-rule="auto"/>
        <w:ind w:firstLine="540"/>
        <w:jc w:val="both"/>
      </w:pPr>
      <w:r>
        <w:rPr>
          <w:sz w:val="20"/>
        </w:rPr>
        <w:t xml:space="preserve">АНО "АИР" запрашивает у участника конкурса разъяснения, касающиеся сведений и данных, указанных в документах на Оборудование,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31. По результатам рассмотрения документов на Оборудование АНО "АИР" составляет заключение о подтверждении затрат, произведенных участником конкурса, признанным соответствующим требованиям, либо об отсутствии подтверждения произведенных затрат по форме, установленной Мининвестом Московской области (далее - Заключение по затратам).</w:t>
      </w:r>
    </w:p>
    <w:p>
      <w:pPr>
        <w:pStyle w:val="0"/>
        <w:spacing w:before="200" w:line-rule="auto"/>
        <w:ind w:firstLine="540"/>
        <w:jc w:val="both"/>
      </w:pPr>
      <w:r>
        <w:rPr>
          <w:sz w:val="20"/>
        </w:rPr>
        <w:t xml:space="preserve">Заключение по затратам и документы на Оборудование направляются посредством ИС ЛОД в Мининвест Московской области в срок не более 20 рабочих дней со дня принятия Мининвестом Московской области решения в соответствии с </w:t>
      </w:r>
      <w:hyperlink w:history="0" w:anchor="P13716" w:tooltip="2) о признании участников конкурса, соответствующих требованиям.">
        <w:r>
          <w:rPr>
            <w:sz w:val="20"/>
            <w:color w:val="0000ff"/>
          </w:rPr>
          <w:t xml:space="preserve">подпунктом 2 пункта 27</w:t>
        </w:r>
      </w:hyperlink>
      <w:r>
        <w:rPr>
          <w:sz w:val="20"/>
        </w:rPr>
        <w:t xml:space="preserve"> Порядка.</w:t>
      </w:r>
    </w:p>
    <w:p>
      <w:pPr>
        <w:pStyle w:val="0"/>
        <w:spacing w:before="200" w:line-rule="auto"/>
        <w:ind w:firstLine="540"/>
        <w:jc w:val="both"/>
      </w:pPr>
      <w:r>
        <w:rPr>
          <w:sz w:val="20"/>
        </w:rPr>
        <w:t xml:space="preserve">32. Мининвест Московской области осуществляет проверку представленных АНО "АИР" Заключений по затратам, проекта рейтингового списка и документов на Оборудование в срок не более 10 рабочих дней со дня их получения.</w:t>
      </w:r>
    </w:p>
    <w:p>
      <w:pPr>
        <w:pStyle w:val="0"/>
        <w:spacing w:before="200" w:line-rule="auto"/>
        <w:ind w:firstLine="540"/>
        <w:jc w:val="both"/>
      </w:pPr>
      <w:r>
        <w:rPr>
          <w:sz w:val="20"/>
        </w:rPr>
        <w:t xml:space="preserve">Мининвест Московской области согласовывает представленные АНО "АИР" Заключения по затратам и проект рейтингового списка.</w:t>
      </w:r>
    </w:p>
    <w:p>
      <w:pPr>
        <w:pStyle w:val="0"/>
        <w:spacing w:before="200" w:line-rule="auto"/>
        <w:ind w:firstLine="540"/>
        <w:jc w:val="both"/>
      </w:pPr>
      <w:r>
        <w:rPr>
          <w:sz w:val="20"/>
        </w:rPr>
        <w:t xml:space="preserve">33. По результатам проверки документов на Оборудование, Заключений по затратам и проекта рейтингового списка Мининвест Московской области формирует протокол подведения итогов конкурса, который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не позднее 14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подведения итогов конкурса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дату, время и место оценки заявок;</w:t>
      </w:r>
    </w:p>
    <w:p>
      <w:pPr>
        <w:pStyle w:val="0"/>
        <w:spacing w:before="200" w:line-rule="auto"/>
        <w:ind w:firstLine="540"/>
        <w:jc w:val="both"/>
      </w:pPr>
      <w:r>
        <w:rPr>
          <w:sz w:val="20"/>
        </w:rPr>
        <w:t xml:space="preserve">информацию об участниках конкурса, заявки которых были рассмотрены;</w:t>
      </w:r>
    </w:p>
    <w:p>
      <w:pPr>
        <w:pStyle w:val="0"/>
        <w:spacing w:before="200" w:line-rule="auto"/>
        <w:ind w:firstLine="540"/>
        <w:jc w:val="both"/>
      </w:pPr>
      <w:r>
        <w:rPr>
          <w:sz w:val="20"/>
        </w:rPr>
        <w:t xml:space="preserve">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0"/>
        <w:spacing w:before="200" w:line-rule="auto"/>
        <w:ind w:firstLine="540"/>
        <w:jc w:val="both"/>
      </w:pPr>
      <w:r>
        <w:rPr>
          <w:sz w:val="20"/>
        </w:rPr>
        <w:t xml:space="preserve">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и их весовых значений, сумма полученных баллов по итогам оценки заявок по каждому участнику конкурса;</w:t>
      </w:r>
    </w:p>
    <w:p>
      <w:pPr>
        <w:pStyle w:val="0"/>
        <w:spacing w:before="200" w:line-rule="auto"/>
        <w:ind w:firstLine="540"/>
        <w:jc w:val="both"/>
      </w:pPr>
      <w:r>
        <w:rPr>
          <w:sz w:val="20"/>
        </w:rPr>
        <w:t xml:space="preserve">наименования участников конкурса, признанных победителями конкурса, с которыми заключается Соглашение (далее - получатели субсидии), и размер предоставляемой им субсидии.</w:t>
      </w:r>
    </w:p>
    <w:p>
      <w:pPr>
        <w:pStyle w:val="0"/>
        <w:spacing w:before="200" w:line-rule="auto"/>
        <w:ind w:firstLine="540"/>
        <w:jc w:val="both"/>
      </w:pPr>
      <w:r>
        <w:rPr>
          <w:sz w:val="20"/>
        </w:rPr>
        <w:t xml:space="preserve">Распределение субсидии между участниками конкурса осуществляется на основании итогов конкурса участникам конкурса, заявки которых расположены первой и последующими в рейтинговом списке, суммарный размер субсидии по которым не превышает предельного объема средств, предусмотренных на цели, указанные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доведенных до Мининвеста Московской области на предоставление субсидии на текущий финансовый год.</w:t>
      </w:r>
    </w:p>
    <w:p>
      <w:pPr>
        <w:pStyle w:val="0"/>
        <w:spacing w:before="200" w:line-rule="auto"/>
        <w:ind w:firstLine="540"/>
        <w:jc w:val="both"/>
      </w:pPr>
      <w:r>
        <w:rPr>
          <w:sz w:val="20"/>
        </w:rPr>
        <w:t xml:space="preserve">34. АНО "АИР" в срок не позднее 1 рабочего дня со дня подписания протокола подведения итогов конкурса направляет в личный кабинет участникам конкурса в Информационной системе уведомление об отклонении заявки с указанием причин их отклонения.</w:t>
      </w:r>
    </w:p>
    <w:p>
      <w:pPr>
        <w:pStyle w:val="0"/>
        <w:spacing w:before="200" w:line-rule="auto"/>
        <w:ind w:firstLine="540"/>
        <w:jc w:val="both"/>
      </w:pPr>
      <w:r>
        <w:rPr>
          <w:sz w:val="20"/>
        </w:rPr>
        <w:t xml:space="preserve">35. Конкурс признается Мининвестом Московской области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Мининвеста Московской области о признании конкурса несостоявшимся, содержащее информацию о причинах признания конкурса несостоявшимся, размещается в Информационной системе и на официальном сайте Мининвеста Московской области (</w:t>
      </w:r>
      <w:hyperlink w:history="0" r:id="rId589">
        <w:r>
          <w:rPr>
            <w:sz w:val="20"/>
            <w:color w:val="0000ff"/>
          </w:rPr>
          <w:t xml:space="preserve">https://mii.mosreg.ru</w:t>
        </w:r>
      </w:hyperlink>
      <w:r>
        <w:rPr>
          <w:sz w:val="20"/>
        </w:rPr>
        <w:t xml:space="preserve">) с размещением указателя страницы сайта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конкурса несостоявшимся по основаниям, указанным в настоящем пункте, Мининвест Московской области в течение 20 календарных дней, следующих за днем признания конкурса несостоявшимся, принимает решение о проведении нового конкурса.</w:t>
      </w:r>
    </w:p>
    <w:p>
      <w:pPr>
        <w:pStyle w:val="0"/>
        <w:spacing w:before="200" w:line-rule="auto"/>
        <w:ind w:firstLine="540"/>
        <w:jc w:val="both"/>
      </w:pPr>
      <w:r>
        <w:rPr>
          <w:sz w:val="20"/>
        </w:rPr>
        <w:t xml:space="preserve">36. Мининвест Московской области принимает решение об отмене конкурса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3) внесение изменений в Порядок в части изменения положений о порядке проведения конкурса.</w:t>
      </w:r>
    </w:p>
    <w:p>
      <w:pPr>
        <w:pStyle w:val="0"/>
        <w:spacing w:before="200" w:line-rule="auto"/>
        <w:ind w:firstLine="540"/>
        <w:jc w:val="both"/>
      </w:pPr>
      <w:r>
        <w:rPr>
          <w:sz w:val="20"/>
        </w:rPr>
        <w:t xml:space="preserve">Объявление об отмене конкурса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и на официальном сайте Мининвеста Московской области (</w:t>
      </w:r>
      <w:hyperlink w:history="0" r:id="rId590">
        <w:r>
          <w:rPr>
            <w:sz w:val="20"/>
            <w:color w:val="0000ff"/>
          </w:rPr>
          <w:t xml:space="preserve">https://mii.mosreg.ru</w:t>
        </w:r>
      </w:hyperlink>
      <w:r>
        <w:rPr>
          <w:sz w:val="20"/>
        </w:rPr>
        <w:t xml:space="preserve">) с размещением указателя страницы сайта на едином портале, не позднее чем за 1 рабочий день до даты окончания срока подачи заявок участниками конкурса и содержит информацию о причинах отмены конкурса.</w:t>
      </w:r>
    </w:p>
    <w:p>
      <w:pPr>
        <w:pStyle w:val="0"/>
        <w:spacing w:before="200" w:line-rule="auto"/>
        <w:ind w:firstLine="540"/>
        <w:jc w:val="both"/>
      </w:pPr>
      <w:r>
        <w:rPr>
          <w:sz w:val="20"/>
        </w:rPr>
        <w:t xml:space="preserve">Участники конкурса, подавшие заявки, информируются об отмене проведения конкурса в Информационной системе.</w:t>
      </w:r>
    </w:p>
    <w:p>
      <w:pPr>
        <w:pStyle w:val="0"/>
        <w:spacing w:before="200" w:line-rule="auto"/>
        <w:ind w:firstLine="540"/>
        <w:jc w:val="both"/>
      </w:pPr>
      <w:r>
        <w:rPr>
          <w:sz w:val="20"/>
        </w:rPr>
        <w:t xml:space="preserve">Конкурс считается отмененным со дня размещения объявления о его отмене в Информационной системе.</w:t>
      </w:r>
    </w:p>
    <w:bookmarkStart w:id="13752" w:name="P13752"/>
    <w:bookmarkEnd w:id="13752"/>
    <w:p>
      <w:pPr>
        <w:pStyle w:val="0"/>
        <w:spacing w:before="200" w:line-rule="auto"/>
        <w:ind w:firstLine="540"/>
        <w:jc w:val="both"/>
      </w:pPr>
      <w:r>
        <w:rPr>
          <w:sz w:val="20"/>
        </w:rPr>
        <w:t xml:space="preserve">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"АИР" запрос о разъяснении положений объявления о проведении конкурса путем формирования соответствующего запроса.</w:t>
      </w:r>
    </w:p>
    <w:p>
      <w:pPr>
        <w:pStyle w:val="0"/>
        <w:spacing w:before="200" w:line-rule="auto"/>
        <w:ind w:firstLine="540"/>
        <w:jc w:val="both"/>
      </w:pPr>
      <w:r>
        <w:rPr>
          <w:sz w:val="20"/>
        </w:rPr>
        <w:t xml:space="preserve">АНО "АИР" в ответ на запрос, указанный в </w:t>
      </w:r>
      <w:hyperlink w:history="0" w:anchor="P13752"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конкурса в срок, установленный указанным объявлением, но не позднее 1 рабочего дня до даты окончания приема заявок, путем направления официального ответа. При этом разъяснение положений объявления о проведении конкурса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конкурса.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3758" w:name="P13758"/>
    <w:bookmarkEnd w:id="13758"/>
    <w:p>
      <w:pPr>
        <w:pStyle w:val="0"/>
        <w:ind w:firstLine="540"/>
        <w:jc w:val="both"/>
      </w:pPr>
      <w:r>
        <w:rPr>
          <w:sz w:val="20"/>
        </w:rPr>
        <w:t xml:space="preserve">38. Направления затрат, на возмещение которых предоставляется субсидия, являются затраты на приобретение Оборудования, под которыми понимаются:</w:t>
      </w:r>
    </w:p>
    <w:p>
      <w:pPr>
        <w:pStyle w:val="0"/>
        <w:spacing w:before="200" w:line-rule="auto"/>
        <w:ind w:firstLine="540"/>
        <w:jc w:val="both"/>
      </w:pPr>
      <w:r>
        <w:rPr>
          <w:sz w:val="20"/>
        </w:rPr>
        <w:t xml:space="preserve">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Оборудования.</w:t>
      </w:r>
    </w:p>
    <w:p>
      <w:pPr>
        <w:pStyle w:val="0"/>
        <w:spacing w:before="200" w:line-rule="auto"/>
        <w:ind w:firstLine="540"/>
        <w:jc w:val="both"/>
      </w:pPr>
      <w:r>
        <w:rPr>
          <w:sz w:val="20"/>
        </w:rPr>
        <w:t xml:space="preserve">В рамках субсидии не возмещаются затраты на приобретение в собственность Оборудования:</w:t>
      </w:r>
    </w:p>
    <w:p>
      <w:pPr>
        <w:pStyle w:val="0"/>
        <w:spacing w:before="200" w:line-rule="auto"/>
        <w:ind w:firstLine="540"/>
        <w:jc w:val="both"/>
      </w:pPr>
      <w:r>
        <w:rPr>
          <w:sz w:val="20"/>
        </w:rPr>
        <w:t xml:space="preserve">ранее находившегося в эксплуатации;</w:t>
      </w:r>
    </w:p>
    <w:p>
      <w:pPr>
        <w:pStyle w:val="0"/>
        <w:spacing w:before="200" w:line-rule="auto"/>
        <w:ind w:firstLine="540"/>
        <w:jc w:val="both"/>
      </w:pPr>
      <w:r>
        <w:rPr>
          <w:sz w:val="20"/>
        </w:rPr>
        <w:t xml:space="preserve">дата изготовления (выпуска) которого превышает 5 лет на дату подачи заявки на предоставление субсидии;</w:t>
      </w:r>
    </w:p>
    <w:p>
      <w:pPr>
        <w:pStyle w:val="0"/>
        <w:spacing w:before="200" w:line-rule="auto"/>
        <w:ind w:firstLine="540"/>
        <w:jc w:val="both"/>
      </w:pPr>
      <w:r>
        <w:rPr>
          <w:sz w:val="20"/>
        </w:rPr>
        <w:t xml:space="preserve">предназначенного для осуществления деятельности в соответствии с разделом "G" </w:t>
      </w:r>
      <w:hyperlink w:history="0" r:id="rId59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Возмещению подлежат затраты, понесенные участником конкурса за период не ранее дня, следующего за днем окончания приема заявок на участие в конкурсе, проведенном в предшествующем календарном году по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мероприятию 01.01</w:t>
        </w:r>
      </w:hyperlink>
      <w:r>
        <w:rPr>
          <w:sz w:val="20"/>
        </w:rPr>
        <w:t xml:space="preserve"> по дату подачи заявки на участие в конкурсе в текущем финансовом году.</w:t>
      </w:r>
    </w:p>
    <w:p>
      <w:pPr>
        <w:pStyle w:val="0"/>
        <w:spacing w:before="200" w:line-rule="auto"/>
        <w:ind w:firstLine="540"/>
        <w:jc w:val="both"/>
      </w:pPr>
      <w:r>
        <w:rPr>
          <w:sz w:val="20"/>
        </w:rPr>
        <w:t xml:space="preserve">39. Размер субсидии составляет 50 процентов произведенных и документально подтвержденных затрат на приобретение Оборудования и не может превышать 5 млн рублей на одного получателя субсидии по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мероприятию 01.01</w:t>
        </w:r>
      </w:hyperlink>
      <w:r>
        <w:rPr>
          <w:sz w:val="20"/>
        </w:rPr>
        <w:t xml:space="preserve"> с учетом особенностей, установленных </w:t>
      </w:r>
      <w:hyperlink w:history="0" w:anchor="P13766" w:tooltip="В случае если получатель субсидии одновременно является получателем субсидии, предоставляемой в текущем финансовом году в рамках реализации мероприятия 01.07 &quot;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quot; подпрограммы 3 государственной программы, то размер субсидии снижается таким образом, что совокупный размер субсидий по указанным мероприятиям не может превышать 5 млн рублей на такого по...">
        <w:r>
          <w:rPr>
            <w:sz w:val="20"/>
            <w:color w:val="0000ff"/>
          </w:rPr>
          <w:t xml:space="preserve">абзацем вторым</w:t>
        </w:r>
      </w:hyperlink>
      <w:r>
        <w:rPr>
          <w:sz w:val="20"/>
        </w:rPr>
        <w:t xml:space="preserve"> настоящего пункта.</w:t>
      </w:r>
    </w:p>
    <w:bookmarkStart w:id="13766" w:name="P13766"/>
    <w:bookmarkEnd w:id="13766"/>
    <w:p>
      <w:pPr>
        <w:pStyle w:val="0"/>
        <w:spacing w:before="200" w:line-rule="auto"/>
        <w:ind w:firstLine="540"/>
        <w:jc w:val="both"/>
      </w:pPr>
      <w:r>
        <w:rPr>
          <w:sz w:val="20"/>
        </w:rPr>
        <w:t xml:space="preserve">В случае если получатель субсидии одновременно является получателем субсидии, предоставляемой в текущем финансовом году в рамках реализации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мероприятия 01.07</w:t>
        </w:r>
      </w:hyperlink>
      <w:r>
        <w:rPr>
          <w:sz w:val="20"/>
        </w:rPr>
        <w:t xml:space="preserve">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подпрограммы 3 государственной программы, то размер субсидии снижается таким образом, что совокупный размер субсидий по указанным мероприятиям не может превышать 5 млн рублей на такого получателя субсидии.</w:t>
      </w:r>
    </w:p>
    <w:p>
      <w:pPr>
        <w:pStyle w:val="0"/>
        <w:spacing w:before="200" w:line-rule="auto"/>
        <w:ind w:firstLine="540"/>
        <w:jc w:val="both"/>
      </w:pPr>
      <w:r>
        <w:rPr>
          <w:sz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w:t>
      </w:r>
      <w:hyperlink w:history="0" w:anchor="P13979" w:tooltip="ПЕРЕЧЕНЬ ДОКУМЕНТОВ, ПРЕДСТАВЛЯЕМЫХ УЧАСТНИКАМИ КОНКУРСА">
        <w:r>
          <w:rPr>
            <w:sz w:val="20"/>
            <w:color w:val="0000ff"/>
          </w:rPr>
          <w:t xml:space="preserve">таблицей 3</w:t>
        </w:r>
      </w:hyperlink>
      <w:r>
        <w:rPr>
          <w:sz w:val="20"/>
        </w:rPr>
        <w:t xml:space="preserve"> к Порядку.</w:t>
      </w:r>
    </w:p>
    <w:bookmarkStart w:id="13768" w:name="P13768"/>
    <w:bookmarkEnd w:id="13768"/>
    <w:p>
      <w:pPr>
        <w:pStyle w:val="0"/>
        <w:spacing w:before="200" w:line-rule="auto"/>
        <w:ind w:firstLine="540"/>
        <w:jc w:val="both"/>
      </w:pPr>
      <w:r>
        <w:rPr>
          <w:sz w:val="20"/>
        </w:rPr>
        <w:t xml:space="preserve">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w:t>
      </w:r>
    </w:p>
    <w:p>
      <w:pPr>
        <w:pStyle w:val="0"/>
        <w:spacing w:before="200" w:line-rule="auto"/>
        <w:ind w:firstLine="540"/>
        <w:jc w:val="both"/>
      </w:pPr>
      <w:r>
        <w:rPr>
          <w:sz w:val="20"/>
        </w:rPr>
        <w:t xml:space="preserve">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победителя конкурса требованиям, установленным в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 несоответствие затрат, произведенных победителем конкурса,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3) 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4) установление факта недостоверности информации, представленной участником конкурса, признанным допущенным к конкурсу;</w:t>
      </w:r>
    </w:p>
    <w:bookmarkStart w:id="13774" w:name="P13774"/>
    <w:bookmarkEnd w:id="13774"/>
    <w:p>
      <w:pPr>
        <w:pStyle w:val="0"/>
        <w:spacing w:before="200" w:line-rule="auto"/>
        <w:ind w:firstLine="540"/>
        <w:jc w:val="both"/>
      </w:pPr>
      <w:r>
        <w:rPr>
          <w:sz w:val="20"/>
        </w:rPr>
        <w:t xml:space="preserve">5) уклонение победителя конкурса от подписания Соглашения;</w:t>
      </w:r>
    </w:p>
    <w:bookmarkStart w:id="13775" w:name="P13775"/>
    <w:bookmarkEnd w:id="13775"/>
    <w:p>
      <w:pPr>
        <w:pStyle w:val="0"/>
        <w:spacing w:before="200" w:line-rule="auto"/>
        <w:ind w:firstLine="540"/>
        <w:jc w:val="both"/>
      </w:pPr>
      <w:r>
        <w:rPr>
          <w:sz w:val="20"/>
        </w:rPr>
        <w:t xml:space="preserve">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bookmarkStart w:id="13776" w:name="P13776"/>
    <w:bookmarkEnd w:id="13776"/>
    <w:p>
      <w:pPr>
        <w:pStyle w:val="0"/>
        <w:spacing w:before="200" w:line-rule="auto"/>
        <w:ind w:firstLine="540"/>
        <w:jc w:val="both"/>
      </w:pPr>
      <w:r>
        <w:rPr>
          <w:sz w:val="20"/>
        </w:rPr>
        <w:t xml:space="preserve">41. В случае отказа в предоставлении субсидии в соответствии с </w:t>
      </w:r>
      <w:hyperlink w:history="0" w:anchor="P13775"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и образования нераспределенных бюджетных ассигнований, распределяемых в рамках конкурса, субсидии предоставляются в следующей очередности:</w:t>
      </w:r>
    </w:p>
    <w:bookmarkStart w:id="13777" w:name="P13777"/>
    <w:bookmarkEnd w:id="13777"/>
    <w:p>
      <w:pPr>
        <w:pStyle w:val="0"/>
        <w:spacing w:before="200" w:line-rule="auto"/>
        <w:ind w:firstLine="540"/>
        <w:jc w:val="both"/>
      </w:pPr>
      <w:r>
        <w:rPr>
          <w:sz w:val="20"/>
        </w:rPr>
        <w:t xml:space="preserve">участнику конкурса, у которого размер субсидии снижен в связи с недостаточностью бюджетных ассигнований;</w:t>
      </w:r>
    </w:p>
    <w:bookmarkStart w:id="13778" w:name="P13778"/>
    <w:bookmarkEnd w:id="13778"/>
    <w:p>
      <w:pPr>
        <w:pStyle w:val="0"/>
        <w:spacing w:before="200" w:line-rule="auto"/>
        <w:ind w:firstLine="540"/>
        <w:jc w:val="both"/>
      </w:pPr>
      <w:r>
        <w:rPr>
          <w:sz w:val="20"/>
        </w:rPr>
        <w:t xml:space="preserve">участникам конкурса, признанным победителями конкурса, но которым отказано в предоставлении субсидии по основанию, установленному </w:t>
      </w:r>
      <w:hyperlink w:history="0" w:anchor="P13775"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признании победителями конкурса участников конкурса о предоставлении им субсидии победителям конкурса, указанным в </w:t>
      </w:r>
      <w:hyperlink w:history="0" w:anchor="P13777" w:tooltip="участнику конкурса, у которого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3778" w:tooltip="участникам конкурса, признанным победителями конкурса, но которым отказано в предоставлении субсидии по основанию, установленному подпунктом 6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bookmarkStart w:id="13780" w:name="P13780"/>
    <w:bookmarkEnd w:id="13780"/>
    <w:p>
      <w:pPr>
        <w:pStyle w:val="0"/>
        <w:spacing w:before="200" w:line-rule="auto"/>
        <w:ind w:firstLine="540"/>
        <w:jc w:val="both"/>
      </w:pPr>
      <w:r>
        <w:rPr>
          <w:sz w:val="20"/>
        </w:rPr>
        <w:t xml:space="preserve">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мероприятия 01.01</w:t>
        </w:r>
      </w:hyperlink>
      <w:r>
        <w:rPr>
          <w:sz w:val="20"/>
        </w:rPr>
        <w:t xml:space="preserve">, субсидия предоставляются в следующей очередности без проведения нового конкурса:</w:t>
      </w:r>
    </w:p>
    <w:bookmarkStart w:id="13781" w:name="P13781"/>
    <w:bookmarkEnd w:id="13781"/>
    <w:p>
      <w:pPr>
        <w:pStyle w:val="0"/>
        <w:spacing w:before="200" w:line-rule="auto"/>
        <w:ind w:firstLine="540"/>
        <w:jc w:val="both"/>
      </w:pPr>
      <w:r>
        <w:rPr>
          <w:sz w:val="20"/>
        </w:rPr>
        <w:t xml:space="preserve">участникам конкурса, у которых размер субсидии снижен в связи с недостаточностью бюджетных ассигнований;</w:t>
      </w:r>
    </w:p>
    <w:bookmarkStart w:id="13782" w:name="P13782"/>
    <w:bookmarkEnd w:id="13782"/>
    <w:p>
      <w:pPr>
        <w:pStyle w:val="0"/>
        <w:spacing w:before="200" w:line-rule="auto"/>
        <w:ind w:firstLine="540"/>
        <w:jc w:val="both"/>
      </w:pPr>
      <w:r>
        <w:rPr>
          <w:sz w:val="20"/>
        </w:rPr>
        <w:t xml:space="preserve">участникам конкурса, которым отказано в предоставлении субсидии по основанию, установленному подпунктом седьмым пункта 40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предоставлении субсидии победителям конкурса, указанным в </w:t>
      </w:r>
      <w:hyperlink w:history="0" w:anchor="P13781" w:tooltip="участникам конкурса, у которых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3782" w:tooltip="участникам конкурса, которым отказано в предоставлении субсидии по основанию, установленному подпунктом седьмым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p>
      <w:pPr>
        <w:pStyle w:val="0"/>
        <w:spacing w:before="200" w:line-rule="auto"/>
        <w:ind w:firstLine="540"/>
        <w:jc w:val="both"/>
      </w:pPr>
      <w:r>
        <w:rPr>
          <w:sz w:val="20"/>
        </w:rPr>
        <w:t xml:space="preserve">43. По результатам конкурса с победителем конкурса заключается Соглашение в соответствии с положениями пункта 29.1 Порядка разработки и реализации государственных программ.</w:t>
      </w:r>
    </w:p>
    <w:bookmarkStart w:id="13785" w:name="P13785"/>
    <w:bookmarkEnd w:id="13785"/>
    <w:p>
      <w:pPr>
        <w:pStyle w:val="0"/>
        <w:spacing w:before="200" w:line-rule="auto"/>
        <w:ind w:firstLine="540"/>
        <w:jc w:val="both"/>
      </w:pPr>
      <w:r>
        <w:rPr>
          <w:sz w:val="20"/>
        </w:rPr>
        <w:t xml:space="preserve">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w:t>
      </w:r>
    </w:p>
    <w:bookmarkStart w:id="13786" w:name="P13786"/>
    <w:bookmarkEnd w:id="13786"/>
    <w:p>
      <w:pPr>
        <w:pStyle w:val="0"/>
        <w:spacing w:before="200" w:line-rule="auto"/>
        <w:ind w:firstLine="540"/>
        <w:jc w:val="both"/>
      </w:pPr>
      <w:r>
        <w:rPr>
          <w:sz w:val="20"/>
        </w:rPr>
        <w:t xml:space="preserve">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w:t>
      </w:r>
      <w:hyperlink w:history="0" w:anchor="P13776"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и </w:t>
      </w:r>
      <w:hyperlink w:history="0" w:anchor="P13780"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1,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(далее - Решение) в следующем порядке:</w:t>
      </w:r>
    </w:p>
    <w:p>
      <w:pPr>
        <w:pStyle w:val="0"/>
        <w:spacing w:before="200" w:line-rule="auto"/>
        <w:ind w:firstLine="540"/>
        <w:jc w:val="both"/>
      </w:pPr>
      <w:r>
        <w:rPr>
          <w:sz w:val="20"/>
        </w:rPr>
        <w:t xml:space="preserve">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усиленной квалифицированной ЭП уполномоченного должностного лица Мининвеста Московской области, в личный кабинет победителя конкурса в Информационной системе;</w:t>
      </w:r>
    </w:p>
    <w:bookmarkStart w:id="13788" w:name="P13788"/>
    <w:bookmarkEnd w:id="13788"/>
    <w:p>
      <w:pPr>
        <w:pStyle w:val="0"/>
        <w:spacing w:before="200" w:line-rule="auto"/>
        <w:ind w:firstLine="540"/>
        <w:jc w:val="both"/>
      </w:pPr>
      <w:r>
        <w:rPr>
          <w:sz w:val="20"/>
        </w:rPr>
        <w:t xml:space="preserve">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w:t>
      </w:r>
    </w:p>
    <w:p>
      <w:pPr>
        <w:pStyle w:val="0"/>
        <w:spacing w:before="200" w:line-rule="auto"/>
        <w:ind w:firstLine="540"/>
        <w:jc w:val="both"/>
      </w:pPr>
      <w:r>
        <w:rPr>
          <w:sz w:val="20"/>
        </w:rPr>
        <w:t xml:space="preserve">Победитель Конкурса вправе отказаться от получения субсидии, направив в Мининвест Московской области соответствующий запрос в Информационной системе.</w:t>
      </w:r>
    </w:p>
    <w:p>
      <w:pPr>
        <w:pStyle w:val="0"/>
        <w:spacing w:before="200" w:line-rule="auto"/>
        <w:ind w:firstLine="540"/>
        <w:jc w:val="both"/>
      </w:pPr>
      <w:r>
        <w:rPr>
          <w:sz w:val="20"/>
        </w:rPr>
        <w:t xml:space="preserve">В случае неподписания победителем конкурса Соглашения в установленный срок Мининвест Московской области принимает решение об отказе в предоставлении субсидии по основанию, предусмотренному </w:t>
      </w:r>
      <w:hyperlink w:history="0" w:anchor="P13774" w:tooltip="5) уклонение победителя конкурса от подписания Соглашения;">
        <w:r>
          <w:rPr>
            <w:sz w:val="20"/>
            <w:color w:val="0000ff"/>
          </w:rPr>
          <w:t xml:space="preserve">подпунктом 5 пункта 40</w:t>
        </w:r>
      </w:hyperlink>
      <w:r>
        <w:rPr>
          <w:sz w:val="20"/>
        </w:rPr>
        <w:t xml:space="preserve"> Порядка.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конкурса победителем конкурса;</w:t>
      </w:r>
    </w:p>
    <w:p>
      <w:pPr>
        <w:pStyle w:val="0"/>
        <w:spacing w:before="200" w:line-rule="auto"/>
        <w:ind w:firstLine="540"/>
        <w:jc w:val="both"/>
      </w:pPr>
      <w:r>
        <w:rPr>
          <w:sz w:val="20"/>
        </w:rPr>
        <w:t xml:space="preserve">соответствие на дату заключения Соглашения победителя конкурса требованиям, установленным </w:t>
      </w:r>
      <w:hyperlink w:history="0" w:anchor="P13592"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46.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конкурса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Дополнительные соглашения заключаются в порядке, аналогичном порядку, указанному в </w:t>
      </w:r>
      <w:hyperlink w:history="0" w:anchor="P13786"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пункте 45</w:t>
        </w:r>
      </w:hyperlink>
      <w:r>
        <w:rPr>
          <w:sz w:val="20"/>
        </w:rPr>
        <w:t xml:space="preserve"> для заключения Соглашения.</w:t>
      </w:r>
    </w:p>
    <w:p>
      <w:pPr>
        <w:pStyle w:val="0"/>
        <w:spacing w:before="200" w:line-rule="auto"/>
        <w:ind w:firstLine="540"/>
        <w:jc w:val="both"/>
      </w:pPr>
      <w:r>
        <w:rPr>
          <w:sz w:val="20"/>
        </w:rPr>
        <w:t xml:space="preserve">47. В случае неподписания победителем конкурса Соглашения в срок, установленный </w:t>
      </w:r>
      <w:hyperlink w:history="0" w:anchor="P13788" w:tooltip="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
        <w:r>
          <w:rPr>
            <w:sz w:val="20"/>
            <w:color w:val="0000ff"/>
          </w:rPr>
          <w:t xml:space="preserve">абзацем третьим пункта 45</w:t>
        </w:r>
      </w:hyperlink>
      <w:r>
        <w:rPr>
          <w:sz w:val="20"/>
        </w:rPr>
        <w:t xml:space="preserve"> Порядка, победитель конкурса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Информационной системе в течение 2 рабочих дней со дня, следующего за днем окончания срока, установленного абзацем третьим пункта 45 Порядка.</w:t>
      </w:r>
    </w:p>
    <w:p>
      <w:pPr>
        <w:pStyle w:val="0"/>
        <w:spacing w:before="200" w:line-rule="auto"/>
        <w:ind w:firstLine="540"/>
        <w:jc w:val="both"/>
      </w:pPr>
      <w:r>
        <w:rPr>
          <w:sz w:val="20"/>
        </w:rPr>
        <w:t xml:space="preserve">48.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59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результата предоставления субсидии, установленные в соответствии с заявкой (в случае, если в связи с недостаточностью бюджетных ассигнований по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мероприятию 01.01</w:t>
        </w:r>
      </w:hyperlink>
      <w:r>
        <w:rPr>
          <w:sz w:val="20"/>
        </w:rPr>
        <w:t xml:space="preserve"> размер предоставленной субсидии меньше размера, указанного получателем субсидии в заявке, результаты предоставления субсидии снижаются пропорционально уменьшению размера предоставляемой субсидии).</w:t>
      </w:r>
    </w:p>
    <w:p>
      <w:pPr>
        <w:pStyle w:val="0"/>
        <w:spacing w:before="200" w:line-rule="auto"/>
        <w:ind w:firstLine="540"/>
        <w:jc w:val="both"/>
      </w:pPr>
      <w:r>
        <w:rPr>
          <w:sz w:val="20"/>
        </w:rPr>
        <w:t xml:space="preserve">49. Перечисление субсидии осуществляется не позднее 10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 указанного в </w:t>
      </w:r>
      <w:hyperlink w:history="0" w:anchor="P13768" w:tooltip="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
        <w:r>
          <w:rPr>
            <w:sz w:val="20"/>
            <w:color w:val="0000ff"/>
          </w:rPr>
          <w:t xml:space="preserve">пункте 40</w:t>
        </w:r>
      </w:hyperlink>
      <w:r>
        <w:rPr>
          <w:sz w:val="20"/>
        </w:rPr>
        <w:t xml:space="preserve"> Порядка.</w:t>
      </w:r>
    </w:p>
    <w:p>
      <w:pPr>
        <w:pStyle w:val="0"/>
        <w:spacing w:before="200" w:line-rule="auto"/>
        <w:ind w:firstLine="540"/>
        <w:jc w:val="both"/>
      </w:pPr>
      <w:r>
        <w:rPr>
          <w:sz w:val="20"/>
        </w:rPr>
        <w:t xml:space="preserve">В случаях, предусмотренных </w:t>
      </w:r>
      <w:hyperlink w:history="0" w:anchor="P13776"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и </w:t>
      </w:r>
      <w:hyperlink w:history="0" w:anchor="P13780"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1,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перечисление субсидии осуществляется не позднее 10 рабочего дня, следующего за днем принятия Мининвестом Московской области решений о предоставлении субсидии, указанных в </w:t>
      </w:r>
      <w:hyperlink w:history="0" w:anchor="P13776"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пунктах 41</w:t>
        </w:r>
      </w:hyperlink>
      <w:r>
        <w:rPr>
          <w:sz w:val="20"/>
        </w:rPr>
        <w:t xml:space="preserve"> и </w:t>
      </w:r>
      <w:hyperlink w:history="0" w:anchor="P13780"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1,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w:t>
      </w:r>
    </w:p>
    <w:p>
      <w:pPr>
        <w:pStyle w:val="0"/>
        <w:spacing w:before="200" w:line-rule="auto"/>
        <w:ind w:firstLine="540"/>
        <w:jc w:val="both"/>
      </w:pPr>
      <w:r>
        <w:rPr>
          <w:sz w:val="20"/>
        </w:rPr>
        <w:t xml:space="preserve">Субсидии подлежат перечислению на расчетные счета получателей субсидий, открытые в кредитных организациях, указанные в Соглашениях.</w:t>
      </w:r>
    </w:p>
    <w:p>
      <w:pPr>
        <w:pStyle w:val="0"/>
        <w:spacing w:before="200" w:line-rule="auto"/>
        <w:ind w:firstLine="540"/>
        <w:jc w:val="both"/>
      </w:pPr>
      <w:r>
        <w:rPr>
          <w:sz w:val="20"/>
        </w:rPr>
        <w:t xml:space="preserve">50.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9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 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9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59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51. Результатом предоставления субсидии является прирост налоговых отчислений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Результат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52. В случаях наличия по результатам проведения конкурса остатка лимитов бюджетных обязательств на предоставление субсидии на соответствующий финансовый год, не распределенного между победителями конкурса, увеличения лимитов бюджетных обязательств, отказа от заключения Соглашения, неподписания победителем конкурса Соглашения в срок, определенный объявлением о проведении конкурса в соответствии с </w:t>
      </w:r>
      <w:hyperlink w:history="0" w:anchor="P13786"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пунктом 45</w:t>
        </w:r>
      </w:hyperlink>
      <w:r>
        <w:rPr>
          <w:sz w:val="20"/>
        </w:rPr>
        <w:t xml:space="preserve"> Порядка, расторжения соглашения с получателем субсидии и наличия участников конкурса, включенных в итоговый рейтинговый список, которым отказано в предоставлении субсидии по причине недостаточности лимитов бюджетных обязательств на предоставление субсидии, субсидия может распределяться без повторного проведения конкурса с учетом присвоенного ранее номера в итоговом рейтинговом списке.</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53. Получатели субсидии представляют Мининвест Московской области отчет о достижении значений результата предоставления субсидии по форме, установленной Соглашением (далее - Отчет), в электронной форме посредством личного кабинета в Информационной системе.</w:t>
      </w:r>
    </w:p>
    <w:p>
      <w:pPr>
        <w:pStyle w:val="0"/>
        <w:spacing w:before="200" w:line-rule="auto"/>
        <w:ind w:firstLine="540"/>
        <w:jc w:val="both"/>
      </w:pPr>
      <w:r>
        <w:rPr>
          <w:sz w:val="20"/>
        </w:rPr>
        <w:t xml:space="preserve">Отчетным периодом является год получения субсидии.</w:t>
      </w:r>
    </w:p>
    <w:p>
      <w:pPr>
        <w:pStyle w:val="0"/>
        <w:spacing w:before="200" w:line-rule="auto"/>
        <w:ind w:firstLine="540"/>
        <w:jc w:val="both"/>
      </w:pPr>
      <w:r>
        <w:rPr>
          <w:sz w:val="20"/>
        </w:rPr>
        <w:t xml:space="preserve">Отчет представляется ежеквартально в срок не позднее 15 рабочего дня месяца, следующего за отчетным кварталом, а по итогам отчетного периода - в срок до 15 апреля года, следующего за отчетным периодом.</w:t>
      </w:r>
    </w:p>
    <w:p>
      <w:pPr>
        <w:pStyle w:val="0"/>
        <w:spacing w:before="200" w:line-rule="auto"/>
        <w:ind w:firstLine="540"/>
        <w:jc w:val="both"/>
      </w:pPr>
      <w:r>
        <w:rPr>
          <w:sz w:val="20"/>
        </w:rPr>
        <w:t xml:space="preserve">Форма Отчета определяется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При представлении отчетных документов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Проверка и принятие отчетности, представляемой в соответствии с настоящим разделом, осуществляется Мининвест Московской в течение 30 рабочих дней со дня ее представления.</w:t>
      </w:r>
    </w:p>
    <w:bookmarkStart w:id="13822" w:name="P13822"/>
    <w:bookmarkEnd w:id="13822"/>
    <w:p>
      <w:pPr>
        <w:pStyle w:val="0"/>
        <w:spacing w:before="200" w:line-rule="auto"/>
        <w:ind w:firstLine="540"/>
        <w:jc w:val="both"/>
      </w:pPr>
      <w:r>
        <w:rPr>
          <w:sz w:val="20"/>
        </w:rPr>
        <w:t xml:space="preserve">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Порядка Мининвест Московской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дней с даты направления уведомления, указанного в </w:t>
      </w:r>
      <w:hyperlink w:history="0" w:anchor="P13822" w:tooltip="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
        <w:r>
          <w:rPr>
            <w:sz w:val="20"/>
            <w:color w:val="0000ff"/>
          </w:rPr>
          <w:t xml:space="preserve">абзаце восьмом</w:t>
        </w:r>
      </w:hyperlink>
      <w:r>
        <w:rPr>
          <w:sz w:val="20"/>
        </w:rPr>
        <w:t xml:space="preserve"> настоящего пункта,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3831" w:tooltip="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54</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Отчета в установленные сроки приравнивается к недостижению значения результата предоставления субсидии.</w:t>
      </w:r>
    </w:p>
    <w:p>
      <w:pPr>
        <w:pStyle w:val="0"/>
        <w:spacing w:before="200" w:line-rule="auto"/>
        <w:ind w:firstLine="540"/>
        <w:jc w:val="both"/>
      </w:pPr>
      <w:r>
        <w:rPr>
          <w:sz w:val="20"/>
        </w:rPr>
        <w:t xml:space="preserve">Получатель субсидии вправе по собственной инициативе в срок 25 мая года, следующего за отчетным периодом, сдать уточненный Отчет по итогам отчетного периода при обнаружении некорректных данных в ранее представленном Отчете. Уточненный Отчет представляется в электронной форме посредством личного кабинета в Информационной системе с приложением документов, подтверждающих внесенные в Отчет изменения.</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3831" w:name="P13831"/>
    <w:bookmarkEnd w:id="13831"/>
    <w:p>
      <w:pPr>
        <w:pStyle w:val="0"/>
        <w:ind w:firstLine="540"/>
        <w:jc w:val="both"/>
      </w:pPr>
      <w:r>
        <w:rPr>
          <w:sz w:val="20"/>
        </w:rPr>
        <w:t xml:space="preserve">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59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9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55.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30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56.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w:t>
      </w:r>
    </w:p>
    <w:p>
      <w:pPr>
        <w:pStyle w:val="0"/>
        <w:spacing w:before="200" w:line-rule="auto"/>
        <w:ind w:firstLine="540"/>
        <w:jc w:val="both"/>
      </w:pPr>
      <w:r>
        <w:rPr>
          <w:sz w:val="20"/>
        </w:rPr>
        <w:t xml:space="preserve">При недостижении значения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значению результата предоставления субсидии, установленным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jc w:val="both"/>
      </w:pPr>
      <w:r>
        <w:rPr>
          <w:sz w:val="20"/>
        </w:rPr>
      </w:r>
    </w:p>
    <w:p>
      <w:pPr>
        <w:pStyle w:val="0"/>
        <w:ind w:firstLine="540"/>
        <w:jc w:val="both"/>
      </w:pPr>
      <w:r>
        <w:rPr>
          <w:sz w:val="20"/>
        </w:rPr>
        <w:t xml:space="preserve">При непредставлении Отчета в установленные сроки субсидия подлежит возврату в полном объеме.</w:t>
      </w:r>
    </w:p>
    <w:p>
      <w:pPr>
        <w:pStyle w:val="0"/>
        <w:spacing w:before="200" w:line-rule="auto"/>
        <w:ind w:firstLine="540"/>
        <w:jc w:val="both"/>
      </w:pPr>
      <w:r>
        <w:rPr>
          <w:sz w:val="20"/>
        </w:rPr>
        <w:t xml:space="preserve">57. В случае неисполнения получателем субсидии требования о возврате Мининвест Московской области производит взыскание средств субсидии в порядке, установленном законодательством Российской Федерации.</w:t>
      </w:r>
    </w:p>
    <w:p>
      <w:pPr>
        <w:pStyle w:val="0"/>
        <w:spacing w:before="200" w:line-rule="auto"/>
        <w:ind w:firstLine="540"/>
        <w:jc w:val="both"/>
      </w:pPr>
      <w:r>
        <w:rPr>
          <w:sz w:val="20"/>
        </w:rPr>
        <w:t xml:space="preserve">58. В случае призыва получателя субсидии на военную службу по мобилизации в Вооруженные Силы Российской Федерации в соответствии с </w:t>
      </w:r>
      <w:hyperlink w:history="0" r:id="rId599"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призыв на военную службу по мобилизации),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допускается продление сроков достижения результата предоставления субсидии, представления отчетов.</w:t>
      </w:r>
    </w:p>
    <w:p>
      <w:pPr>
        <w:pStyle w:val="0"/>
        <w:spacing w:before="200" w:line-rule="auto"/>
        <w:ind w:firstLine="540"/>
        <w:jc w:val="both"/>
      </w:pPr>
      <w:r>
        <w:rPr>
          <w:sz w:val="20"/>
        </w:rPr>
        <w:t xml:space="preserve">Под получателем субсидии, призванным на военную службу по мобилизации, проходящим военную службу по контракту или проходящим военную службу в добровольческом формировании понимается:</w:t>
      </w:r>
    </w:p>
    <w:p>
      <w:pPr>
        <w:pStyle w:val="0"/>
        <w:spacing w:before="200" w:line-rule="auto"/>
        <w:ind w:firstLine="540"/>
        <w:jc w:val="both"/>
      </w:pPr>
      <w:r>
        <w:rPr>
          <w:sz w:val="20"/>
        </w:rPr>
        <w:t xml:space="preserve">1) индивидуальный предприниматель, призванный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2) юридическое лицо, единственный учредитель которого, являющийся одновременно единоличным исполнительным органом, призван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Срок достижения результата предоставления субсидии, предоставления отчетов продлевается на срок прохождения военной службы по мобилизации, прохождения военной службы по контракту, а также в добровольческом формировании.</w:t>
      </w:r>
    </w:p>
    <w:p>
      <w:pPr>
        <w:pStyle w:val="0"/>
        <w:spacing w:before="200" w:line-rule="auto"/>
        <w:ind w:firstLine="540"/>
        <w:jc w:val="both"/>
      </w:pPr>
      <w:r>
        <w:rPr>
          <w:sz w:val="20"/>
        </w:rPr>
        <w:t xml:space="preserve">Вне зависимости от количества месяцев календарного года прохождения военной службы срок достижения результата предоставления субсидии продлевается на целый календарный год.</w:t>
      </w:r>
    </w:p>
    <w:bookmarkStart w:id="13856" w:name="P13856"/>
    <w:bookmarkEnd w:id="13856"/>
    <w:p>
      <w:pPr>
        <w:pStyle w:val="0"/>
        <w:spacing w:before="200" w:line-rule="auto"/>
        <w:ind w:firstLine="540"/>
        <w:jc w:val="both"/>
      </w:pPr>
      <w:r>
        <w:rPr>
          <w:sz w:val="20"/>
        </w:rPr>
        <w:t xml:space="preserve">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w:t>
      </w:r>
    </w:p>
    <w:p>
      <w:pPr>
        <w:pStyle w:val="0"/>
        <w:spacing w:before="200" w:line-rule="auto"/>
        <w:ind w:firstLine="540"/>
        <w:jc w:val="both"/>
      </w:pPr>
      <w:r>
        <w:rPr>
          <w:sz w:val="20"/>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контракту или проходит военную службу в добровольческом формировании.</w:t>
      </w:r>
    </w:p>
    <w:p>
      <w:pPr>
        <w:pStyle w:val="0"/>
        <w:spacing w:before="200" w:line-rule="auto"/>
        <w:ind w:firstLine="540"/>
        <w:jc w:val="both"/>
      </w:pPr>
      <w:r>
        <w:rPr>
          <w:sz w:val="20"/>
        </w:rPr>
        <w:t xml:space="preserve">Не позднее 30 календарных дней после окончания нахождения получателя субсидии на военной службе по мобилизации или в добровольческом формировании или окончания срока действия контракта о прохождении военной службы получатель субсидии или его представитель направляет заявление в Мининвест Московской области посредством Информационной систем.</w:t>
      </w:r>
    </w:p>
    <w:p>
      <w:pPr>
        <w:pStyle w:val="0"/>
        <w:spacing w:before="200" w:line-rule="auto"/>
        <w:ind w:firstLine="540"/>
        <w:jc w:val="both"/>
      </w:pPr>
      <w:r>
        <w:rPr>
          <w:sz w:val="20"/>
        </w:rPr>
        <w:t xml:space="preserve">Формы заявлений, указанных в настоящем пункте, утверждаются Мининвестом Московской области.</w:t>
      </w:r>
    </w:p>
    <w:bookmarkStart w:id="13860" w:name="P13860"/>
    <w:bookmarkEnd w:id="13860"/>
    <w:p>
      <w:pPr>
        <w:pStyle w:val="0"/>
        <w:spacing w:before="200" w:line-rule="auto"/>
        <w:ind w:firstLine="540"/>
        <w:jc w:val="both"/>
      </w:pPr>
      <w:r>
        <w:rPr>
          <w:sz w:val="20"/>
        </w:rPr>
        <w:t xml:space="preserve">60. Мининвест Московской области рассматривает обращение получателя субсидии и в случае представления неполного пакета документов, установленного </w:t>
      </w:r>
      <w:hyperlink w:history="0" w:anchor="P13856" w:tooltip="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
        <w:r>
          <w:rPr>
            <w:sz w:val="20"/>
            <w:color w:val="0000ff"/>
          </w:rPr>
          <w:t xml:space="preserve">пунктом 59</w:t>
        </w:r>
      </w:hyperlink>
      <w:r>
        <w:rPr>
          <w:sz w:val="20"/>
        </w:rPr>
        <w:t xml:space="preserve"> Порядка, запрашивает недостающие документы у получателя субсидии.</w:t>
      </w:r>
    </w:p>
    <w:p>
      <w:pPr>
        <w:pStyle w:val="0"/>
        <w:spacing w:before="200" w:line-rule="auto"/>
        <w:ind w:firstLine="540"/>
        <w:jc w:val="both"/>
      </w:pPr>
      <w:r>
        <w:rPr>
          <w:sz w:val="20"/>
        </w:rPr>
        <w:t xml:space="preserve">Запрос о представлении недостающих документов направляется получателю субсидии в Информационной системе в срок не позднее 5 рабочих дней, начиная со дня, следующего за днем направления обращения.</w:t>
      </w:r>
    </w:p>
    <w:bookmarkStart w:id="13862" w:name="P13862"/>
    <w:bookmarkEnd w:id="13862"/>
    <w:p>
      <w:pPr>
        <w:pStyle w:val="0"/>
        <w:spacing w:before="200" w:line-rule="auto"/>
        <w:ind w:firstLine="540"/>
        <w:jc w:val="both"/>
      </w:pPr>
      <w:r>
        <w:rPr>
          <w:sz w:val="20"/>
        </w:rPr>
        <w:t xml:space="preserve">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w:t>
      </w:r>
      <w:hyperlink w:history="0" w:anchor="P13860" w:tooltip="60. Мининвест Московской области рассматривает обращение получателя субсидии и в случае представления неполного пакета документов, установленного пунктом 59 Порядка, запрашивает недостающие документы у получателя субсидии.">
        <w:r>
          <w:rPr>
            <w:sz w:val="20"/>
            <w:color w:val="0000ff"/>
          </w:rPr>
          <w:t xml:space="preserve">пунктом 60</w:t>
        </w:r>
      </w:hyperlink>
      <w:r>
        <w:rPr>
          <w:sz w:val="20"/>
        </w:rPr>
        <w:t xml:space="preserve"> Порядка, принимает одно из следующих решений:</w:t>
      </w:r>
    </w:p>
    <w:p>
      <w:pPr>
        <w:pStyle w:val="0"/>
        <w:spacing w:before="200" w:line-rule="auto"/>
        <w:ind w:firstLine="540"/>
        <w:jc w:val="both"/>
      </w:pPr>
      <w:r>
        <w:rPr>
          <w:sz w:val="20"/>
        </w:rPr>
        <w:t xml:space="preserve">1) о продлении сроков достижения результата предоставления субсидии;</w:t>
      </w:r>
    </w:p>
    <w:p>
      <w:pPr>
        <w:pStyle w:val="0"/>
        <w:spacing w:before="200" w:line-rule="auto"/>
        <w:ind w:firstLine="540"/>
        <w:jc w:val="both"/>
      </w:pPr>
      <w:r>
        <w:rPr>
          <w:sz w:val="20"/>
        </w:rPr>
        <w:t xml:space="preserve">2) об отказе в продлении сроков достижения результата предоставления субсидии в случае установления факта недостоверности представленной получателем субсидии информации.</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w:t>
      </w:r>
    </w:p>
    <w:p>
      <w:pPr>
        <w:pStyle w:val="0"/>
        <w:spacing w:before="200" w:line-rule="auto"/>
        <w:ind w:firstLine="540"/>
        <w:jc w:val="both"/>
      </w:pPr>
      <w:r>
        <w:rPr>
          <w:sz w:val="20"/>
        </w:rPr>
        <w:t xml:space="preserve">62. В течение 5 рабочих дней со дня принятия решения в соответствии с </w:t>
      </w:r>
      <w:hyperlink w:history="0" w:anchor="P13862" w:tooltip="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пунктом 60 Порядка, принимает одно из следующих решений:">
        <w:r>
          <w:rPr>
            <w:sz w:val="20"/>
            <w:color w:val="0000ff"/>
          </w:rPr>
          <w:t xml:space="preserve">пунктом 61</w:t>
        </w:r>
      </w:hyperlink>
      <w:r>
        <w:rPr>
          <w:sz w:val="20"/>
        </w:rPr>
        <w:t xml:space="preserve"> Порядка Мининвест Московской области направляет получателю субсидии дополнительное соглашение к Соглашению в части продления сроков достижения результата предоставления субсидии, представления отчетов, подписанное ЭП уполномоченного должностного лица Мининвеста Московской области, в личный кабинет получателя субсидии в Информационной системе.</w:t>
      </w:r>
    </w:p>
    <w:p>
      <w:pPr>
        <w:pStyle w:val="0"/>
        <w:spacing w:before="200" w:line-rule="auto"/>
        <w:ind w:firstLine="540"/>
        <w:jc w:val="both"/>
      </w:pPr>
      <w:r>
        <w:rPr>
          <w:sz w:val="20"/>
        </w:rPr>
        <w:t xml:space="preserve">В случае неподписания в течение 2 рабочих дней дополнительного соглашения сроки достижения результата предоставления субсидии и сроки представления отчетов не продлеваются.</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3871" w:name="P13871"/>
    <w:bookmarkEnd w:id="13871"/>
    <w:p>
      <w:pPr>
        <w:pStyle w:val="2"/>
        <w:jc w:val="center"/>
      </w:pPr>
      <w:r>
        <w:rPr>
          <w:sz w:val="20"/>
        </w:rPr>
        <w:t xml:space="preserve">КРИТЕРИИ ОЦЕНКИ ЗАЯВОК, ПОДАВАЕМЫХ УЧАСТНИКАМИ КОНКУРСА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28"/>
        <w:gridCol w:w="4139"/>
        <w:gridCol w:w="2778"/>
        <w:gridCol w:w="1474"/>
      </w:tblGrid>
      <w:tr>
        <w:tc>
          <w:tcPr>
            <w:tcW w:w="737" w:type="dxa"/>
          </w:tcPr>
          <w:p>
            <w:pPr>
              <w:pStyle w:val="0"/>
              <w:jc w:val="center"/>
            </w:pPr>
            <w:r>
              <w:rPr>
                <w:sz w:val="20"/>
              </w:rPr>
              <w:t xml:space="preserve">N п/п</w:t>
            </w:r>
          </w:p>
        </w:tc>
        <w:tc>
          <w:tcPr>
            <w:tcW w:w="3628" w:type="dxa"/>
          </w:tcPr>
          <w:p>
            <w:pPr>
              <w:pStyle w:val="0"/>
              <w:jc w:val="center"/>
            </w:pPr>
            <w:r>
              <w:rPr>
                <w:sz w:val="20"/>
              </w:rPr>
              <w:t xml:space="preserve">Критерий</w:t>
            </w:r>
          </w:p>
        </w:tc>
        <w:tc>
          <w:tcPr>
            <w:gridSpan w:val="2"/>
            <w:tcW w:w="6917" w:type="dxa"/>
          </w:tcPr>
          <w:p>
            <w:pPr>
              <w:pStyle w:val="0"/>
              <w:jc w:val="center"/>
            </w:pPr>
            <w:r>
              <w:rPr>
                <w:sz w:val="20"/>
              </w:rPr>
              <w:t xml:space="preserve">Расчет количества баллов</w:t>
            </w:r>
          </w:p>
        </w:tc>
        <w:tc>
          <w:tcPr>
            <w:tcW w:w="1474" w:type="dxa"/>
          </w:tcPr>
          <w:p>
            <w:pPr>
              <w:pStyle w:val="0"/>
              <w:jc w:val="center"/>
            </w:pPr>
            <w:r>
              <w:rPr>
                <w:sz w:val="20"/>
              </w:rPr>
              <w:t xml:space="preserve">Весовые значения</w:t>
            </w:r>
          </w:p>
        </w:tc>
      </w:tr>
      <w:tr>
        <w:tc>
          <w:tcPr>
            <w:tcW w:w="737" w:type="dxa"/>
          </w:tcPr>
          <w:p>
            <w:pPr>
              <w:pStyle w:val="0"/>
              <w:jc w:val="center"/>
            </w:pPr>
            <w:r>
              <w:rPr>
                <w:sz w:val="20"/>
              </w:rPr>
              <w:t xml:space="preserve">1</w:t>
            </w:r>
          </w:p>
        </w:tc>
        <w:tc>
          <w:tcPr>
            <w:tcW w:w="3628" w:type="dxa"/>
          </w:tcPr>
          <w:p>
            <w:pPr>
              <w:pStyle w:val="0"/>
              <w:jc w:val="center"/>
            </w:pPr>
            <w:r>
              <w:rPr>
                <w:sz w:val="20"/>
              </w:rPr>
              <w:t xml:space="preserve">2</w:t>
            </w:r>
          </w:p>
        </w:tc>
        <w:tc>
          <w:tcPr>
            <w:gridSpan w:val="2"/>
            <w:tcW w:w="6917" w:type="dxa"/>
          </w:tcPr>
          <w:p>
            <w:pPr>
              <w:pStyle w:val="0"/>
              <w:jc w:val="center"/>
            </w:pPr>
            <w:r>
              <w:rPr>
                <w:sz w:val="20"/>
              </w:rPr>
              <w:t xml:space="preserve">3</w:t>
            </w:r>
          </w:p>
        </w:tc>
        <w:tc>
          <w:tcPr>
            <w:tcW w:w="1474" w:type="dxa"/>
          </w:tcPr>
          <w:p>
            <w:pPr>
              <w:pStyle w:val="0"/>
              <w:jc w:val="center"/>
            </w:pPr>
            <w:r>
              <w:rPr>
                <w:sz w:val="20"/>
              </w:rPr>
              <w:t xml:space="preserve">4</w:t>
            </w:r>
          </w:p>
        </w:tc>
      </w:tr>
      <w:tr>
        <w:tc>
          <w:tcPr>
            <w:tcW w:w="737" w:type="dxa"/>
          </w:tcPr>
          <w:p>
            <w:pPr>
              <w:pStyle w:val="0"/>
            </w:pPr>
            <w:r>
              <w:rPr>
                <w:sz w:val="20"/>
              </w:rPr>
              <w:t xml:space="preserve">1</w:t>
            </w:r>
          </w:p>
        </w:tc>
        <w:tc>
          <w:tcPr>
            <w:tcW w:w="3628" w:type="dxa"/>
          </w:tcPr>
          <w:p>
            <w:pPr>
              <w:pStyle w:val="0"/>
            </w:pPr>
            <w:r>
              <w:rPr>
                <w:sz w:val="20"/>
              </w:rPr>
              <w:t xml:space="preserve">Вид деятельности</w:t>
            </w:r>
          </w:p>
        </w:tc>
        <w:tc>
          <w:tcPr>
            <w:gridSpan w:val="2"/>
            <w:tcW w:w="6917" w:type="dxa"/>
          </w:tcPr>
          <w:p>
            <w:pPr>
              <w:pStyle w:val="0"/>
            </w:pPr>
            <w:r>
              <w:rPr>
                <w:sz w:val="20"/>
              </w:rPr>
              <w:t xml:space="preserve">100 баллов - Оборудование приобретено для осуществления видов деятельности, включенных в раздел "C", подкласс 38 </w:t>
            </w:r>
            <w:hyperlink w:history="0" r:id="rId60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pPr>
            <w:r>
              <w:rPr>
                <w:sz w:val="20"/>
              </w:rPr>
              <w:t xml:space="preserve">0 баллов - Оборудование приобретено для осуществления иных видов деятельности, за исключением включенных в раздел "C", подкласс 38 </w:t>
            </w:r>
            <w:hyperlink w:history="0" r:id="rId60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p>
        </w:tc>
        <w:tc>
          <w:tcPr>
            <w:tcW w:w="1474" w:type="dxa"/>
          </w:tcPr>
          <w:p>
            <w:pPr>
              <w:pStyle w:val="0"/>
            </w:pPr>
            <w:r>
              <w:rPr>
                <w:sz w:val="20"/>
              </w:rPr>
              <w:t xml:space="preserve">0,32</w:t>
            </w:r>
          </w:p>
        </w:tc>
      </w:tr>
      <w:tr>
        <w:tc>
          <w:tcPr>
            <w:tcW w:w="737" w:type="dxa"/>
          </w:tcPr>
          <w:p>
            <w:pPr>
              <w:pStyle w:val="0"/>
            </w:pPr>
            <w:r>
              <w:rPr>
                <w:sz w:val="20"/>
              </w:rPr>
              <w:t xml:space="preserve">2</w:t>
            </w:r>
          </w:p>
        </w:tc>
        <w:tc>
          <w:tcPr>
            <w:tcW w:w="3628" w:type="dxa"/>
          </w:tcPr>
          <w:p>
            <w:pPr>
              <w:pStyle w:val="0"/>
            </w:pPr>
            <w:r>
              <w:rPr>
                <w:sz w:val="20"/>
              </w:rPr>
              <w:t xml:space="preserve">Обеспечение импортозамещения на территории Московской области</w:t>
            </w:r>
          </w:p>
        </w:tc>
        <w:tc>
          <w:tcPr>
            <w:gridSpan w:val="2"/>
            <w:tcW w:w="6917" w:type="dxa"/>
          </w:tcPr>
          <w:p>
            <w:pPr>
              <w:pStyle w:val="0"/>
            </w:pPr>
            <w:r>
              <w:rPr>
                <w:sz w:val="20"/>
              </w:rPr>
              <w:t xml:space="preserve">100 баллов - Оборудование приобретено для осуществления видов деятельности, включенных в </w:t>
            </w:r>
            <w:hyperlink w:history="0" r:id="rId602"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Перечень</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w:t>
            </w:r>
          </w:p>
          <w:p>
            <w:pPr>
              <w:pStyle w:val="0"/>
            </w:pPr>
            <w:r>
              <w:rPr>
                <w:sz w:val="20"/>
              </w:rPr>
              <w:t xml:space="preserve">0 баллов - Оборудование приобретено для осуществления иных видов деятельности, за исключением предусмотренных </w:t>
            </w:r>
            <w:hyperlink w:history="0" r:id="rId603"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Перечнем</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утвержденным Законом N 32/2022-ОЗ</w:t>
            </w:r>
          </w:p>
        </w:tc>
        <w:tc>
          <w:tcPr>
            <w:tcW w:w="1474" w:type="dxa"/>
          </w:tcPr>
          <w:p>
            <w:pPr>
              <w:pStyle w:val="0"/>
            </w:pPr>
            <w:r>
              <w:rPr>
                <w:sz w:val="20"/>
              </w:rPr>
              <w:t xml:space="preserve">0,04</w:t>
            </w:r>
          </w:p>
        </w:tc>
      </w:tr>
      <w:tr>
        <w:tc>
          <w:tcPr>
            <w:tcW w:w="737" w:type="dxa"/>
          </w:tcPr>
          <w:p>
            <w:pPr>
              <w:pStyle w:val="0"/>
            </w:pPr>
            <w:r>
              <w:rPr>
                <w:sz w:val="20"/>
              </w:rPr>
              <w:t xml:space="preserve">3</w:t>
            </w:r>
          </w:p>
        </w:tc>
        <w:tc>
          <w:tcPr>
            <w:tcW w:w="3628" w:type="dxa"/>
          </w:tcPr>
          <w:p>
            <w:pPr>
              <w:pStyle w:val="0"/>
            </w:pPr>
            <w:r>
              <w:rPr>
                <w:sz w:val="20"/>
              </w:rPr>
              <w:t xml:space="preserve">Срок деятельности участника конкурса </w:t>
            </w:r>
            <w:hyperlink w:history="0" w:anchor="P13946" w:tooltip="&lt;1&gt; Участники конкурса, получающие баллы по данному критерию, не получают баллы по критерию &quot;Увеличение налоговых отчислений&quot;.">
              <w:r>
                <w:rPr>
                  <w:sz w:val="20"/>
                  <w:color w:val="0000ff"/>
                </w:rPr>
                <w:t xml:space="preserve">&lt;1&gt;</w:t>
              </w:r>
            </w:hyperlink>
            <w:r>
              <w:rPr>
                <w:sz w:val="20"/>
              </w:rPr>
              <w:t xml:space="preserve">, </w:t>
            </w:r>
            <w:hyperlink w:history="0" w:anchor="P13947"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r>
                <w:rPr>
                  <w:sz w:val="20"/>
                  <w:color w:val="0000ff"/>
                </w:rPr>
                <w:t xml:space="preserve">&lt;2&gt;</w:t>
              </w:r>
            </w:hyperlink>
          </w:p>
        </w:tc>
        <w:tc>
          <w:tcPr>
            <w:gridSpan w:val="2"/>
            <w:tcW w:w="6917" w:type="dxa"/>
          </w:tcPr>
          <w:p>
            <w:pPr>
              <w:pStyle w:val="0"/>
            </w:pPr>
            <w:r>
              <w:rPr>
                <w:sz w:val="20"/>
              </w:rPr>
              <w:t xml:space="preserve">100 баллов -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pPr>
              <w:pStyle w:val="0"/>
            </w:pPr>
            <w:r>
              <w:rPr>
                <w:sz w:val="20"/>
              </w:rPr>
              <w:t xml:space="preserve">0 баллов - регистрация в качестве юридического лица или индивидуального предпринимателя более одного года до даты подачи заявки на предоставление субсидии</w:t>
            </w:r>
          </w:p>
        </w:tc>
        <w:tc>
          <w:tcPr>
            <w:tcW w:w="1474" w:type="dxa"/>
          </w:tcPr>
          <w:p>
            <w:pPr>
              <w:pStyle w:val="0"/>
            </w:pPr>
            <w:r>
              <w:rPr>
                <w:sz w:val="20"/>
              </w:rPr>
              <w:t xml:space="preserve">0,16</w:t>
            </w:r>
          </w:p>
        </w:tc>
      </w:tr>
      <w:tr>
        <w:tc>
          <w:tcPr>
            <w:tcW w:w="737" w:type="dxa"/>
          </w:tcPr>
          <w:p>
            <w:pPr>
              <w:pStyle w:val="0"/>
            </w:pPr>
            <w:r>
              <w:rPr>
                <w:sz w:val="20"/>
              </w:rPr>
              <w:t xml:space="preserve">4</w:t>
            </w:r>
          </w:p>
        </w:tc>
        <w:tc>
          <w:tcPr>
            <w:tcW w:w="3628" w:type="dxa"/>
          </w:tcPr>
          <w:p>
            <w:pPr>
              <w:pStyle w:val="0"/>
            </w:pPr>
            <w:r>
              <w:rPr>
                <w:sz w:val="20"/>
              </w:rPr>
              <w:t xml:space="preserve">Местонахождение (место жительства) и (или) место ведения деятельности участника конкурса</w:t>
            </w:r>
          </w:p>
        </w:tc>
        <w:tc>
          <w:tcPr>
            <w:gridSpan w:val="2"/>
            <w:tcW w:w="6917" w:type="dxa"/>
          </w:tcPr>
          <w:p>
            <w:pPr>
              <w:pStyle w:val="0"/>
            </w:pPr>
            <w:r>
              <w:rPr>
                <w:sz w:val="20"/>
              </w:rPr>
              <w:t xml:space="preserve">100 баллов - местонахождение (место жительства) и (или) место ведения деятельности участника конкурса на территории следующих муниципальных образований Московской области:</w:t>
            </w:r>
          </w:p>
          <w:p>
            <w:pPr>
              <w:pStyle w:val="0"/>
            </w:pPr>
            <w:r>
              <w:rPr>
                <w:sz w:val="20"/>
              </w:rPr>
              <w:t xml:space="preserve">Волоколамский муниципальный округ,</w:t>
            </w:r>
          </w:p>
          <w:p>
            <w:pPr>
              <w:pStyle w:val="0"/>
            </w:pPr>
            <w:r>
              <w:rPr>
                <w:sz w:val="20"/>
              </w:rPr>
              <w:t xml:space="preserve">муниципальный округ Зарайск,</w:t>
            </w:r>
          </w:p>
          <w:p>
            <w:pPr>
              <w:pStyle w:val="0"/>
            </w:pPr>
            <w:r>
              <w:rPr>
                <w:sz w:val="20"/>
              </w:rPr>
              <w:t xml:space="preserve">городской округ Лосино-Петровский,</w:t>
            </w:r>
          </w:p>
          <w:p>
            <w:pPr>
              <w:pStyle w:val="0"/>
            </w:pPr>
            <w:r>
              <w:rPr>
                <w:sz w:val="20"/>
              </w:rPr>
              <w:t xml:space="preserve">муниципальный округ Лотошино,</w:t>
            </w:r>
          </w:p>
          <w:p>
            <w:pPr>
              <w:pStyle w:val="0"/>
            </w:pPr>
            <w:r>
              <w:rPr>
                <w:sz w:val="20"/>
              </w:rPr>
              <w:t xml:space="preserve">муниципальный округ Луховицы,</w:t>
            </w:r>
          </w:p>
          <w:p>
            <w:pPr>
              <w:pStyle w:val="0"/>
            </w:pPr>
            <w:r>
              <w:rPr>
                <w:sz w:val="20"/>
              </w:rPr>
              <w:t xml:space="preserve">Орехово-Зуевский городской округ,</w:t>
            </w:r>
          </w:p>
          <w:p>
            <w:pPr>
              <w:pStyle w:val="0"/>
            </w:pPr>
            <w:r>
              <w:rPr>
                <w:sz w:val="20"/>
              </w:rPr>
              <w:t xml:space="preserve">муниципальный округ Серебряные Пруды,</w:t>
            </w:r>
          </w:p>
          <w:p>
            <w:pPr>
              <w:pStyle w:val="0"/>
            </w:pPr>
            <w:r>
              <w:rPr>
                <w:sz w:val="20"/>
              </w:rPr>
              <w:t xml:space="preserve">Талдомский городской округ,</w:t>
            </w:r>
          </w:p>
          <w:p>
            <w:pPr>
              <w:pStyle w:val="0"/>
            </w:pPr>
            <w:r>
              <w:rPr>
                <w:sz w:val="20"/>
              </w:rPr>
              <w:t xml:space="preserve">муниципальный округ Шатура,</w:t>
            </w:r>
          </w:p>
          <w:p>
            <w:pPr>
              <w:pStyle w:val="0"/>
            </w:pPr>
            <w:r>
              <w:rPr>
                <w:sz w:val="20"/>
              </w:rPr>
              <w:t xml:space="preserve">муниципальный округ Шаховская.</w:t>
            </w:r>
          </w:p>
          <w:p>
            <w:pPr>
              <w:pStyle w:val="0"/>
            </w:pPr>
            <w:r>
              <w:rPr>
                <w:sz w:val="20"/>
              </w:rPr>
              <w:t xml:space="preserve">0 баллов - местонахождение (место жительства) и (или) место ведения деятельности участника конкурса на территории иных муниципальных образований Московской области (за исключением Волоколамского муниципального округа, муниципального округа Зарайск, городского округа Лосино-Петровский, муниципального округа Лотошино, муниципального округа Луховицы, Орехово-Зуевского городского округа, муниципального округа Серебряные Пруды, Талдомского городского округа, муниципального округа Шатура, муниципального округа Шаховская)</w:t>
            </w:r>
          </w:p>
        </w:tc>
        <w:tc>
          <w:tcPr>
            <w:tcW w:w="1474" w:type="dxa"/>
          </w:tcPr>
          <w:p>
            <w:pPr>
              <w:pStyle w:val="0"/>
            </w:pPr>
            <w:r>
              <w:rPr>
                <w:sz w:val="20"/>
              </w:rPr>
              <w:t xml:space="preserve">0,16</w:t>
            </w:r>
          </w:p>
        </w:tc>
      </w:tr>
      <w:tr>
        <w:tc>
          <w:tcPr>
            <w:tcW w:w="737" w:type="dxa"/>
            <w:vMerge w:val="restart"/>
          </w:tcPr>
          <w:p>
            <w:pPr>
              <w:pStyle w:val="0"/>
            </w:pPr>
            <w:r>
              <w:rPr>
                <w:sz w:val="20"/>
              </w:rPr>
              <w:t xml:space="preserve">5</w:t>
            </w:r>
          </w:p>
        </w:tc>
        <w:tc>
          <w:tcPr>
            <w:tcW w:w="3628" w:type="dxa"/>
            <w:vMerge w:val="restart"/>
          </w:tcPr>
          <w:p>
            <w:pPr>
              <w:pStyle w:val="0"/>
            </w:pPr>
            <w:r>
              <w:rPr>
                <w:sz w:val="20"/>
              </w:rPr>
              <w:t xml:space="preserve">Увеличение налоговых отчислений </w:t>
            </w:r>
            <w:hyperlink w:history="0" w:anchor="P13948"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r>
                <w:rPr>
                  <w:sz w:val="20"/>
                  <w:color w:val="0000ff"/>
                </w:rPr>
                <w:t xml:space="preserve">&lt;3&gt;</w:t>
              </w:r>
            </w:hyperlink>
            <w:r>
              <w:rPr>
                <w:sz w:val="20"/>
              </w:rPr>
              <w:t xml:space="preserve">, </w:t>
            </w:r>
            <w:hyperlink w:history="0" w:anchor="P13949"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r>
                <w:rPr>
                  <w:sz w:val="20"/>
                  <w:color w:val="0000ff"/>
                </w:rPr>
                <w:t xml:space="preserve">&lt;4&gt;</w:t>
              </w:r>
            </w:hyperlink>
          </w:p>
        </w:tc>
        <w:tc>
          <w:tcPr>
            <w:tcW w:w="4139" w:type="dxa"/>
          </w:tcPr>
          <w:p>
            <w:pPr>
              <w:pStyle w:val="0"/>
            </w:pPr>
            <w:r>
              <w:rPr>
                <w:sz w:val="20"/>
              </w:rPr>
              <w:t xml:space="preserve">%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2778" w:type="dxa"/>
          </w:tcPr>
          <w:p>
            <w:pPr>
              <w:pStyle w:val="0"/>
            </w:pPr>
            <w:r>
              <w:rPr>
                <w:sz w:val="20"/>
              </w:rPr>
              <w:t xml:space="preserve">баллы</w:t>
            </w:r>
          </w:p>
        </w:tc>
        <w:tc>
          <w:tcPr>
            <w:tcW w:w="1474" w:type="dxa"/>
          </w:tcPr>
          <w:p>
            <w:pPr>
              <w:pStyle w:val="0"/>
            </w:pPr>
            <w:r>
              <w:rPr>
                <w:sz w:val="20"/>
              </w:rPr>
            </w:r>
          </w:p>
        </w:tc>
      </w:tr>
      <w:tr>
        <w:tc>
          <w:tcPr>
            <w:vMerge w:val="continue"/>
          </w:tcPr>
          <w:p/>
        </w:tc>
        <w:tc>
          <w:tcPr>
            <w:vMerge w:val="continue"/>
          </w:tcPr>
          <w:p/>
        </w:tc>
        <w:tc>
          <w:tcPr>
            <w:tcW w:w="4139" w:type="dxa"/>
          </w:tcPr>
          <w:p>
            <w:pPr>
              <w:pStyle w:val="0"/>
            </w:pPr>
            <w:r>
              <w:rPr>
                <w:sz w:val="20"/>
              </w:rPr>
              <w:t xml:space="preserve">&gt;= 0 - &lt; 5%</w:t>
            </w:r>
          </w:p>
        </w:tc>
        <w:tc>
          <w:tcPr>
            <w:tcW w:w="2778" w:type="dxa"/>
          </w:tcPr>
          <w:p>
            <w:pPr>
              <w:pStyle w:val="0"/>
            </w:pPr>
            <w:r>
              <w:rPr>
                <w:sz w:val="20"/>
              </w:rPr>
              <w:t xml:space="preserve">0</w:t>
            </w:r>
          </w:p>
        </w:tc>
        <w:tc>
          <w:tcPr>
            <w:tcW w:w="1474" w:type="dxa"/>
            <w:vMerge w:val="restart"/>
          </w:tcPr>
          <w:p>
            <w:pPr>
              <w:pStyle w:val="0"/>
            </w:pPr>
            <w:r>
              <w:rPr>
                <w:sz w:val="20"/>
              </w:rPr>
              <w:t xml:space="preserve">0,24</w:t>
            </w:r>
          </w:p>
        </w:tc>
      </w:tr>
      <w:tr>
        <w:tc>
          <w:tcPr>
            <w:vMerge w:val="continue"/>
          </w:tcPr>
          <w:p/>
        </w:tc>
        <w:tc>
          <w:tcPr>
            <w:vMerge w:val="continue"/>
          </w:tcPr>
          <w:p/>
        </w:tc>
        <w:tc>
          <w:tcPr>
            <w:tcW w:w="4139" w:type="dxa"/>
          </w:tcPr>
          <w:p>
            <w:pPr>
              <w:pStyle w:val="0"/>
            </w:pPr>
            <w:r>
              <w:rPr>
                <w:sz w:val="20"/>
              </w:rPr>
              <w:t xml:space="preserve">&gt;= 5 - &lt; 10</w:t>
            </w:r>
          </w:p>
        </w:tc>
        <w:tc>
          <w:tcPr>
            <w:tcW w:w="2778" w:type="dxa"/>
          </w:tcPr>
          <w:p>
            <w:pPr>
              <w:pStyle w:val="0"/>
            </w:pPr>
            <w:r>
              <w:rPr>
                <w:sz w:val="20"/>
              </w:rPr>
              <w:t xml:space="preserve">10</w:t>
            </w:r>
          </w:p>
        </w:tc>
        <w:tc>
          <w:tcPr>
            <w:vMerge w:val="continue"/>
          </w:tcPr>
          <w:p/>
        </w:tc>
      </w:tr>
      <w:tr>
        <w:tc>
          <w:tcPr>
            <w:vMerge w:val="continue"/>
          </w:tcPr>
          <w:p/>
        </w:tc>
        <w:tc>
          <w:tcPr>
            <w:vMerge w:val="continue"/>
          </w:tcPr>
          <w:p/>
        </w:tc>
        <w:tc>
          <w:tcPr>
            <w:tcW w:w="4139" w:type="dxa"/>
          </w:tcPr>
          <w:p>
            <w:pPr>
              <w:pStyle w:val="0"/>
            </w:pPr>
            <w:r>
              <w:rPr>
                <w:sz w:val="20"/>
              </w:rPr>
              <w:t xml:space="preserve">&gt;= 10 - &lt; 15%</w:t>
            </w:r>
          </w:p>
        </w:tc>
        <w:tc>
          <w:tcPr>
            <w:tcW w:w="2778" w:type="dxa"/>
          </w:tcPr>
          <w:p>
            <w:pPr>
              <w:pStyle w:val="0"/>
            </w:pPr>
            <w:r>
              <w:rPr>
                <w:sz w:val="20"/>
              </w:rPr>
              <w:t xml:space="preserve">20</w:t>
            </w:r>
          </w:p>
        </w:tc>
        <w:tc>
          <w:tcPr>
            <w:vMerge w:val="continue"/>
          </w:tcPr>
          <w:p/>
        </w:tc>
      </w:tr>
      <w:tr>
        <w:tc>
          <w:tcPr>
            <w:vMerge w:val="continue"/>
          </w:tcPr>
          <w:p/>
        </w:tc>
        <w:tc>
          <w:tcPr>
            <w:vMerge w:val="continue"/>
          </w:tcPr>
          <w:p/>
        </w:tc>
        <w:tc>
          <w:tcPr>
            <w:tcW w:w="4139" w:type="dxa"/>
          </w:tcPr>
          <w:p>
            <w:pPr>
              <w:pStyle w:val="0"/>
            </w:pPr>
            <w:r>
              <w:rPr>
                <w:sz w:val="20"/>
              </w:rPr>
              <w:t xml:space="preserve">&gt;= 15 - &lt; 20%</w:t>
            </w:r>
          </w:p>
        </w:tc>
        <w:tc>
          <w:tcPr>
            <w:tcW w:w="2778" w:type="dxa"/>
          </w:tcPr>
          <w:p>
            <w:pPr>
              <w:pStyle w:val="0"/>
            </w:pPr>
            <w:r>
              <w:rPr>
                <w:sz w:val="20"/>
              </w:rPr>
              <w:t xml:space="preserve">30</w:t>
            </w:r>
          </w:p>
        </w:tc>
        <w:tc>
          <w:tcPr>
            <w:vMerge w:val="continue"/>
          </w:tcPr>
          <w:p/>
        </w:tc>
      </w:tr>
      <w:tr>
        <w:tc>
          <w:tcPr>
            <w:vMerge w:val="continue"/>
          </w:tcPr>
          <w:p/>
        </w:tc>
        <w:tc>
          <w:tcPr>
            <w:vMerge w:val="continue"/>
          </w:tcPr>
          <w:p/>
        </w:tc>
        <w:tc>
          <w:tcPr>
            <w:tcW w:w="4139" w:type="dxa"/>
          </w:tcPr>
          <w:p>
            <w:pPr>
              <w:pStyle w:val="0"/>
            </w:pPr>
            <w:r>
              <w:rPr>
                <w:sz w:val="20"/>
              </w:rPr>
              <w:t xml:space="preserve">&gt;= 20 - &lt; 25%</w:t>
            </w:r>
          </w:p>
        </w:tc>
        <w:tc>
          <w:tcPr>
            <w:tcW w:w="2778" w:type="dxa"/>
          </w:tcPr>
          <w:p>
            <w:pPr>
              <w:pStyle w:val="0"/>
            </w:pPr>
            <w:r>
              <w:rPr>
                <w:sz w:val="20"/>
              </w:rPr>
              <w:t xml:space="preserve">40</w:t>
            </w:r>
          </w:p>
        </w:tc>
        <w:tc>
          <w:tcPr>
            <w:vMerge w:val="continue"/>
          </w:tcPr>
          <w:p/>
        </w:tc>
      </w:tr>
      <w:tr>
        <w:tc>
          <w:tcPr>
            <w:vMerge w:val="continue"/>
          </w:tcPr>
          <w:p/>
        </w:tc>
        <w:tc>
          <w:tcPr>
            <w:vMerge w:val="continue"/>
          </w:tcPr>
          <w:p/>
        </w:tc>
        <w:tc>
          <w:tcPr>
            <w:tcW w:w="4139" w:type="dxa"/>
          </w:tcPr>
          <w:p>
            <w:pPr>
              <w:pStyle w:val="0"/>
            </w:pPr>
            <w:r>
              <w:rPr>
                <w:sz w:val="20"/>
              </w:rPr>
              <w:t xml:space="preserve">&gt;= 25 - &lt; 30%</w:t>
            </w:r>
          </w:p>
        </w:tc>
        <w:tc>
          <w:tcPr>
            <w:tcW w:w="2778" w:type="dxa"/>
          </w:tcPr>
          <w:p>
            <w:pPr>
              <w:pStyle w:val="0"/>
            </w:pPr>
            <w:r>
              <w:rPr>
                <w:sz w:val="20"/>
              </w:rPr>
              <w:t xml:space="preserve">50</w:t>
            </w:r>
          </w:p>
        </w:tc>
        <w:tc>
          <w:tcPr>
            <w:vMerge w:val="continue"/>
          </w:tcPr>
          <w:p/>
        </w:tc>
      </w:tr>
      <w:tr>
        <w:tc>
          <w:tcPr>
            <w:vMerge w:val="continue"/>
          </w:tcPr>
          <w:p/>
        </w:tc>
        <w:tc>
          <w:tcPr>
            <w:vMerge w:val="continue"/>
          </w:tcPr>
          <w:p/>
        </w:tc>
        <w:tc>
          <w:tcPr>
            <w:tcW w:w="4139" w:type="dxa"/>
          </w:tcPr>
          <w:p>
            <w:pPr>
              <w:pStyle w:val="0"/>
            </w:pPr>
            <w:r>
              <w:rPr>
                <w:sz w:val="20"/>
              </w:rPr>
              <w:t xml:space="preserve">&gt;= 30 - &lt; 35%</w:t>
            </w:r>
          </w:p>
        </w:tc>
        <w:tc>
          <w:tcPr>
            <w:tcW w:w="2778" w:type="dxa"/>
          </w:tcPr>
          <w:p>
            <w:pPr>
              <w:pStyle w:val="0"/>
            </w:pPr>
            <w:r>
              <w:rPr>
                <w:sz w:val="20"/>
              </w:rPr>
              <w:t xml:space="preserve">60</w:t>
            </w:r>
          </w:p>
        </w:tc>
        <w:tc>
          <w:tcPr>
            <w:vMerge w:val="continue"/>
          </w:tcPr>
          <w:p/>
        </w:tc>
      </w:tr>
      <w:tr>
        <w:tc>
          <w:tcPr>
            <w:vMerge w:val="continue"/>
          </w:tcPr>
          <w:p/>
        </w:tc>
        <w:tc>
          <w:tcPr>
            <w:vMerge w:val="continue"/>
          </w:tcPr>
          <w:p/>
        </w:tc>
        <w:tc>
          <w:tcPr>
            <w:tcW w:w="4139" w:type="dxa"/>
          </w:tcPr>
          <w:p>
            <w:pPr>
              <w:pStyle w:val="0"/>
            </w:pPr>
            <w:r>
              <w:rPr>
                <w:sz w:val="20"/>
              </w:rPr>
              <w:t xml:space="preserve">&gt;= 35 - &lt; 40%</w:t>
            </w:r>
          </w:p>
        </w:tc>
        <w:tc>
          <w:tcPr>
            <w:tcW w:w="2778" w:type="dxa"/>
          </w:tcPr>
          <w:p>
            <w:pPr>
              <w:pStyle w:val="0"/>
            </w:pPr>
            <w:r>
              <w:rPr>
                <w:sz w:val="20"/>
              </w:rPr>
              <w:t xml:space="preserve">70</w:t>
            </w:r>
          </w:p>
        </w:tc>
        <w:tc>
          <w:tcPr>
            <w:vMerge w:val="continue"/>
          </w:tcPr>
          <w:p/>
        </w:tc>
      </w:tr>
      <w:tr>
        <w:tc>
          <w:tcPr>
            <w:vMerge w:val="continue"/>
          </w:tcPr>
          <w:p/>
        </w:tc>
        <w:tc>
          <w:tcPr>
            <w:vMerge w:val="continue"/>
          </w:tcPr>
          <w:p/>
        </w:tc>
        <w:tc>
          <w:tcPr>
            <w:tcW w:w="4139" w:type="dxa"/>
          </w:tcPr>
          <w:p>
            <w:pPr>
              <w:pStyle w:val="0"/>
            </w:pPr>
            <w:r>
              <w:rPr>
                <w:sz w:val="20"/>
              </w:rPr>
              <w:t xml:space="preserve">&gt;= 40 - &lt; 45%</w:t>
            </w:r>
          </w:p>
        </w:tc>
        <w:tc>
          <w:tcPr>
            <w:tcW w:w="2778" w:type="dxa"/>
          </w:tcPr>
          <w:p>
            <w:pPr>
              <w:pStyle w:val="0"/>
            </w:pPr>
            <w:r>
              <w:rPr>
                <w:sz w:val="20"/>
              </w:rPr>
              <w:t xml:space="preserve">80</w:t>
            </w:r>
          </w:p>
        </w:tc>
        <w:tc>
          <w:tcPr>
            <w:vMerge w:val="continue"/>
          </w:tcPr>
          <w:p/>
        </w:tc>
      </w:tr>
      <w:tr>
        <w:tc>
          <w:tcPr>
            <w:vMerge w:val="continue"/>
          </w:tcPr>
          <w:p/>
        </w:tc>
        <w:tc>
          <w:tcPr>
            <w:vMerge w:val="continue"/>
          </w:tcPr>
          <w:p/>
        </w:tc>
        <w:tc>
          <w:tcPr>
            <w:tcW w:w="4139" w:type="dxa"/>
          </w:tcPr>
          <w:p>
            <w:pPr>
              <w:pStyle w:val="0"/>
            </w:pPr>
            <w:r>
              <w:rPr>
                <w:sz w:val="20"/>
              </w:rPr>
              <w:t xml:space="preserve">&gt;= 45 - &lt; 50%</w:t>
            </w:r>
          </w:p>
        </w:tc>
        <w:tc>
          <w:tcPr>
            <w:tcW w:w="2778" w:type="dxa"/>
          </w:tcPr>
          <w:p>
            <w:pPr>
              <w:pStyle w:val="0"/>
            </w:pPr>
            <w:r>
              <w:rPr>
                <w:sz w:val="20"/>
              </w:rPr>
              <w:t xml:space="preserve">90</w:t>
            </w:r>
          </w:p>
        </w:tc>
        <w:tc>
          <w:tcPr>
            <w:vMerge w:val="continue"/>
          </w:tcPr>
          <w:p/>
        </w:tc>
      </w:tr>
      <w:tr>
        <w:tc>
          <w:tcPr>
            <w:vMerge w:val="continue"/>
          </w:tcPr>
          <w:p/>
        </w:tc>
        <w:tc>
          <w:tcPr>
            <w:vMerge w:val="continue"/>
          </w:tcPr>
          <w:p/>
        </w:tc>
        <w:tc>
          <w:tcPr>
            <w:tcW w:w="4139" w:type="dxa"/>
          </w:tcPr>
          <w:p>
            <w:pPr>
              <w:pStyle w:val="0"/>
            </w:pPr>
            <w:r>
              <w:rPr>
                <w:sz w:val="20"/>
              </w:rPr>
              <w:t xml:space="preserve">&gt;= 50% и более</w:t>
            </w:r>
          </w:p>
        </w:tc>
        <w:tc>
          <w:tcPr>
            <w:tcW w:w="2778" w:type="dxa"/>
          </w:tcPr>
          <w:p>
            <w:pPr>
              <w:pStyle w:val="0"/>
            </w:pPr>
            <w:r>
              <w:rPr>
                <w:sz w:val="20"/>
              </w:rPr>
              <w:t xml:space="preserve">100</w:t>
            </w:r>
          </w:p>
        </w:tc>
        <w:tc>
          <w:tcPr>
            <w:vMerge w:val="continue"/>
          </w:tcPr>
          <w:p/>
        </w:tc>
      </w:tr>
      <w:tr>
        <w:tc>
          <w:tcPr>
            <w:tcW w:w="737" w:type="dxa"/>
          </w:tcPr>
          <w:p>
            <w:pPr>
              <w:pStyle w:val="0"/>
            </w:pPr>
            <w:r>
              <w:rPr>
                <w:sz w:val="20"/>
              </w:rPr>
              <w:t xml:space="preserve">6</w:t>
            </w:r>
          </w:p>
        </w:tc>
        <w:tc>
          <w:tcPr>
            <w:tcW w:w="3628" w:type="dxa"/>
          </w:tcPr>
          <w:p>
            <w:pPr>
              <w:pStyle w:val="0"/>
            </w:pPr>
            <w:r>
              <w:rPr>
                <w:sz w:val="20"/>
              </w:rPr>
              <w:t xml:space="preserve">Нахождение участника конкурса в реестре участников региональной </w:t>
            </w:r>
            <w:hyperlink w:history="0" r:id="rId604" w:tooltip="Распоряжение Правительства МО от 30.10.2023 N 780-РП (ред. от 23.05.2024) &quot;Об утверждении региональной программы по поддержке и продвижению брендов Московской области &quot;100% Подмосковье&quot; ------------ Недействующая редакция {КонсультантПлюс}">
              <w:r>
                <w:rPr>
                  <w:sz w:val="20"/>
                  <w:color w:val="0000ff"/>
                </w:rPr>
                <w:t xml:space="preserve">программы</w:t>
              </w:r>
            </w:hyperlink>
            <w:r>
              <w:rPr>
                <w:sz w:val="20"/>
              </w:rPr>
              <w:t xml:space="preserve"> по поддержке и продвижению брендов Московской области "100% Подмосковье", утвержденной распоряжением Правительства Московской области от 30.10.2023 N 780-РП "Об утверждении региональной программы по поддержке и продвижению брендов Московской области "100% Подмосковье" (далее - Реестр "100% Подмосковье")</w:t>
            </w:r>
          </w:p>
        </w:tc>
        <w:tc>
          <w:tcPr>
            <w:gridSpan w:val="2"/>
            <w:tcW w:w="6917" w:type="dxa"/>
          </w:tcPr>
          <w:p>
            <w:pPr>
              <w:pStyle w:val="0"/>
            </w:pPr>
            <w:r>
              <w:rPr>
                <w:sz w:val="20"/>
              </w:rPr>
              <w:t xml:space="preserve">100 баллов - наличие участника конкурса в Реестре "100% Подмосковье".</w:t>
            </w:r>
          </w:p>
          <w:p>
            <w:pPr>
              <w:pStyle w:val="0"/>
            </w:pPr>
            <w:r>
              <w:rPr>
                <w:sz w:val="20"/>
              </w:rPr>
              <w:t xml:space="preserve">0 баллов - участник конкурса не включен в Реестр "100% Подмосковье"</w:t>
            </w:r>
          </w:p>
        </w:tc>
        <w:tc>
          <w:tcPr>
            <w:tcW w:w="1474" w:type="dxa"/>
          </w:tcPr>
          <w:p>
            <w:pPr>
              <w:pStyle w:val="0"/>
            </w:pPr>
            <w:r>
              <w:rPr>
                <w:sz w:val="20"/>
              </w:rPr>
              <w:t xml:space="preserve">0,08</w:t>
            </w:r>
          </w:p>
        </w:tc>
      </w:tr>
    </w:tbl>
    <w:p>
      <w:pPr>
        <w:sectPr>
          <w:headerReference w:type="default" r:id="rId148"/>
          <w:headerReference w:type="first" r:id="rId148"/>
          <w:footerReference w:type="default" r:id="rId149"/>
          <w:footerReference w:type="first" r:id="rId14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3946" w:name="P13946"/>
    <w:bookmarkEnd w:id="13946"/>
    <w:p>
      <w:pPr>
        <w:pStyle w:val="0"/>
        <w:spacing w:before="200" w:line-rule="auto"/>
        <w:ind w:firstLine="540"/>
        <w:jc w:val="both"/>
      </w:pPr>
      <w:r>
        <w:rPr>
          <w:sz w:val="20"/>
        </w:rPr>
        <w:t xml:space="preserve">&lt;1&gt; Участники конкурса, получающие баллы по данному критерию, не получают баллы по критерию "Увеличение налоговых отчислений".</w:t>
      </w:r>
    </w:p>
    <w:bookmarkStart w:id="13947" w:name="P13947"/>
    <w:bookmarkEnd w:id="13947"/>
    <w:p>
      <w:pPr>
        <w:pStyle w:val="0"/>
        <w:spacing w:before="200" w:line-rule="auto"/>
        <w:ind w:firstLine="540"/>
        <w:jc w:val="both"/>
      </w:pPr>
      <w:r>
        <w:rPr>
          <w:sz w:val="20"/>
        </w:rPr>
        <w:t xml:space="preserve">&lt;2&gt;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bookmarkStart w:id="13948" w:name="P13948"/>
    <w:bookmarkEnd w:id="13948"/>
    <w:p>
      <w:pPr>
        <w:pStyle w:val="0"/>
        <w:spacing w:before="200" w:line-rule="auto"/>
        <w:ind w:firstLine="540"/>
        <w:jc w:val="both"/>
      </w:pPr>
      <w:r>
        <w:rPr>
          <w:sz w:val="20"/>
        </w:rPr>
        <w:t xml:space="preserve">&lt;3&gt;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bookmarkStart w:id="13949" w:name="P13949"/>
    <w:bookmarkEnd w:id="13949"/>
    <w:p>
      <w:pPr>
        <w:pStyle w:val="0"/>
        <w:spacing w:before="200" w:line-rule="auto"/>
        <w:ind w:firstLine="540"/>
        <w:jc w:val="both"/>
      </w:pPr>
      <w:r>
        <w:rPr>
          <w:sz w:val="20"/>
        </w:rPr>
        <w:t xml:space="preserve">&lt;4&gt;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13953" w:name="P13953"/>
    <w:bookmarkEnd w:id="13953"/>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документам</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Документ, удостоверяющий личность (для индивидуальных предпринимателей)</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индивидуального предпринимателя, и страница с действующей регистрацией);</w:t>
            </w:r>
          </w:p>
          <w:p>
            <w:pPr>
              <w:pStyle w:val="0"/>
            </w:pPr>
            <w:r>
              <w:rPr>
                <w:sz w:val="20"/>
              </w:rPr>
              <w:t xml:space="preserve">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(страницы, подтверждающие личность индивидуального предпринимателя, а также содержащие сведения о месте жительства)</w:t>
            </w:r>
          </w:p>
        </w:tc>
      </w:tr>
      <w:tr>
        <w:tc>
          <w:tcPr>
            <w:tcW w:w="850" w:type="dxa"/>
          </w:tcPr>
          <w:p>
            <w:pPr>
              <w:pStyle w:val="0"/>
            </w:pPr>
            <w:r>
              <w:rPr>
                <w:sz w:val="20"/>
              </w:rPr>
              <w:t xml:space="preserve">2</w:t>
            </w:r>
          </w:p>
        </w:tc>
        <w:tc>
          <w:tcPr>
            <w:gridSpan w:val="2"/>
            <w:tcW w:w="8220" w:type="dxa"/>
          </w:tcPr>
          <w:p>
            <w:pPr>
              <w:pStyle w:val="0"/>
            </w:pPr>
            <w:r>
              <w:rPr>
                <w:sz w:val="20"/>
              </w:rPr>
              <w:t xml:space="preserve">Документы, представляемые в случае подачи заявки уполномоченным руководителем юридического лица или индивидуального предпринимателя лицом:</w:t>
            </w:r>
          </w:p>
        </w:tc>
      </w:tr>
      <w:tr>
        <w:tc>
          <w:tcPr>
            <w:tcW w:w="850" w:type="dxa"/>
          </w:tcPr>
          <w:p>
            <w:pPr>
              <w:pStyle w:val="0"/>
            </w:pPr>
            <w:r>
              <w:rPr>
                <w:sz w:val="20"/>
              </w:rPr>
              <w:t xml:space="preserve">2.1</w:t>
            </w:r>
          </w:p>
        </w:tc>
        <w:tc>
          <w:tcPr>
            <w:tcW w:w="3118" w:type="dxa"/>
          </w:tcPr>
          <w:p>
            <w:pPr>
              <w:pStyle w:val="0"/>
            </w:pPr>
            <w:r>
              <w:rPr>
                <w:sz w:val="20"/>
              </w:rPr>
              <w:t xml:space="preserve">Доверенность, подтверждающая полномочия представителя участника конкурса</w:t>
            </w:r>
          </w:p>
        </w:tc>
        <w:tc>
          <w:tcPr>
            <w:tcW w:w="5102" w:type="dxa"/>
          </w:tcPr>
          <w:p>
            <w:pPr>
              <w:pStyle w:val="0"/>
            </w:pPr>
            <w:r>
              <w:rPr>
                <w:sz w:val="20"/>
              </w:rPr>
              <w:t xml:space="preserve">В соответствии с требованиями, установленными </w:t>
            </w:r>
            <w:hyperlink w:history="0" r:id="rId6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850" w:type="dxa"/>
          </w:tcPr>
          <w:p>
            <w:pPr>
              <w:pStyle w:val="0"/>
            </w:pPr>
            <w:r>
              <w:rPr>
                <w:sz w:val="20"/>
              </w:rPr>
              <w:t xml:space="preserve">2.2</w:t>
            </w:r>
          </w:p>
        </w:tc>
        <w:tc>
          <w:tcPr>
            <w:tcW w:w="3118" w:type="dxa"/>
          </w:tcPr>
          <w:p>
            <w:pPr>
              <w:pStyle w:val="0"/>
            </w:pPr>
            <w:r>
              <w:rPr>
                <w:sz w:val="20"/>
              </w:rPr>
              <w:t xml:space="preserve">Документ, удостоверяющий личность представителя участника конкурса</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представителя участника конкурса)</w:t>
            </w:r>
          </w:p>
        </w:tc>
      </w:tr>
      <w:tr>
        <w:tc>
          <w:tcPr>
            <w:tcW w:w="850" w:type="dxa"/>
          </w:tcPr>
          <w:p>
            <w:pPr>
              <w:pStyle w:val="0"/>
            </w:pPr>
            <w:r>
              <w:rPr>
                <w:sz w:val="20"/>
              </w:rPr>
              <w:t xml:space="preserve">3</w:t>
            </w:r>
          </w:p>
        </w:tc>
        <w:tc>
          <w:tcPr>
            <w:tcW w:w="3118" w:type="dxa"/>
          </w:tcPr>
          <w:p>
            <w:pPr>
              <w:pStyle w:val="0"/>
            </w:pPr>
            <w:r>
              <w:rPr>
                <w:sz w:val="20"/>
              </w:rPr>
              <w:t xml:space="preserve">Акт сверки по налогам, содержащий информацию о сумме уплаченных налогов за предшествующий календарный год, заверенный налоговым органом (представляется по инициативе участника конкурса)</w:t>
            </w:r>
          </w:p>
        </w:tc>
        <w:tc>
          <w:tcPr>
            <w:tcW w:w="5102" w:type="dxa"/>
          </w:tcPr>
          <w:p>
            <w:pPr>
              <w:pStyle w:val="0"/>
            </w:pPr>
            <w:r>
              <w:rPr>
                <w:sz w:val="20"/>
              </w:rPr>
              <w:t xml:space="preserve">По форме Федеральной налоговой службы</w:t>
            </w:r>
          </w:p>
        </w:tc>
      </w:tr>
    </w:tbl>
    <w:p>
      <w:pPr>
        <w:pStyle w:val="0"/>
        <w:jc w:val="both"/>
      </w:pPr>
      <w:r>
        <w:rPr>
          <w:sz w:val="20"/>
        </w:rPr>
      </w:r>
    </w:p>
    <w:p>
      <w:pPr>
        <w:pStyle w:val="0"/>
        <w:outlineLvl w:val="4"/>
        <w:jc w:val="right"/>
      </w:pPr>
      <w:r>
        <w:rPr>
          <w:sz w:val="20"/>
        </w:rPr>
        <w:t xml:space="preserve">Таблица 3</w:t>
      </w:r>
    </w:p>
    <w:p>
      <w:pPr>
        <w:pStyle w:val="0"/>
        <w:jc w:val="both"/>
      </w:pPr>
      <w:r>
        <w:rPr>
          <w:sz w:val="20"/>
        </w:rPr>
      </w:r>
    </w:p>
    <w:bookmarkStart w:id="13979" w:name="P13979"/>
    <w:bookmarkEnd w:id="13979"/>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содержанию документов</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Договор (в том числе счет-договор) на приобретение Оборудования (договоры купли-продажи, договоры поставки) (далее - договор)</w:t>
            </w:r>
          </w:p>
        </w:tc>
        <w:tc>
          <w:tcPr>
            <w:tcW w:w="5102" w:type="dxa"/>
          </w:tcPr>
          <w:p>
            <w:pPr>
              <w:pStyle w:val="0"/>
            </w:pPr>
            <w:r>
              <w:rPr>
                <w:sz w:val="20"/>
              </w:rPr>
              <w:t xml:space="preserve">Договор представляется со всеми приложениями, спецификациями и дополнительными соглашениями и должен содержать:</w:t>
            </w:r>
          </w:p>
          <w:p>
            <w:pPr>
              <w:pStyle w:val="0"/>
            </w:pPr>
            <w:r>
              <w:rPr>
                <w:sz w:val="20"/>
              </w:rPr>
              <w:t xml:space="preserve">1) дату заключения договора;</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 (стоимость) договора;</w:t>
            </w:r>
          </w:p>
          <w:p>
            <w:pPr>
              <w:pStyle w:val="0"/>
            </w:pPr>
            <w:r>
              <w:rPr>
                <w:sz w:val="20"/>
              </w:rPr>
              <w:t xml:space="preserve">5) идентификационные данные сторон договора:</w:t>
            </w:r>
          </w:p>
          <w:p>
            <w:pPr>
              <w:pStyle w:val="0"/>
            </w:pPr>
            <w:r>
              <w:rPr>
                <w:sz w:val="20"/>
              </w:rPr>
              <w:t xml:space="preserve">наименование юридического лица, организационно-правовую форму (для юридических лиц)/фамилию, имя, отчество (последнее - при наличии) - для индивидуальных предпринимателей, ИНН, подписи сторон, печати (при наличии);</w:t>
            </w:r>
          </w:p>
          <w:p>
            <w:pPr>
              <w:pStyle w:val="0"/>
            </w:pPr>
            <w:r>
              <w:rPr>
                <w:sz w:val="20"/>
              </w:rPr>
              <w:t xml:space="preserve">6) 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pPr>
              <w:pStyle w:val="0"/>
            </w:pPr>
            <w:r>
              <w:rPr>
                <w:sz w:val="20"/>
              </w:rPr>
              <w:t xml:space="preserve">В случае если договор составлен на иностранном языке, к договору прилагается его нотариально заверенный перевод на русский язык</w:t>
            </w:r>
          </w:p>
        </w:tc>
      </w:tr>
      <w:tr>
        <w:tc>
          <w:tcPr>
            <w:tcW w:w="850" w:type="dxa"/>
          </w:tcPr>
          <w:p>
            <w:pPr>
              <w:pStyle w:val="0"/>
            </w:pPr>
            <w:r>
              <w:rPr>
                <w:sz w:val="20"/>
              </w:rPr>
              <w:t xml:space="preserve">2</w:t>
            </w:r>
          </w:p>
        </w:tc>
        <w:tc>
          <w:tcPr>
            <w:tcW w:w="3118" w:type="dxa"/>
          </w:tcPr>
          <w:p>
            <w:pPr>
              <w:pStyle w:val="0"/>
            </w:pPr>
            <w:r>
              <w:rPr>
                <w:sz w:val="20"/>
              </w:rPr>
              <w:t xml:space="preserve">Платежное поручение</w:t>
            </w:r>
          </w:p>
        </w:tc>
        <w:tc>
          <w:tcPr>
            <w:tcW w:w="5102" w:type="dxa"/>
          </w:tcPr>
          <w:p>
            <w:pPr>
              <w:pStyle w:val="0"/>
            </w:pPr>
            <w:r>
              <w:rPr>
                <w:sz w:val="20"/>
              </w:rPr>
              <w:t xml:space="preserve">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"клиент-банк".</w:t>
            </w:r>
          </w:p>
          <w:p>
            <w:pPr>
              <w:pStyle w:val="0"/>
            </w:pPr>
            <w:r>
              <w:rPr>
                <w:sz w:val="20"/>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w:t>
            </w:r>
          </w:p>
        </w:tc>
      </w:tr>
      <w:tr>
        <w:tc>
          <w:tcPr>
            <w:tcW w:w="850" w:type="dxa"/>
          </w:tcPr>
          <w:p>
            <w:pPr>
              <w:pStyle w:val="0"/>
            </w:pPr>
            <w:r>
              <w:rPr>
                <w:sz w:val="20"/>
              </w:rPr>
              <w:t xml:space="preserve">3</w:t>
            </w:r>
          </w:p>
        </w:tc>
        <w:tc>
          <w:tcPr>
            <w:tcW w:w="3118" w:type="dxa"/>
          </w:tcPr>
          <w:p>
            <w:pPr>
              <w:pStyle w:val="0"/>
            </w:pPr>
            <w:r>
              <w:rPr>
                <w:sz w:val="20"/>
              </w:rPr>
              <w:t xml:space="preserve">Выписка банка, подтверждающая оплату по договору (далее - выписка банка)</w:t>
            </w:r>
          </w:p>
        </w:tc>
        <w:tc>
          <w:tcPr>
            <w:tcW w:w="5102" w:type="dxa"/>
          </w:tcPr>
          <w:p>
            <w:pPr>
              <w:pStyle w:val="0"/>
            </w:pPr>
            <w:r>
              <w:rPr>
                <w:sz w:val="20"/>
              </w:rPr>
              <w:t xml:space="preserve">Выписка банка должна быть заверена печатью банка или оригинальным оттиском штампа и подписью операциониста банка с указанием фамилии и инициалов или подписана усиленной квалифицированной ЭП операциониста банка (в случае если в составе выписки более одного листа, должен быть заверен каждый лист) и содержать следующую информацию:</w:t>
            </w:r>
          </w:p>
          <w:p>
            <w:pPr>
              <w:pStyle w:val="0"/>
            </w:pPr>
            <w:r>
              <w:rPr>
                <w:sz w:val="20"/>
              </w:rPr>
              <w:t xml:space="preserve">1) наименование банка;</w:t>
            </w:r>
          </w:p>
          <w:p>
            <w:pPr>
              <w:pStyle w:val="0"/>
            </w:pPr>
            <w:r>
              <w:rPr>
                <w:sz w:val="20"/>
              </w:rPr>
              <w:t xml:space="preserve">2) полное наименование плательщика (наименование юридического лица или фамилию, имя, отчество (последнее - при наличии) индивидуального предпринимателя);</w:t>
            </w:r>
          </w:p>
          <w:p>
            <w:pPr>
              <w:pStyle w:val="0"/>
            </w:pPr>
            <w:r>
              <w:rPr>
                <w:sz w:val="20"/>
              </w:rPr>
              <w:t xml:space="preserve">3) номер банковского счета, по которому представляется выписка банка;</w:t>
            </w:r>
          </w:p>
          <w:p>
            <w:pPr>
              <w:pStyle w:val="0"/>
            </w:pPr>
            <w:r>
              <w:rPr>
                <w:sz w:val="20"/>
              </w:rPr>
              <w:t xml:space="preserve">4) период, за который представляется выписка банка;</w:t>
            </w:r>
          </w:p>
          <w:p>
            <w:pPr>
              <w:pStyle w:val="0"/>
            </w:pPr>
            <w:r>
              <w:rPr>
                <w:sz w:val="20"/>
              </w:rPr>
              <w:t xml:space="preserve">5) дата совершения операции (оплаты по договору) в формате "дд.мм.гг.";</w:t>
            </w:r>
          </w:p>
          <w:p>
            <w:pPr>
              <w:pStyle w:val="0"/>
            </w:pPr>
            <w:r>
              <w:rPr>
                <w:sz w:val="20"/>
              </w:rPr>
              <w:t xml:space="preserve">6) реквизиты документа, на основании которого была совершена операция (оплата по договору) по счету (номер, дата);</w:t>
            </w:r>
          </w:p>
          <w:p>
            <w:pPr>
              <w:pStyle w:val="0"/>
            </w:pPr>
            <w:r>
              <w:rPr>
                <w:sz w:val="20"/>
              </w:rPr>
              <w:t xml:space="preserve">7) наименование получателя денежных средств (наименование юридического лица или фамилию, имя, отчество (последнее - при наличии) индивидуального предпринимателя);</w:t>
            </w:r>
          </w:p>
          <w:p>
            <w:pPr>
              <w:pStyle w:val="0"/>
            </w:pPr>
            <w:r>
              <w:rPr>
                <w:sz w:val="20"/>
              </w:rPr>
              <w:t xml:space="preserve">8) сумма операции по счету (дебету, кредиту);</w:t>
            </w:r>
          </w:p>
          <w:p>
            <w:pPr>
              <w:pStyle w:val="0"/>
            </w:pPr>
            <w:r>
              <w:rPr>
                <w:sz w:val="20"/>
              </w:rPr>
              <w:t xml:space="preserve">9) назначение платежа</w:t>
            </w:r>
          </w:p>
        </w:tc>
      </w:tr>
      <w:tr>
        <w:tc>
          <w:tcPr>
            <w:tcW w:w="850" w:type="dxa"/>
          </w:tcPr>
          <w:p>
            <w:pPr>
              <w:pStyle w:val="0"/>
            </w:pPr>
            <w:r>
              <w:rPr>
                <w:sz w:val="20"/>
              </w:rPr>
              <w:t xml:space="preserve">4</w:t>
            </w:r>
          </w:p>
        </w:tc>
        <w:tc>
          <w:tcPr>
            <w:tcW w:w="3118" w:type="dxa"/>
          </w:tcPr>
          <w:p>
            <w:pPr>
              <w:pStyle w:val="0"/>
            </w:pPr>
            <w:r>
              <w:rPr>
                <w:sz w:val="2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w:t>
            </w:r>
          </w:p>
        </w:tc>
        <w:tc>
          <w:tcPr>
            <w:tcW w:w="5102" w:type="dxa"/>
          </w:tcPr>
          <w:p>
            <w:pPr>
              <w:pStyle w:val="0"/>
            </w:pPr>
            <w:r>
              <w:rPr>
                <w:sz w:val="20"/>
              </w:rPr>
              <w:t xml:space="preserve">Счет на оплату должен соответствовать условиям договора и содержать ссылку на договор, а также следующую информацию:</w:t>
            </w:r>
          </w:p>
          <w:p>
            <w:pPr>
              <w:pStyle w:val="0"/>
            </w:pPr>
            <w:r>
              <w:rPr>
                <w:sz w:val="20"/>
              </w:rPr>
              <w:t xml:space="preserve">1) ссылку на номер и дату договора;</w:t>
            </w:r>
          </w:p>
          <w:p>
            <w:pPr>
              <w:pStyle w:val="0"/>
            </w:pPr>
            <w:r>
              <w:rPr>
                <w:sz w:val="20"/>
              </w:rPr>
              <w:t xml:space="preserve">2) указание на лицо, выдавшее счет (наименование юридического лица или фамилию, имя, отчество (последнее - при наличии) - индивидуального предпринимателя, ИНН, КПП);</w:t>
            </w:r>
          </w:p>
          <w:p>
            <w:pPr>
              <w:pStyle w:val="0"/>
            </w:pPr>
            <w:r>
              <w:rPr>
                <w:sz w:val="20"/>
              </w:rPr>
              <w:t xml:space="preserve">3) указание на плательщика (наименование юридического лица или фамилию, имя, отчество (последнее - при наличии) - индивидуального предпринимателя, ИНН, КПП);</w:t>
            </w:r>
          </w:p>
          <w:p>
            <w:pPr>
              <w:pStyle w:val="0"/>
            </w:pPr>
            <w:r>
              <w:rPr>
                <w:sz w:val="20"/>
              </w:rPr>
              <w:t xml:space="preserve">4) предмет договора (за что производится оплата по счету);</w:t>
            </w:r>
          </w:p>
          <w:p>
            <w:pPr>
              <w:pStyle w:val="0"/>
            </w:pPr>
            <w:r>
              <w:rPr>
                <w:sz w:val="20"/>
              </w:rPr>
              <w:t xml:space="preserve">5) сумму платежа;</w:t>
            </w:r>
          </w:p>
          <w:p>
            <w:pPr>
              <w:pStyle w:val="0"/>
            </w:pPr>
            <w:r>
              <w:rPr>
                <w:sz w:val="20"/>
              </w:rPr>
              <w:t xml:space="preserve">6) печать и подпись лица, выдавшего счет на оплату</w:t>
            </w:r>
          </w:p>
        </w:tc>
      </w:tr>
      <w:tr>
        <w:tc>
          <w:tcPr>
            <w:tcW w:w="850" w:type="dxa"/>
          </w:tcPr>
          <w:p>
            <w:pPr>
              <w:pStyle w:val="0"/>
            </w:pPr>
            <w:r>
              <w:rPr>
                <w:sz w:val="20"/>
              </w:rPr>
              <w:t xml:space="preserve">5</w:t>
            </w:r>
          </w:p>
        </w:tc>
        <w:tc>
          <w:tcPr>
            <w:tcW w:w="3118" w:type="dxa"/>
          </w:tcPr>
          <w:p>
            <w:pPr>
              <w:pStyle w:val="0"/>
            </w:pPr>
            <w:r>
              <w:rPr>
                <w:sz w:val="20"/>
              </w:rPr>
              <w:t xml:space="preserve">Акт приема-передачи Оборудования или иной документ, предусмотренный договором, подтверждающий передачу Оборудования от продавца покупателю (представляется, если предусмотрен договором)</w:t>
            </w:r>
          </w:p>
        </w:tc>
        <w:tc>
          <w:tcPr>
            <w:tcW w:w="5102" w:type="dxa"/>
          </w:tcPr>
          <w:p>
            <w:pPr>
              <w:pStyle w:val="0"/>
            </w:pPr>
            <w:r>
              <w:rPr>
                <w:sz w:val="20"/>
              </w:rPr>
              <w:t xml:space="preserve">Акт приема-передачи (или иной документ, предусмотренный договором) должен соответствовать условиям договора и в обязательном порядке содержать следующую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w:t>
            </w:r>
          </w:p>
          <w:p>
            <w:pPr>
              <w:pStyle w:val="0"/>
            </w:pPr>
            <w:r>
              <w:rPr>
                <w:sz w:val="20"/>
              </w:rPr>
              <w:t xml:space="preserve">5) печати (при наличии) и подписи сторон</w:t>
            </w:r>
          </w:p>
        </w:tc>
      </w:tr>
      <w:tr>
        <w:tc>
          <w:tcPr>
            <w:tcW w:w="850" w:type="dxa"/>
          </w:tcPr>
          <w:p>
            <w:pPr>
              <w:pStyle w:val="0"/>
            </w:pPr>
            <w:r>
              <w:rPr>
                <w:sz w:val="20"/>
              </w:rPr>
              <w:t xml:space="preserve">6</w:t>
            </w:r>
          </w:p>
        </w:tc>
        <w:tc>
          <w:tcPr>
            <w:tcW w:w="3118" w:type="dxa"/>
          </w:tcPr>
          <w:p>
            <w:pPr>
              <w:pStyle w:val="0"/>
            </w:pPr>
            <w:r>
              <w:rPr>
                <w:sz w:val="20"/>
              </w:rPr>
              <w:t xml:space="preserve">Товарная накладная либо универсальный передаточный документ (УПД)</w:t>
            </w:r>
          </w:p>
        </w:tc>
        <w:tc>
          <w:tcPr>
            <w:tcW w:w="5102" w:type="dxa"/>
          </w:tcPr>
          <w:p>
            <w:pPr>
              <w:pStyle w:val="0"/>
            </w:pPr>
            <w:r>
              <w:rPr>
                <w:sz w:val="20"/>
              </w:rPr>
              <w:t xml:space="preserve">Товарная </w:t>
            </w:r>
            <w:hyperlink w:history="0" r:id="rId606"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накладная</w:t>
              </w:r>
            </w:hyperlink>
            <w:r>
              <w:rPr>
                <w:sz w:val="20"/>
              </w:rPr>
              <w:t xml:space="preserve"> представляется по форме N ТОРГ-12, утвержденной постановлением Государственного комитета Российской Федерации по статистике от 25.12.1998 N 132 "Об утверждении унифицированных форм первичной учетной документации по учету торговых операций".</w:t>
            </w:r>
          </w:p>
          <w:p>
            <w:pPr>
              <w:pStyle w:val="0"/>
            </w:pPr>
            <w:r>
              <w:rPr>
                <w:sz w:val="20"/>
              </w:rPr>
              <w:t xml:space="preserve">Универсальный передаточный документ (УПД):</w:t>
            </w:r>
          </w:p>
          <w:p>
            <w:pPr>
              <w:pStyle w:val="0"/>
            </w:pPr>
            <w:r>
              <w:rPr>
                <w:sz w:val="20"/>
              </w:rPr>
              <w:t xml:space="preserve">представляется плательщиками НДС для Оборудования, приобретенного на территории Российской Федерации</w:t>
            </w:r>
          </w:p>
        </w:tc>
      </w:tr>
      <w:tr>
        <w:tc>
          <w:tcPr>
            <w:tcW w:w="850" w:type="dxa"/>
          </w:tcPr>
          <w:p>
            <w:pPr>
              <w:pStyle w:val="0"/>
            </w:pPr>
            <w:r>
              <w:rPr>
                <w:sz w:val="20"/>
              </w:rPr>
              <w:t xml:space="preserve">7</w:t>
            </w:r>
          </w:p>
        </w:tc>
        <w:tc>
          <w:tcPr>
            <w:tcW w:w="3118" w:type="dxa"/>
          </w:tcPr>
          <w:p>
            <w:pPr>
              <w:pStyle w:val="0"/>
            </w:pPr>
            <w:r>
              <w:rPr>
                <w:sz w:val="20"/>
              </w:rPr>
              <w:t xml:space="preserve">Бухгалтерские документы о постановке Оборудования на баланс (обязательно для юридических лиц, для индивидуальных предпринимателей - при наличии)</w:t>
            </w:r>
          </w:p>
          <w:p>
            <w:pPr>
              <w:pStyle w:val="0"/>
            </w:pPr>
            <w:r>
              <w:rPr>
                <w:sz w:val="20"/>
              </w:rPr>
              <w:t xml:space="preserve">(представляются по выбору заявителя с обязательным заполнением всех разделов)</w:t>
            </w:r>
          </w:p>
        </w:tc>
        <w:tc>
          <w:tcPr>
            <w:tcW w:w="5102" w:type="dxa"/>
          </w:tcPr>
          <w:p>
            <w:pPr>
              <w:pStyle w:val="0"/>
            </w:pPr>
            <w:r>
              <w:rPr>
                <w:sz w:val="20"/>
              </w:rPr>
              <w:t xml:space="preserve">1. Акт о приеме-передаче объекта основных средств (кроме зданий, сооружений) по форме N ОС-1.</w:t>
            </w:r>
          </w:p>
          <w:p>
            <w:pPr>
              <w:pStyle w:val="0"/>
            </w:pPr>
            <w:r>
              <w:rPr>
                <w:sz w:val="20"/>
              </w:rPr>
              <w:t xml:space="preserve">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pPr>
              <w:pStyle w:val="0"/>
            </w:pPr>
            <w:r>
              <w:rPr>
                <w:sz w:val="20"/>
              </w:rPr>
              <w:t xml:space="preserve">1) приказ об утверждении учетной политики участника конкурса;</w:t>
            </w:r>
          </w:p>
          <w:p>
            <w:pPr>
              <w:pStyle w:val="0"/>
            </w:pPr>
            <w:r>
              <w:rPr>
                <w:sz w:val="20"/>
              </w:rPr>
              <w:t xml:space="preserve">2) учетный документ, форма которого утверждена учетной политикой участника конкурса, подтверждающий факт постановки Оборудования на баланс и содержащий следующие обязательные реквизиты:</w:t>
            </w:r>
          </w:p>
          <w:p>
            <w:pPr>
              <w:pStyle w:val="0"/>
            </w:pPr>
            <w:r>
              <w:rPr>
                <w:sz w:val="20"/>
              </w:rPr>
              <w:t xml:space="preserve">наименование документа;</w:t>
            </w:r>
          </w:p>
          <w:p>
            <w:pPr>
              <w:pStyle w:val="0"/>
            </w:pPr>
            <w:r>
              <w:rPr>
                <w:sz w:val="20"/>
              </w:rPr>
              <w:t xml:space="preserve">дата составления документа;</w:t>
            </w:r>
          </w:p>
          <w:p>
            <w:pPr>
              <w:pStyle w:val="0"/>
            </w:pPr>
            <w:r>
              <w:rPr>
                <w:sz w:val="20"/>
              </w:rPr>
              <w:t xml:space="preserve">наименование экономического субъекта, составившего документ;</w:t>
            </w:r>
          </w:p>
          <w:p>
            <w:pPr>
              <w:pStyle w:val="0"/>
            </w:pPr>
            <w:r>
              <w:rPr>
                <w:sz w:val="20"/>
              </w:rPr>
              <w:t xml:space="preserve">содержание факта хозяйственной жизни;</w:t>
            </w:r>
          </w:p>
          <w:p>
            <w:pPr>
              <w:pStyle w:val="0"/>
            </w:pPr>
            <w:r>
              <w:rPr>
                <w:sz w:val="20"/>
              </w:rPr>
              <w:t xml:space="preserve">величина натурального и (или) денежного измерения факта хозяйственной жизни с указанием единиц измерения;</w:t>
            </w:r>
          </w:p>
          <w:p>
            <w:pPr>
              <w:pStyle w:val="0"/>
            </w:pPr>
            <w:r>
              <w:rPr>
                <w:sz w:val="20"/>
              </w:rPr>
              <w:t xml:space="preserve">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pPr>
              <w:pStyle w:val="0"/>
            </w:pPr>
            <w:r>
              <w:rPr>
                <w:sz w:val="20"/>
              </w:rPr>
              <w:t xml:space="preserve">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tc>
          <w:tcPr>
            <w:tcW w:w="850" w:type="dxa"/>
          </w:tcPr>
          <w:p>
            <w:pPr>
              <w:pStyle w:val="0"/>
            </w:pPr>
            <w:r>
              <w:rPr>
                <w:sz w:val="20"/>
              </w:rPr>
              <w:t xml:space="preserve">8</w:t>
            </w:r>
          </w:p>
        </w:tc>
        <w:tc>
          <w:tcPr>
            <w:tcW w:w="3118" w:type="dxa"/>
          </w:tcPr>
          <w:p>
            <w:pPr>
              <w:pStyle w:val="0"/>
            </w:pPr>
            <w:r>
              <w:rPr>
                <w:sz w:val="20"/>
              </w:rPr>
              <w:t xml:space="preserve">В случае подачи заявки на возмещение затрат на приобретение транспортных средств и (или) самоходных машин:</w:t>
            </w:r>
          </w:p>
        </w:tc>
        <w:tc>
          <w:tcPr>
            <w:tcW w:w="5102" w:type="dxa"/>
          </w:tcPr>
          <w:p>
            <w:pPr>
              <w:pStyle w:val="0"/>
            </w:pPr>
            <w:r>
              <w:rPr>
                <w:sz w:val="20"/>
              </w:rPr>
            </w:r>
          </w:p>
        </w:tc>
      </w:tr>
      <w:tr>
        <w:tc>
          <w:tcPr>
            <w:tcW w:w="850" w:type="dxa"/>
          </w:tcPr>
          <w:p>
            <w:pPr>
              <w:pStyle w:val="0"/>
            </w:pPr>
            <w:r>
              <w:rPr>
                <w:sz w:val="20"/>
              </w:rPr>
              <w:t xml:space="preserve">8.1</w:t>
            </w:r>
          </w:p>
        </w:tc>
        <w:tc>
          <w:tcPr>
            <w:tcW w:w="3118" w:type="dxa"/>
          </w:tcPr>
          <w:p>
            <w:pPr>
              <w:pStyle w:val="0"/>
            </w:pPr>
            <w:r>
              <w:rPr>
                <w:sz w:val="20"/>
              </w:rPr>
              <w:t xml:space="preserve">Паспорт транспортного средства и (или) самоходной машины (далее - ПТС (ПСМ)</w:t>
            </w:r>
          </w:p>
        </w:tc>
        <w:tc>
          <w:tcPr>
            <w:tcW w:w="5102" w:type="dxa"/>
          </w:tcPr>
          <w:p>
            <w:pPr>
              <w:pStyle w:val="0"/>
            </w:pPr>
            <w:hyperlink w:history="0" r:id="rId607"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ПТС</w:t>
              </w:r>
            </w:hyperlink>
            <w:r>
              <w:rPr>
                <w:sz w:val="20"/>
              </w:rPr>
              <w:t xml:space="preserve"> (ПСМ) представляется по форме в соответствии с приказом МВД России от 23.04.2019 N 267 "Об утверждении форм документов, идентифицирующих транспортное средство, и требований к ним".</w:t>
            </w:r>
          </w:p>
          <w:p>
            <w:pPr>
              <w:pStyle w:val="0"/>
            </w:pPr>
            <w:r>
              <w:rPr>
                <w:sz w:val="20"/>
              </w:rPr>
              <w:t xml:space="preserve">В случае представления электронного ПТС (ПСМ) с указанием дополнительных сведений согласно </w:t>
            </w:r>
            <w:hyperlink w:history="0" r:id="rId608"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тельных сведений, носящих информационный характер, указываемых в разделе &quot;Иные сведения, носящие информационный характер&quot; электронного паспорта транспортного средства и электронного паспорта шасси транспортного средства&quot;) {КонсультантПлюс}">
              <w:r>
                <w:rPr>
                  <w:sz w:val="20"/>
                  <w:color w:val="0000ff"/>
                </w:rPr>
                <w:t xml:space="preserve">постановлению</w:t>
              </w:r>
            </w:hyperlink>
            <w:r>
              <w:rPr>
                <w:sz w:val="20"/>
              </w:rPr>
              <w:t xml:space="preserve"> Правительства Российской Федерации от 05.10.2017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tc>
          <w:tcPr>
            <w:tcW w:w="850" w:type="dxa"/>
          </w:tcPr>
          <w:p>
            <w:pPr>
              <w:pStyle w:val="0"/>
            </w:pPr>
            <w:r>
              <w:rPr>
                <w:sz w:val="20"/>
              </w:rPr>
              <w:t xml:space="preserve">8.2</w:t>
            </w:r>
          </w:p>
        </w:tc>
        <w:tc>
          <w:tcPr>
            <w:tcW w:w="3118" w:type="dxa"/>
          </w:tcPr>
          <w:p>
            <w:pPr>
              <w:pStyle w:val="0"/>
            </w:pPr>
            <w:r>
              <w:rPr>
                <w:sz w:val="20"/>
              </w:rPr>
              <w:t xml:space="preserve">Свидетельство о регистрации транспортного средства и (или) самоходной машины (далее - СТС (ССМ)</w:t>
            </w:r>
          </w:p>
        </w:tc>
        <w:tc>
          <w:tcPr>
            <w:tcW w:w="5102" w:type="dxa"/>
          </w:tcPr>
          <w:p>
            <w:pPr>
              <w:pStyle w:val="0"/>
            </w:pPr>
            <w:hyperlink w:history="0" r:id="rId609"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СТС</w:t>
              </w:r>
            </w:hyperlink>
            <w:r>
              <w:rPr>
                <w:sz w:val="20"/>
              </w:rPr>
              <w:t xml:space="preserve"> (ССМ) представляется по форме в соответствии с приказом МВД России от 23.04.2019 N 267 "Об утверждении форм документов, идентифицирующих транспортное средство, и требований к ним"</w:t>
            </w:r>
          </w:p>
        </w:tc>
      </w:tr>
      <w:tr>
        <w:tc>
          <w:tcPr>
            <w:tcW w:w="850" w:type="dxa"/>
          </w:tcPr>
          <w:p>
            <w:pPr>
              <w:pStyle w:val="0"/>
            </w:pPr>
            <w:r>
              <w:rPr>
                <w:sz w:val="20"/>
              </w:rPr>
              <w:t xml:space="preserve">9</w:t>
            </w:r>
          </w:p>
        </w:tc>
        <w:tc>
          <w:tcPr>
            <w:tcW w:w="3118" w:type="dxa"/>
          </w:tcPr>
          <w:p>
            <w:pPr>
              <w:pStyle w:val="0"/>
            </w:pPr>
            <w:r>
              <w:rPr>
                <w:sz w:val="20"/>
              </w:rPr>
              <w:t xml:space="preserve">Для Оборудования, приобретенного за пределами территории Российской Федерации:</w:t>
            </w:r>
          </w:p>
        </w:tc>
        <w:tc>
          <w:tcPr>
            <w:tcW w:w="5102" w:type="dxa"/>
          </w:tcPr>
          <w:p>
            <w:pPr>
              <w:pStyle w:val="0"/>
            </w:pPr>
            <w:r>
              <w:rPr>
                <w:sz w:val="20"/>
              </w:rPr>
            </w:r>
          </w:p>
        </w:tc>
      </w:tr>
      <w:tr>
        <w:tc>
          <w:tcPr>
            <w:tcW w:w="850" w:type="dxa"/>
          </w:tcPr>
          <w:p>
            <w:pPr>
              <w:pStyle w:val="0"/>
            </w:pPr>
            <w:r>
              <w:rPr>
                <w:sz w:val="20"/>
              </w:rPr>
              <w:t xml:space="preserve">9.1</w:t>
            </w:r>
          </w:p>
        </w:tc>
        <w:tc>
          <w:tcPr>
            <w:tcW w:w="3118" w:type="dxa"/>
          </w:tcPr>
          <w:p>
            <w:pPr>
              <w:pStyle w:val="0"/>
            </w:pPr>
            <w:r>
              <w:rPr>
                <w:sz w:val="20"/>
              </w:rPr>
              <w:t xml:space="preserve">Заявление на перевод валюты (платежное поручение не представляется)</w:t>
            </w:r>
          </w:p>
        </w:tc>
        <w:tc>
          <w:tcPr>
            <w:tcW w:w="5102" w:type="dxa"/>
          </w:tcPr>
          <w:p>
            <w:pPr>
              <w:pStyle w:val="0"/>
            </w:pPr>
            <w:r>
              <w:rPr>
                <w:sz w:val="20"/>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"клиент-банк". В графе "Назначение платежа" заявления на перевод валюты должна быть ссылка на договор или счет (инвойс) на оплату, на основании которого произведен платеж</w:t>
            </w:r>
          </w:p>
        </w:tc>
      </w:tr>
      <w:tr>
        <w:tc>
          <w:tcPr>
            <w:tcW w:w="850" w:type="dxa"/>
          </w:tcPr>
          <w:p>
            <w:pPr>
              <w:pStyle w:val="0"/>
            </w:pPr>
            <w:r>
              <w:rPr>
                <w:sz w:val="20"/>
              </w:rPr>
              <w:t xml:space="preserve">9.2</w:t>
            </w:r>
          </w:p>
        </w:tc>
        <w:tc>
          <w:tcPr>
            <w:tcW w:w="3118" w:type="dxa"/>
          </w:tcPr>
          <w:p>
            <w:pPr>
              <w:pStyle w:val="0"/>
            </w:pPr>
            <w:r>
              <w:rPr>
                <w:sz w:val="20"/>
              </w:rPr>
              <w:t xml:space="preserve">Счет (инвойс) на оплату (счет не представляется) (представляется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(или контракт) должна быть в счете (инвойсе) на оплату</w:t>
            </w:r>
          </w:p>
        </w:tc>
        <w:tc>
          <w:tcPr>
            <w:tcW w:w="5102" w:type="dxa"/>
          </w:tcPr>
          <w:p>
            <w:pPr>
              <w:pStyle w:val="0"/>
            </w:pPr>
            <w:r>
              <w:rPr>
                <w:sz w:val="20"/>
              </w:rPr>
              <w:t xml:space="preserve">Счет (инвойс) на оплату должен соответствовать условиям договора и содержать следующие реквизиты (информацию):</w:t>
            </w:r>
          </w:p>
          <w:p>
            <w:pPr>
              <w:pStyle w:val="0"/>
            </w:pPr>
            <w:r>
              <w:rPr>
                <w:sz w:val="20"/>
              </w:rPr>
              <w:t xml:space="preserve">1) ссылку на номер и дату договора;</w:t>
            </w:r>
          </w:p>
          <w:p>
            <w:pPr>
              <w:pStyle w:val="0"/>
            </w:pPr>
            <w:r>
              <w:rPr>
                <w:sz w:val="20"/>
              </w:rPr>
              <w:t xml:space="preserve">2) указание на лицо, выдавшее счет (инвойс) на оплату (наименование юридического лица или фамилия, имя, отчество (последнее - при наличии) - для индивидуальных предпринимателей, ИНН, КПП);</w:t>
            </w:r>
          </w:p>
          <w:p>
            <w:pPr>
              <w:pStyle w:val="0"/>
            </w:pPr>
            <w:r>
              <w:rPr>
                <w:sz w:val="20"/>
              </w:rPr>
              <w:t xml:space="preserve">3) указание на плательщика (наименование юридического лица или фамилия, имя, отчество (последнее - при наличии) - для индивидуальных предпринимателей, ИНН, КПП);</w:t>
            </w:r>
          </w:p>
          <w:p>
            <w:pPr>
              <w:pStyle w:val="0"/>
            </w:pPr>
            <w:r>
              <w:rPr>
                <w:sz w:val="20"/>
              </w:rPr>
              <w:t xml:space="preserve">4) наименование Оборудования (за что производится оплата по счету);</w:t>
            </w:r>
          </w:p>
          <w:p>
            <w:pPr>
              <w:pStyle w:val="0"/>
            </w:pPr>
            <w:r>
              <w:rPr>
                <w:sz w:val="20"/>
              </w:rPr>
              <w:t xml:space="preserve">5) сумму платежа;</w:t>
            </w:r>
          </w:p>
          <w:p>
            <w:pPr>
              <w:pStyle w:val="0"/>
            </w:pPr>
            <w:r>
              <w:rPr>
                <w:sz w:val="20"/>
              </w:rPr>
              <w:t xml:space="preserve">6) печать (при наличии) и подпись лица, выдавшего счет (инвойс) на оплату</w:t>
            </w:r>
          </w:p>
        </w:tc>
      </w:tr>
      <w:tr>
        <w:tc>
          <w:tcPr>
            <w:tcW w:w="850" w:type="dxa"/>
          </w:tcPr>
          <w:p>
            <w:pPr>
              <w:pStyle w:val="0"/>
            </w:pPr>
            <w:r>
              <w:rPr>
                <w:sz w:val="20"/>
              </w:rPr>
              <w:t xml:space="preserve">9.3</w:t>
            </w:r>
          </w:p>
        </w:tc>
        <w:tc>
          <w:tcPr>
            <w:tcW w:w="3118" w:type="dxa"/>
          </w:tcPr>
          <w:p>
            <w:pPr>
              <w:pStyle w:val="0"/>
            </w:pPr>
            <w:r>
              <w:rPr>
                <w:sz w:val="20"/>
              </w:rPr>
              <w:t xml:space="preserve">Декларация на товары (акт приема-передачи, ТОРГ-12 и УПД не представляются)</w:t>
            </w:r>
          </w:p>
        </w:tc>
        <w:tc>
          <w:tcPr>
            <w:tcW w:w="5102" w:type="dxa"/>
          </w:tcPr>
          <w:p>
            <w:pPr>
              <w:pStyle w:val="0"/>
            </w:pPr>
            <w:r>
              <w:rPr>
                <w:sz w:val="20"/>
              </w:rPr>
              <w:t xml:space="preserve">Декларация на товары должна содержать отметку таможенного органа</w:t>
            </w:r>
          </w:p>
        </w:tc>
      </w:tr>
      <w:tr>
        <w:tc>
          <w:tcPr>
            <w:tcW w:w="850" w:type="dxa"/>
          </w:tcPr>
          <w:p>
            <w:pPr>
              <w:pStyle w:val="0"/>
            </w:pPr>
            <w:r>
              <w:rPr>
                <w:sz w:val="20"/>
              </w:rPr>
              <w:t xml:space="preserve">10</w:t>
            </w:r>
          </w:p>
        </w:tc>
        <w:tc>
          <w:tcPr>
            <w:tcW w:w="3118" w:type="dxa"/>
          </w:tcPr>
          <w:p>
            <w:pPr>
              <w:pStyle w:val="0"/>
            </w:pPr>
            <w:r>
              <w:rPr>
                <w:sz w:val="20"/>
              </w:rPr>
              <w:t xml:space="preserve">Фотографии Оборудования</w:t>
            </w:r>
          </w:p>
        </w:tc>
        <w:tc>
          <w:tcPr>
            <w:tcW w:w="5102" w:type="dxa"/>
          </w:tcPr>
          <w:p>
            <w:pPr>
              <w:pStyle w:val="0"/>
            </w:pPr>
            <w:r>
              <w:rPr>
                <w:sz w:val="20"/>
              </w:rPr>
              <w:t xml:space="preserve">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p>
        </w:tc>
      </w:tr>
      <w:tr>
        <w:tc>
          <w:tcPr>
            <w:tcW w:w="850" w:type="dxa"/>
          </w:tcPr>
          <w:p>
            <w:pPr>
              <w:pStyle w:val="0"/>
            </w:pPr>
            <w:r>
              <w:rPr>
                <w:sz w:val="20"/>
              </w:rPr>
              <w:t xml:space="preserve">11</w:t>
            </w:r>
          </w:p>
        </w:tc>
        <w:tc>
          <w:tcPr>
            <w:tcW w:w="3118" w:type="dxa"/>
          </w:tcPr>
          <w:p>
            <w:pPr>
              <w:pStyle w:val="0"/>
            </w:pPr>
            <w:r>
              <w:rPr>
                <w:sz w:val="20"/>
              </w:rPr>
              <w:t xml:space="preserve">Видеоматериалы</w:t>
            </w:r>
          </w:p>
        </w:tc>
        <w:tc>
          <w:tcPr>
            <w:tcW w:w="5102" w:type="dxa"/>
          </w:tcPr>
          <w:p>
            <w:pPr>
              <w:pStyle w:val="0"/>
            </w:pPr>
            <w:r>
              <w:rPr>
                <w:sz w:val="20"/>
              </w:rPr>
              <w:t xml:space="preserve">Видеоматериалы со съемкой места ведения деятельности,</w:t>
            </w:r>
          </w:p>
          <w:p>
            <w:pPr>
              <w:pStyle w:val="0"/>
            </w:pPr>
            <w:r>
              <w:rPr>
                <w:sz w:val="20"/>
              </w:rPr>
              <w:t xml:space="preserve">которые включают съемку Оборудования, а также съемку входной группы и помещения, где установлено Оборудование</w:t>
            </w:r>
          </w:p>
        </w:tc>
      </w:tr>
    </w:tbl>
    <w:p>
      <w:pPr>
        <w:pStyle w:val="0"/>
        <w:jc w:val="both"/>
      </w:pPr>
      <w:r>
        <w:rPr>
          <w:sz w:val="20"/>
        </w:rPr>
      </w:r>
    </w:p>
    <w:p>
      <w:pPr>
        <w:pStyle w:val="2"/>
        <w:outlineLvl w:val="3"/>
        <w:jc w:val="center"/>
      </w:pPr>
      <w:r>
        <w:rPr>
          <w:sz w:val="20"/>
        </w:rPr>
        <w:t xml:space="preserve">7.2.2.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 индивидуальным</w:t>
      </w:r>
    </w:p>
    <w:p>
      <w:pPr>
        <w:pStyle w:val="2"/>
        <w:jc w:val="center"/>
      </w:pPr>
      <w:r>
        <w:rPr>
          <w:sz w:val="20"/>
        </w:rPr>
        <w:t xml:space="preserve">предпринимателям на возмещение части затрат субъектов малого</w:t>
      </w:r>
    </w:p>
    <w:p>
      <w:pPr>
        <w:pStyle w:val="2"/>
        <w:jc w:val="center"/>
      </w:pPr>
      <w:r>
        <w:rPr>
          <w:sz w:val="20"/>
        </w:rPr>
        <w:t xml:space="preserve">и среднего предпринимательства, осуществляющих деятельность</w:t>
      </w:r>
    </w:p>
    <w:p>
      <w:pPr>
        <w:pStyle w:val="2"/>
        <w:jc w:val="center"/>
      </w:pPr>
      <w:r>
        <w:rPr>
          <w:sz w:val="20"/>
        </w:rPr>
        <w:t xml:space="preserve">в сфере социального предпринимательства в рамках реализации</w:t>
      </w:r>
    </w:p>
    <w:p>
      <w:pPr>
        <w:pStyle w:val="2"/>
        <w:jc w:val="center"/>
      </w:pPr>
      <w:r>
        <w:rPr>
          <w:sz w:val="20"/>
        </w:rPr>
        <w:t xml:space="preserve">мероприятия 01.02 "Возмещение части затрат субъектов малого</w:t>
      </w:r>
    </w:p>
    <w:p>
      <w:pPr>
        <w:pStyle w:val="2"/>
        <w:jc w:val="center"/>
      </w:pPr>
      <w:r>
        <w:rPr>
          <w:sz w:val="20"/>
        </w:rPr>
        <w:t xml:space="preserve">и среднего предпринимательства, осуществляющих деятельность</w:t>
      </w:r>
    </w:p>
    <w:p>
      <w:pPr>
        <w:pStyle w:val="2"/>
        <w:jc w:val="center"/>
      </w:pPr>
      <w:r>
        <w:rPr>
          <w:sz w:val="20"/>
        </w:rPr>
        <w:t xml:space="preserve">в сфере социального предпринимательства" Подпрограммы 3</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61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 индивидуальным предпринимателям на возмещение части затрат субъектов малого и среднего предпринимательства, осуществляющих деятельность в сфере социального предпринимательства в рамках реализации </w:t>
      </w:r>
      <w:hyperlink w:history="0" w:anchor="P12645" w:tooltip="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мероприятия 01.02</w:t>
        </w:r>
      </w:hyperlink>
      <w:r>
        <w:rPr>
          <w:sz w:val="20"/>
        </w:rPr>
        <w:t xml:space="preserve"> "Возмещение части затрат субъектов малого и среднего предпринимательства, осуществляющих деятельность в сфере социального предпринимательства" Подпрограммы 3 государственной программы (далее соответственно - Порядок, субсидия) разработан в соответствии со </w:t>
      </w:r>
      <w:hyperlink w:history="0" r:id="rId6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61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на соответствующий финансовый год и на плановый период и в пределах утвержденных лимитов бюджетных обязательств, а также лимитов бюджетных обязательств на предоставление субсидий, доведенных до Мининвеста Московской области.</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14110" w:name="P14110"/>
    <w:bookmarkEnd w:id="14110"/>
    <w:p>
      <w:pPr>
        <w:pStyle w:val="0"/>
        <w:spacing w:before="200" w:line-rule="auto"/>
        <w:ind w:firstLine="540"/>
        <w:jc w:val="both"/>
      </w:pPr>
      <w:r>
        <w:rPr>
          <w:sz w:val="20"/>
        </w:rPr>
        <w:t xml:space="preserve">5. Целью предоставления субсидии является возмещение части затрат субъектов малого и среднего предпринимательства, осуществляющих деятельность в сфере социального предпринимательства.</w:t>
      </w:r>
    </w:p>
    <w:bookmarkStart w:id="14111" w:name="P14111"/>
    <w:bookmarkEnd w:id="14111"/>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Мининвеста Московской области и АНО "АИР" осуществляется с использованием документов в электронной форме в государственной информационной системе Московской области "Единая информационная система обеспечения выполнения государственных функций и предоставления государственных услуг в сферах аккредитации, лицензионной и разрешительной деятельности" (далее - ИС ЛОД).</w:t>
      </w:r>
    </w:p>
    <w:p>
      <w:pPr>
        <w:pStyle w:val="0"/>
        <w:spacing w:before="200" w:line-rule="auto"/>
        <w:ind w:firstLine="540"/>
        <w:jc w:val="both"/>
      </w:pPr>
      <w:r>
        <w:rPr>
          <w:sz w:val="20"/>
        </w:rPr>
        <w:t xml:space="preserve">8. Способ проведения отбора получателей субсидий - конкурс (далее - конкурс), проводимый Мининвестом Московской области с участием АНО "АИР".</w:t>
      </w:r>
    </w:p>
    <w:p>
      <w:pPr>
        <w:pStyle w:val="0"/>
        <w:spacing w:before="200" w:line-rule="auto"/>
        <w:ind w:firstLine="540"/>
        <w:jc w:val="both"/>
      </w:pPr>
      <w:r>
        <w:rPr>
          <w:sz w:val="20"/>
        </w:rPr>
        <w:t xml:space="preserve">Получатели субсидии определяются по результатам конкурса исходя из наилучших условий достижения результата предоставления субсидии.</w:t>
      </w:r>
    </w:p>
    <w:p>
      <w:pPr>
        <w:pStyle w:val="0"/>
        <w:spacing w:before="200" w:line-rule="auto"/>
        <w:ind w:firstLine="540"/>
        <w:jc w:val="both"/>
      </w:pPr>
      <w:r>
        <w:rPr>
          <w:sz w:val="20"/>
        </w:rPr>
        <w:t xml:space="preserve">Наилучшие условия достижения результата предоставления субсидии определяются исходя из критериев оценки заявок об участии в конкурсе, поданных участниками конкурса (далее - заявки).</w:t>
      </w:r>
    </w:p>
    <w:bookmarkStart w:id="14121" w:name="P14121"/>
    <w:bookmarkEnd w:id="14121"/>
    <w:p>
      <w:pPr>
        <w:pStyle w:val="0"/>
        <w:spacing w:before="200" w:line-rule="auto"/>
        <w:ind w:firstLine="540"/>
        <w:jc w:val="both"/>
      </w:pPr>
      <w:r>
        <w:rPr>
          <w:sz w:val="20"/>
        </w:rPr>
        <w:t xml:space="preserve">9. Категория получателей субсидии: юридические лица и индивидуальные предприниматели, являющиеся субъектами МСП в соответствии с Федеральным </w:t>
      </w:r>
      <w:hyperlink w:history="0" r:id="rId61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за исключением категории субъектов МСП, указанной в </w:t>
      </w:r>
      <w:hyperlink w:history="0" r:id="rId61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пункте 4 части 5 статьи 14</w:t>
        </w:r>
      </w:hyperlink>
      <w:r>
        <w:rPr>
          <w:sz w:val="20"/>
        </w:rPr>
        <w:t xml:space="preserve"> Федерального закона N 209-ФЗ, состоящие в перечне субъектов МСП, имеющих статус социального предприятия, состоящих на учете в налоговом органе на территории Московской области или осуществляющие один или несколько следующих видов деятельности:</w:t>
      </w:r>
    </w:p>
    <w:bookmarkStart w:id="14122" w:name="P14122"/>
    <w:bookmarkEnd w:id="14122"/>
    <w:p>
      <w:pPr>
        <w:pStyle w:val="0"/>
        <w:spacing w:before="200" w:line-rule="auto"/>
        <w:ind w:firstLine="540"/>
        <w:jc w:val="both"/>
      </w:pPr>
      <w:r>
        <w:rPr>
          <w:sz w:val="20"/>
        </w:rPr>
        <w:t xml:space="preserve">образование дополнительное детей и взрослых;</w:t>
      </w:r>
    </w:p>
    <w:p>
      <w:pPr>
        <w:pStyle w:val="0"/>
        <w:spacing w:before="200" w:line-rule="auto"/>
        <w:ind w:firstLine="540"/>
        <w:jc w:val="both"/>
      </w:pPr>
      <w:r>
        <w:rPr>
          <w:sz w:val="20"/>
        </w:rPr>
        <w:t xml:space="preserve">предоставление услуг по дневному уходу за детьми;</w:t>
      </w:r>
    </w:p>
    <w:bookmarkStart w:id="14124" w:name="P14124"/>
    <w:bookmarkEnd w:id="14124"/>
    <w:p>
      <w:pPr>
        <w:pStyle w:val="0"/>
        <w:spacing w:before="200" w:line-rule="auto"/>
        <w:ind w:firstLine="540"/>
        <w:jc w:val="both"/>
      </w:pPr>
      <w:r>
        <w:rPr>
          <w:sz w:val="20"/>
        </w:rPr>
        <w:t xml:space="preserve">производство изделий народно-художественных промыслов.</w:t>
      </w:r>
    </w:p>
    <w:p>
      <w:pPr>
        <w:pStyle w:val="0"/>
        <w:spacing w:before="200" w:line-rule="auto"/>
        <w:ind w:firstLine="540"/>
        <w:jc w:val="both"/>
      </w:pPr>
      <w:hyperlink w:history="0" w:anchor="P14438" w:tooltip="КРИТЕРИИ ОЦЕНКИ ЗАЯВОК, ПОДАВАЕМЫХ УЧАСТНИКАМИ КОНКУРСА">
        <w:r>
          <w:rPr>
            <w:sz w:val="20"/>
            <w:color w:val="0000ff"/>
          </w:rPr>
          <w:t xml:space="preserve">Критерии</w:t>
        </w:r>
      </w:hyperlink>
      <w:r>
        <w:rPr>
          <w:sz w:val="20"/>
        </w:rPr>
        <w:t xml:space="preserve"> оценки заявок и их весовое значение в общей оценке установлены в таблице 1 к Порядку.</w:t>
      </w:r>
    </w:p>
    <w:p>
      <w:pPr>
        <w:pStyle w:val="0"/>
        <w:spacing w:before="200" w:line-rule="auto"/>
        <w:ind w:firstLine="540"/>
        <w:jc w:val="both"/>
      </w:pPr>
      <w:r>
        <w:rPr>
          <w:sz w:val="20"/>
        </w:rPr>
        <w:t xml:space="preserve">Сумма величин значимости всех применяемых критериев оценки, составляет 100 процентов.</w:t>
      </w:r>
    </w:p>
    <w:p>
      <w:pPr>
        <w:pStyle w:val="0"/>
        <w:spacing w:before="200" w:line-rule="auto"/>
        <w:ind w:firstLine="540"/>
        <w:jc w:val="both"/>
      </w:pPr>
      <w:r>
        <w:rPr>
          <w:sz w:val="20"/>
        </w:rPr>
        <w:t xml:space="preserve">Начисление баллов по критериям оценки осуществляется с использованием 100-балльной шкалы оценки.</w:t>
      </w:r>
    </w:p>
    <w:p>
      <w:pPr>
        <w:pStyle w:val="0"/>
        <w:spacing w:before="200" w:line-rule="auto"/>
        <w:ind w:firstLine="540"/>
        <w:jc w:val="both"/>
      </w:pPr>
      <w:r>
        <w:rPr>
          <w:sz w:val="20"/>
        </w:rPr>
        <w:t xml:space="preserve">Шкалы оценки по критериям оценки имеют конкретные значения.</w:t>
      </w:r>
    </w:p>
    <w:p>
      <w:pPr>
        <w:pStyle w:val="0"/>
        <w:spacing w:before="200" w:line-rule="auto"/>
        <w:ind w:firstLine="540"/>
        <w:jc w:val="both"/>
      </w:pPr>
      <w:r>
        <w:rPr>
          <w:sz w:val="20"/>
        </w:rPr>
        <w:t xml:space="preserve">10. В целях проведения конкурса Мининвест Московской области издает приказ об объявлении приема заявок на получение субсидии, в котором устанавливается:</w:t>
      </w:r>
    </w:p>
    <w:p>
      <w:pPr>
        <w:pStyle w:val="0"/>
        <w:spacing w:before="200" w:line-rule="auto"/>
        <w:ind w:firstLine="540"/>
        <w:jc w:val="both"/>
      </w:pPr>
      <w:r>
        <w:rPr>
          <w:sz w:val="20"/>
        </w:rPr>
        <w:t xml:space="preserve">даты и время начала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конкурса;</w:t>
      </w:r>
    </w:p>
    <w:p>
      <w:pPr>
        <w:pStyle w:val="0"/>
        <w:spacing w:before="200" w:line-rule="auto"/>
        <w:ind w:firstLine="540"/>
        <w:jc w:val="both"/>
      </w:pPr>
      <w:r>
        <w:rPr>
          <w:sz w:val="20"/>
        </w:rPr>
        <w:t xml:space="preserve">период возмещения затрат.</w:t>
      </w:r>
    </w:p>
    <w:p>
      <w:pPr>
        <w:pStyle w:val="0"/>
        <w:spacing w:before="200" w:line-rule="auto"/>
        <w:ind w:firstLine="540"/>
        <w:jc w:val="both"/>
      </w:pPr>
      <w:r>
        <w:rPr>
          <w:sz w:val="20"/>
        </w:rPr>
        <w:t xml:space="preserve">11. В целях проведения конкурса Мининвестом Московской области формируется объявление о проведении конкурса на бумажном носителе, которое подписывается руководителем Мининвеста Московской области или уполномоченным им лицом. Объявление о проведении конкурса размещается в Информационной системе не ранее размещения информации о субсидии в соответствии с </w:t>
      </w:r>
      <w:hyperlink w:history="0" w:anchor="P14111"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1 рабочего дня до наступления даты начала приема заявок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В объявлении о проведении конкурса указывается следующая информация:</w:t>
      </w:r>
    </w:p>
    <w:p>
      <w:pPr>
        <w:pStyle w:val="0"/>
        <w:spacing w:before="200" w:line-rule="auto"/>
        <w:ind w:firstLine="540"/>
        <w:jc w:val="both"/>
      </w:pPr>
      <w:r>
        <w:rPr>
          <w:sz w:val="20"/>
        </w:rPr>
        <w:t xml:space="preserve">1) сроки проведения конкурса;</w:t>
      </w:r>
    </w:p>
    <w:p>
      <w:pPr>
        <w:pStyle w:val="0"/>
        <w:spacing w:before="200" w:line-rule="auto"/>
        <w:ind w:firstLine="540"/>
        <w:jc w:val="both"/>
      </w:pPr>
      <w:r>
        <w:rPr>
          <w:sz w:val="20"/>
        </w:rPr>
        <w:t xml:space="preserve">2) даты начала и окончания приема заявок участников конкурса, при этом дата окончания приема заявок не может быть ранее 30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 и АНО "АИР";</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6) требования к участникам конкурса, которым участник конкурса должен соответствовать на дату, определенную Порядком, и перечню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7) категории получателей субсидий и критерии оценки;</w:t>
      </w:r>
    </w:p>
    <w:p>
      <w:pPr>
        <w:pStyle w:val="0"/>
        <w:spacing w:before="200" w:line-rule="auto"/>
        <w:ind w:firstLine="540"/>
        <w:jc w:val="both"/>
      </w:pPr>
      <w:r>
        <w:rPr>
          <w:sz w:val="20"/>
        </w:rPr>
        <w:t xml:space="preserve">8) порядок подачи заявок участниками конкурса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и их весовое значение в общей оценке, необходимую для представления участником конкурса информацию по каждому критерию оценки, сведения, документы и материалы, подтверждающие такую информацию, сроки оценки заявок, информация о неучастии комиссии и экспертов (экспертных организаций) в оценке заявок;</w:t>
      </w:r>
    </w:p>
    <w:p>
      <w:pPr>
        <w:pStyle w:val="0"/>
        <w:spacing w:before="200" w:line-rule="auto"/>
        <w:ind w:firstLine="540"/>
        <w:jc w:val="both"/>
      </w:pPr>
      <w:r>
        <w:rPr>
          <w:sz w:val="20"/>
        </w:rPr>
        <w:t xml:space="preserve">14) объем распределяемой субсидии в рамках конкурса, порядок расчета размера субсидии, установленный Порядком, правила распределения субсидии по результатам конкурса, которые в том числе включают максимальный размер субсидии, предоставляемой победителю конкурса;</w:t>
      </w:r>
    </w:p>
    <w:p>
      <w:pPr>
        <w:pStyle w:val="0"/>
        <w:spacing w:before="200" w:line-rule="auto"/>
        <w:ind w:firstLine="540"/>
        <w:jc w:val="both"/>
      </w:pPr>
      <w:r>
        <w:rPr>
          <w:sz w:val="20"/>
        </w:rPr>
        <w:t xml:space="preserve">15) порядок представления участникам конкурса разъяснений положений объявления о проведении конкурса, даты начала и окончания срока такого представления;</w:t>
      </w:r>
    </w:p>
    <w:p>
      <w:pPr>
        <w:pStyle w:val="0"/>
        <w:spacing w:before="200" w:line-rule="auto"/>
        <w:ind w:firstLine="540"/>
        <w:jc w:val="both"/>
      </w:pPr>
      <w:r>
        <w:rPr>
          <w:sz w:val="20"/>
        </w:rPr>
        <w:t xml:space="preserve">16) срок, в течение которого победитель конкурса должен подписать соглашение о предоставлении субсидии, заключаемое с Мининвестом Московской области (далее - Соглашение);</w:t>
      </w:r>
    </w:p>
    <w:p>
      <w:pPr>
        <w:pStyle w:val="0"/>
        <w:spacing w:before="200" w:line-rule="auto"/>
        <w:ind w:firstLine="540"/>
        <w:jc w:val="both"/>
      </w:pPr>
      <w:r>
        <w:rPr>
          <w:sz w:val="20"/>
        </w:rPr>
        <w:t xml:space="preserve">17) 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конкурса (документа об итогах проведения конкурса) в Информационной системе и на официальном сайте Мининвеста Московской области (</w:t>
      </w:r>
      <w:hyperlink w:history="0" r:id="rId615">
        <w:r>
          <w:rPr>
            <w:sz w:val="20"/>
            <w:color w:val="0000ff"/>
          </w:rPr>
          <w:t xml:space="preserve">https://mii.mosreg.ru</w:t>
        </w:r>
      </w:hyperlink>
      <w:r>
        <w:rPr>
          <w:sz w:val="20"/>
        </w:rPr>
        <w:t xml:space="preserve">) с размещением указателя страницы сайта на едином портале, которые не могут быть позднее 14 календарного дня, следующего за днем определения победителя конкурса.</w:t>
      </w:r>
    </w:p>
    <w:bookmarkStart w:id="14153" w:name="P14153"/>
    <w:bookmarkEnd w:id="14153"/>
    <w:p>
      <w:pPr>
        <w:pStyle w:val="0"/>
        <w:spacing w:before="200" w:line-rule="auto"/>
        <w:ind w:firstLine="540"/>
        <w:jc w:val="both"/>
      </w:pPr>
      <w:r>
        <w:rPr>
          <w:sz w:val="20"/>
        </w:rPr>
        <w:t xml:space="preserve">12. Требования к участникам конкурса, которым они должны соответствовать на даты подачи заявки и заключения Соглашения:</w:t>
      </w:r>
    </w:p>
    <w:p>
      <w:pPr>
        <w:pStyle w:val="0"/>
        <w:spacing w:before="200" w:line-rule="auto"/>
        <w:ind w:firstLine="540"/>
        <w:jc w:val="both"/>
      </w:pPr>
      <w:r>
        <w:rPr>
          <w:sz w:val="20"/>
        </w:rPr>
        <w:t xml:space="preserve">1)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конкурса не находится в составляемых в рамках реализации полномочий, предусмотренных </w:t>
      </w:r>
      <w:hyperlink w:history="0" r:id="rId61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конкурса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5) участник конкурса не является иностранным агентом в соответствии с Федеральным </w:t>
      </w:r>
      <w:hyperlink w:history="0" r:id="rId617"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конкурса на едином налоговом счете отсутствует или не превышает размер, определенный </w:t>
      </w:r>
      <w:hyperlink w:history="0" r:id="rId618"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конкурса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являющемся участником конкурса;</w:t>
      </w:r>
    </w:p>
    <w:p>
      <w:pPr>
        <w:pStyle w:val="0"/>
        <w:spacing w:before="200" w:line-rule="auto"/>
        <w:ind w:firstLine="540"/>
        <w:jc w:val="both"/>
      </w:pPr>
      <w:r>
        <w:rPr>
          <w:sz w:val="20"/>
        </w:rPr>
        <w:t xml:space="preserve">10) участник конкурса соответствует категории получателей субсидий, установленной </w:t>
      </w:r>
      <w:hyperlink w:history="0" w:anchor="P14121"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за исключением категории субъектов МСП, указанной в пункте 4 части 5 статьи 14 Федерального закона N 209-ФЗ, состоящие в перечне субъектов МСП, имеющих статус социального предприятия, состоящих на учете в налоговом органе на территории Московской области или осуществляющие один или несколько следующих видов деятельности:">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11) участник конкурса достиг значений результатов предоставления субсидии по </w:t>
      </w:r>
      <w:hyperlink w:history="0" w:anchor="P12645" w:tooltip="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мероприятию 01.02</w:t>
        </w:r>
      </w:hyperlink>
      <w:r>
        <w:rPr>
          <w:sz w:val="20"/>
        </w:rPr>
        <w:t xml:space="preserve"> "Возмещение части затрат субъектов малого и среднего предпринимательства, осуществляющих деятельность в сфере социального предпринимательства" Подпрограммы 3 государственной программы (далее - мероприятие 01.02) (в случае, если участник конкурса являлся получателем субсидии в году, предшествующем году проведения конкурса);</w:t>
      </w:r>
    </w:p>
    <w:bookmarkStart w:id="14165" w:name="P14165"/>
    <w:bookmarkEnd w:id="14165"/>
    <w:p>
      <w:pPr>
        <w:pStyle w:val="0"/>
        <w:spacing w:before="200" w:line-rule="auto"/>
        <w:ind w:firstLine="540"/>
        <w:jc w:val="both"/>
      </w:pPr>
      <w:r>
        <w:rPr>
          <w:sz w:val="20"/>
        </w:rPr>
        <w:t xml:space="preserve">12) наличие обязательства участника конкурса о представлении документов, в соответствии с </w:t>
      </w:r>
      <w:hyperlink w:history="0" w:anchor="P14547" w:tooltip="ПЕРЕЧЕНЬ ДОКУМЕНТОВ, ПРЕДСТАВЛЯЕМЫХ УЧАСТНИКАМИ КОНКУРСА">
        <w:r>
          <w:rPr>
            <w:sz w:val="20"/>
            <w:color w:val="0000ff"/>
          </w:rPr>
          <w:t xml:space="preserve">таблицей 3</w:t>
        </w:r>
      </w:hyperlink>
      <w:r>
        <w:rPr>
          <w:sz w:val="20"/>
        </w:rPr>
        <w:t xml:space="preserve"> к Порядку, подтверждающих произведенные затраты на цели указанные в </w:t>
      </w:r>
      <w:hyperlink w:history="0" w:anchor="P14110" w:tooltip="5. Целью предоставления субсидии является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пункте 5</w:t>
        </w:r>
      </w:hyperlink>
      <w:r>
        <w:rPr>
          <w:sz w:val="20"/>
        </w:rPr>
        <w:t xml:space="preserve"> Порядка в размере 100 процентов;</w:t>
      </w:r>
    </w:p>
    <w:p>
      <w:pPr>
        <w:pStyle w:val="0"/>
        <w:spacing w:before="200" w:line-rule="auto"/>
        <w:ind w:firstLine="540"/>
        <w:jc w:val="both"/>
      </w:pPr>
      <w:r>
        <w:rPr>
          <w:sz w:val="20"/>
        </w:rPr>
        <w:t xml:space="preserve">13) участник конкурса представил документы согласно </w:t>
      </w:r>
      <w:hyperlink w:history="0" w:anchor="P14521"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13. Представление в Мининвест Московской области заявки и документов, подтверждающих соответствие участников конкурса требованиям, установленным Порядком, а также сведений, документов и материалов, подтверждающих информацию по критериям оценки, осуществляется с использованием Информационной системы путем заполнения соответствующих экранных форм веб-интерфейса и представления в Информационную систему электронных документов, а также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конкурса для подачи заявки.</w:t>
      </w:r>
    </w:p>
    <w:p>
      <w:pPr>
        <w:pStyle w:val="0"/>
        <w:spacing w:before="200" w:line-rule="auto"/>
        <w:ind w:firstLine="540"/>
        <w:jc w:val="both"/>
      </w:pPr>
      <w:r>
        <w:rPr>
          <w:sz w:val="20"/>
        </w:rPr>
        <w:t xml:space="preserve">Участник конкурса представляет в Министерство документы, подтверждающие соответствие участника конкурса требованиям, установленным Порядком, а также сведения, документы и материалы, подтверждающие информацию по критериям оценки, в соответствии с </w:t>
      </w:r>
      <w:hyperlink w:history="0" w:anchor="P14521" w:tooltip="ПЕРЕЧЕНЬ ДОКУМЕНТОВ, ПРЕДСТАВЛЯЕМЫХ УЧАСТНИКАМИ КОНКУРСА">
        <w:r>
          <w:rPr>
            <w:sz w:val="20"/>
            <w:color w:val="0000ff"/>
          </w:rPr>
          <w:t xml:space="preserve">таблицей 2</w:t>
        </w:r>
      </w:hyperlink>
      <w:r>
        <w:rPr>
          <w:sz w:val="20"/>
        </w:rPr>
        <w:t xml:space="preserve"> к Порядку.</w:t>
      </w:r>
    </w:p>
    <w:bookmarkStart w:id="14169" w:name="P14169"/>
    <w:bookmarkEnd w:id="14169"/>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конкурса: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конкурса, и формируется участниками конкурса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конкурса;</w:t>
      </w:r>
    </w:p>
    <w:p>
      <w:pPr>
        <w:pStyle w:val="0"/>
        <w:spacing w:before="200" w:line-rule="auto"/>
        <w:ind w:firstLine="540"/>
        <w:jc w:val="both"/>
      </w:pPr>
      <w:r>
        <w:rPr>
          <w:sz w:val="20"/>
        </w:rPr>
        <w:t xml:space="preserve">документы согласно </w:t>
      </w:r>
      <w:hyperlink w:history="0" w:anchor="P14521" w:tooltip="ПЕРЕЧЕНЬ ДОКУМЕНТОВ, ПРЕДСТАВЛЯЕМЫХ УЧАСТНИКАМИ КОНКУРСА">
        <w:r>
          <w:rPr>
            <w:sz w:val="20"/>
            <w:color w:val="0000ff"/>
          </w:rPr>
          <w:t xml:space="preserve">таблице 2</w:t>
        </w:r>
      </w:hyperlink>
      <w:r>
        <w:rPr>
          <w:sz w:val="20"/>
        </w:rPr>
        <w:t xml:space="preserve"> к Порядку (далее - документы);</w:t>
      </w:r>
    </w:p>
    <w:p>
      <w:pPr>
        <w:pStyle w:val="0"/>
        <w:spacing w:before="200" w:line-rule="auto"/>
        <w:ind w:firstLine="540"/>
        <w:jc w:val="both"/>
      </w:pPr>
      <w:r>
        <w:rPr>
          <w:sz w:val="20"/>
        </w:rPr>
        <w:t xml:space="preserve">предлагаемые участником конкурса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информацию по каждому критерию оценки;</w:t>
      </w:r>
    </w:p>
    <w:p>
      <w:pPr>
        <w:pStyle w:val="0"/>
        <w:spacing w:before="200" w:line-rule="auto"/>
        <w:ind w:firstLine="540"/>
        <w:jc w:val="both"/>
      </w:pPr>
      <w:r>
        <w:rPr>
          <w:sz w:val="20"/>
        </w:rPr>
        <w:t xml:space="preserve">обязательство, предусмотренное </w:t>
      </w:r>
      <w:hyperlink w:history="0" w:anchor="P14165" w:tooltip="12) наличие обязательства участника конкурса о представлении документов, в соответствии с таблицей 3 к Порядку, подтверждающих произведенные затраты на цели указанные в пункте 5 Порядка в размере 100 процентов;">
        <w:r>
          <w:rPr>
            <w:sz w:val="20"/>
            <w:color w:val="0000ff"/>
          </w:rPr>
          <w:t xml:space="preserve">подпунктом 12 пункта 12</w:t>
        </w:r>
      </w:hyperlink>
      <w:r>
        <w:rPr>
          <w:sz w:val="20"/>
        </w:rPr>
        <w:t xml:space="preserve"> Порядка;</w:t>
      </w:r>
    </w:p>
    <w:p>
      <w:pPr>
        <w:pStyle w:val="0"/>
        <w:spacing w:before="200" w:line-rule="auto"/>
        <w:ind w:firstLine="540"/>
        <w:jc w:val="both"/>
      </w:pPr>
      <w:r>
        <w:rPr>
          <w:sz w:val="20"/>
        </w:rPr>
        <w:t xml:space="preserve">3) для представления заявки участник конкурса авторизуется в Информационной системе, заполняет интерактивные поля заявки, ставит отметку о согласии участника конкурса:</w:t>
      </w:r>
    </w:p>
    <w:p>
      <w:pPr>
        <w:pStyle w:val="0"/>
        <w:spacing w:before="200" w:line-rule="auto"/>
        <w:ind w:firstLine="540"/>
        <w:jc w:val="both"/>
      </w:pPr>
      <w:r>
        <w:rPr>
          <w:sz w:val="20"/>
        </w:rPr>
        <w:t xml:space="preserve">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на осуществление Мининвестом Московской области и АНО "АИР" проверок (обследований), документов и (или) сведений, представленных для получения субсидии, и запрос информации, уточняющей представленные в заявке сведения;</w:t>
      </w:r>
    </w:p>
    <w:p>
      <w:pPr>
        <w:pStyle w:val="0"/>
        <w:spacing w:before="200" w:line-rule="auto"/>
        <w:ind w:firstLine="540"/>
        <w:jc w:val="both"/>
      </w:pPr>
      <w:r>
        <w:rPr>
          <w:sz w:val="20"/>
        </w:rPr>
        <w:t xml:space="preserve">на уменьшение размера субсидии при недостаточности бюджетных ассигнований для предоставления субсидии в подтвержденном объеме, в соответствии с </w:t>
      </w:r>
      <w:hyperlink w:history="0" w:anchor="P14352" w:tooltip="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
        <w:r>
          <w:rPr>
            <w:sz w:val="20"/>
            <w:color w:val="0000ff"/>
          </w:rPr>
          <w:t xml:space="preserve">пунктом 44</w:t>
        </w:r>
      </w:hyperlink>
      <w:r>
        <w:rPr>
          <w:sz w:val="20"/>
        </w:rPr>
        <w:t xml:space="preserve"> Порядка;</w:t>
      </w:r>
    </w:p>
    <w:p>
      <w:pPr>
        <w:pStyle w:val="0"/>
        <w:spacing w:before="200" w:line-rule="auto"/>
        <w:ind w:firstLine="540"/>
        <w:jc w:val="both"/>
      </w:pPr>
      <w:r>
        <w:rPr>
          <w:sz w:val="20"/>
        </w:rPr>
        <w:t xml:space="preserve">4) заявка подписывается усиленной квалифицированной электронной подписью руководителя участника конкурса - юридического лица (уполномоченного им лица) или индивидуального предпринимателя;</w:t>
      </w:r>
    </w:p>
    <w:p>
      <w:pPr>
        <w:pStyle w:val="0"/>
        <w:spacing w:before="200" w:line-rule="auto"/>
        <w:ind w:firstLine="540"/>
        <w:jc w:val="both"/>
      </w:pPr>
      <w:r>
        <w:rPr>
          <w:sz w:val="20"/>
        </w:rPr>
        <w:t xml:space="preserve">5) в случае если от имени участника конкурса действует иное лицо, заявка должна содержать доверенность представителя на осуществление действий от имени участника конкурса,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6) доверенность представителя участника конкурса - юридического лица должна быть подписана руководителем участника конкурса или иным уполномоченным лицом и заверена печатью участника конкурса (при наличии);</w:t>
      </w:r>
    </w:p>
    <w:p>
      <w:pPr>
        <w:pStyle w:val="0"/>
        <w:spacing w:before="200" w:line-rule="auto"/>
        <w:ind w:firstLine="540"/>
        <w:jc w:val="both"/>
      </w:pPr>
      <w:r>
        <w:rPr>
          <w:sz w:val="20"/>
        </w:rPr>
        <w:t xml:space="preserve">7) требования к документам и материалам, включаемым в заявку, согласно </w:t>
      </w:r>
      <w:hyperlink w:history="0" w:anchor="P14521" w:tooltip="ПЕРЕЧЕНЬ ДОКУМЕНТОВ, ПРЕДСТАВЛЯЕМЫХ УЧАСТНИКАМИ КОНКУРСА">
        <w:r>
          <w:rPr>
            <w:sz w:val="20"/>
            <w:color w:val="0000ff"/>
          </w:rPr>
          <w:t xml:space="preserve">таблицам 2</w:t>
        </w:r>
      </w:hyperlink>
      <w:r>
        <w:rPr>
          <w:sz w:val="20"/>
        </w:rPr>
        <w:t xml:space="preserve"> и </w:t>
      </w:r>
      <w:hyperlink w:history="0" w:anchor="P14547" w:tooltip="ПЕРЕЧЕНЬ ДОКУМЕНТОВ, ПРЕДСТАВЛЯЕМЫХ УЧАСТНИКАМИ КОНКУРСА">
        <w:r>
          <w:rPr>
            <w:sz w:val="20"/>
            <w:color w:val="0000ff"/>
          </w:rPr>
          <w:t xml:space="preserve">3</w:t>
        </w:r>
      </w:hyperlink>
      <w:r>
        <w:rPr>
          <w:sz w:val="20"/>
        </w:rPr>
        <w:t xml:space="preserve"> к Порядку:</w:t>
      </w:r>
    </w:p>
    <w:p>
      <w:pPr>
        <w:pStyle w:val="0"/>
        <w:spacing w:before="200" w:line-rule="auto"/>
        <w:ind w:firstLine="540"/>
        <w:jc w:val="both"/>
      </w:pPr>
      <w:r>
        <w:rPr>
          <w:sz w:val="20"/>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 (для документов с текстовым содержанием, в том числе включающих формулы и (или) графические изображения, а также документов с графическим содержанием - в форматах pdf, jpg, jpeg);</w:t>
      </w:r>
    </w:p>
    <w:p>
      <w:pPr>
        <w:pStyle w:val="0"/>
        <w:spacing w:before="200" w:line-rule="auto"/>
        <w:ind w:firstLine="540"/>
        <w:jc w:val="both"/>
      </w:pPr>
      <w:r>
        <w:rPr>
          <w:sz w:val="20"/>
        </w:rPr>
        <w:t xml:space="preserve">представленные электронные образы документов (электронных документов) позволяют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заявителя или уполномоченного им лица и печатью (при наличии печати);</w:t>
      </w:r>
    </w:p>
    <w:p>
      <w:pPr>
        <w:pStyle w:val="0"/>
        <w:spacing w:before="200" w:line-rule="auto"/>
        <w:ind w:firstLine="540"/>
        <w:jc w:val="both"/>
      </w:pPr>
      <w:r>
        <w:rPr>
          <w:sz w:val="20"/>
        </w:rPr>
        <w:t xml:space="preserve">электронные образы документов должны быть подписаны ЭП руководителя или уполномоченного им лица;</w:t>
      </w:r>
    </w:p>
    <w:p>
      <w:pPr>
        <w:pStyle w:val="0"/>
        <w:spacing w:before="200" w:line-rule="auto"/>
        <w:ind w:firstLine="540"/>
        <w:jc w:val="both"/>
      </w:pPr>
      <w:r>
        <w:rPr>
          <w:sz w:val="20"/>
        </w:rPr>
        <w:t xml:space="preserve">формирование электронного документа путем сканирования непосредственно с оригинала документа, которое осуществляется с сохранением ориентации оригинала документа в разрешении 300-500 dpi (масштаб 1:1) с сохранением всех аутентичных признаков подлинности, а именно: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участник конкурса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конкурса заявки считается дата и время подписания участником конкурса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конкурса участником конкурса может быть подана одна заявка.</w:t>
      </w:r>
    </w:p>
    <w:p>
      <w:pPr>
        <w:pStyle w:val="0"/>
        <w:spacing w:before="200" w:line-rule="auto"/>
        <w:ind w:firstLine="540"/>
        <w:jc w:val="both"/>
      </w:pPr>
      <w:r>
        <w:rPr>
          <w:sz w:val="20"/>
        </w:rPr>
        <w:t xml:space="preserve">15. Участник конкурса вправе отозвать представленную заявку путем формирования участником конкурса уведомления об отзыве заявки в электронной форме в Информационной системе и направления такого уведомления в Мининвест Московской области.</w:t>
      </w:r>
    </w:p>
    <w:p>
      <w:pPr>
        <w:pStyle w:val="0"/>
        <w:spacing w:before="200" w:line-rule="auto"/>
        <w:ind w:firstLine="540"/>
        <w:jc w:val="both"/>
      </w:pPr>
      <w:r>
        <w:rPr>
          <w:sz w:val="20"/>
        </w:rPr>
        <w:t xml:space="preserve">Участник конкурса вправе в случае отзыва заявки повторно представить заявку в сроки, установленные объявлением о проведении конкурса, до окончания срока подачи заявок. При этом регистрация заявки будет осуществлена в порядке очередности в день повторного представления заявки на участие в конкурсе.</w:t>
      </w:r>
    </w:p>
    <w:p>
      <w:pPr>
        <w:pStyle w:val="0"/>
        <w:spacing w:before="200" w:line-rule="auto"/>
        <w:ind w:firstLine="540"/>
        <w:jc w:val="both"/>
      </w:pPr>
      <w:r>
        <w:rPr>
          <w:sz w:val="20"/>
        </w:rPr>
        <w:t xml:space="preserve">Внесение изменений в заявку осуществляется участником конкурса в порядке, аналогичном порядку формирования заявки участником конкурса, указанному в </w:t>
      </w:r>
      <w:hyperlink w:history="0" w:anchor="P14169" w:tooltip="14. Требования, предъявляемые к форме и содержанию заявок, представляемых участниками конкурс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16. В рамках проведения Конкурса АНО "АИР" осуществляет следующие полномочия, за исключением полномочий по размещению объявления о проведении конкурса и утверждению протокола подведения итогов конкурса:</w:t>
      </w:r>
    </w:p>
    <w:p>
      <w:pPr>
        <w:pStyle w:val="0"/>
        <w:spacing w:before="200" w:line-rule="auto"/>
        <w:ind w:firstLine="540"/>
        <w:jc w:val="both"/>
      </w:pPr>
      <w:r>
        <w:rPr>
          <w:sz w:val="20"/>
        </w:rPr>
        <w:t xml:space="preserve">рассмотрение заявки на соответствие требованиям, установленным </w:t>
      </w:r>
      <w:hyperlink w:history="0" w:anchor="P14169" w:tooltip="14. Требования, предъявляемые к форме и содержанию заявок, представляемых участниками конкурс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проверка соответствия участника конкурса категории получателей субсидии, установленной </w:t>
      </w:r>
      <w:hyperlink w:history="0" w:anchor="P14121"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за исключением категории субъектов МСП, указанной в пункте 4 части 5 статьи 14 Федерального закона N 209-ФЗ, состоящие в перечне субъектов МСП, имеющих статус социального предприятия, состоящих на учете в налоговом органе на территории Московской области или осуществляющие один или несколько следующих видов деятельности:">
        <w:r>
          <w:rPr>
            <w:sz w:val="20"/>
            <w:color w:val="0000ff"/>
          </w:rPr>
          <w:t xml:space="preserve">пунктом 9</w:t>
        </w:r>
      </w:hyperlink>
      <w:r>
        <w:rPr>
          <w:sz w:val="20"/>
        </w:rPr>
        <w:t xml:space="preserve"> Порядка, и требованиям, установленным в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проверка достоверности сведений, содержащихся в заявке участника конкурса, в соответствии с </w:t>
      </w:r>
      <w:hyperlink w:history="0" w:anchor="P14226" w:tooltip="19. Доступ Мининвесту Московской области и АНО &quot;АИР&quot; к поданным участниками конкурса заявкам в Информационной системе для их рассмотрения и оценки открывается в день регистрации заявок.">
        <w:r>
          <w:rPr>
            <w:sz w:val="20"/>
            <w:color w:val="0000ff"/>
          </w:rPr>
          <w:t xml:space="preserve">пунктом 19</w:t>
        </w:r>
      </w:hyperlink>
      <w:r>
        <w:rPr>
          <w:sz w:val="20"/>
        </w:rPr>
        <w:t xml:space="preserve"> Порядка;</w:t>
      </w:r>
    </w:p>
    <w:p>
      <w:pPr>
        <w:pStyle w:val="0"/>
        <w:spacing w:before="200" w:line-rule="auto"/>
        <w:ind w:firstLine="540"/>
        <w:jc w:val="both"/>
      </w:pPr>
      <w:r>
        <w:rPr>
          <w:sz w:val="20"/>
        </w:rPr>
        <w:t xml:space="preserve">составление заключений в соответствии с </w:t>
      </w:r>
      <w:hyperlink w:history="0" w:anchor="P14253" w:tooltip="22. По результатам рассмотрения заявки АНО &quot;АИР&quot; составляет одно из следующих заключений по форме, установленной Мининвестом (далее - Заключение &quot;АНО &quot;АИР&quot;):">
        <w:r>
          <w:rPr>
            <w:sz w:val="20"/>
            <w:color w:val="0000ff"/>
          </w:rPr>
          <w:t xml:space="preserve">пунктами 22</w:t>
        </w:r>
      </w:hyperlink>
      <w:r>
        <w:rPr>
          <w:sz w:val="20"/>
        </w:rPr>
        <w:t xml:space="preserve">, </w:t>
      </w:r>
      <w:hyperlink w:history="0" w:anchor="P14283" w:tooltip="30. В течение 20 рабочих дней со дня окончания срока, указанного в уведомлениях, указанных в пункте 29 Порядка, АНО &quot;АИР&quot; рассматривает документы по затратам, на соответствие затрат, произведенных участником конкурса, цели предоставления субсидии и направлениям затрат, установленным пунктом 38 Порядка, а также проверяет полноту, комплектность и соответствие установленным требованиям документов на Оборудование согласно таблице 3 к Порядку.">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направление уведомлений участникам конкурса в соответствии с </w:t>
      </w:r>
      <w:hyperlink w:history="0" w:anchor="P14277" w:tooltip="28. АНО &quot;АИР&quot; осуществляет оценку заявок в срок не более 20 рабочих дней со дня принятия Мининвестом Московской области решения в соответствии с подпунктом 2 пункта 27 Порядка на основании критериев оценки заявок в соответствии с их весовым значением в общей оценке, предусмотренных таблицей 1 к Порядку.">
        <w:r>
          <w:rPr>
            <w:sz w:val="20"/>
            <w:color w:val="0000ff"/>
          </w:rPr>
          <w:t xml:space="preserve">пунктом 28</w:t>
        </w:r>
      </w:hyperlink>
      <w:r>
        <w:rPr>
          <w:sz w:val="20"/>
        </w:rPr>
        <w:t xml:space="preserve"> Порядка;</w:t>
      </w:r>
    </w:p>
    <w:p>
      <w:pPr>
        <w:pStyle w:val="0"/>
        <w:spacing w:before="200" w:line-rule="auto"/>
        <w:ind w:firstLine="540"/>
        <w:jc w:val="both"/>
      </w:pPr>
      <w:r>
        <w:rPr>
          <w:sz w:val="20"/>
        </w:rPr>
        <w:t xml:space="preserve">составление проекта рейтингового списка;</w:t>
      </w:r>
    </w:p>
    <w:p>
      <w:pPr>
        <w:pStyle w:val="0"/>
        <w:spacing w:before="200" w:line-rule="auto"/>
        <w:ind w:firstLine="540"/>
        <w:jc w:val="both"/>
      </w:pPr>
      <w:r>
        <w:rPr>
          <w:sz w:val="20"/>
        </w:rPr>
        <w:t xml:space="preserve">оценка заявок;</w:t>
      </w:r>
    </w:p>
    <w:p>
      <w:pPr>
        <w:pStyle w:val="0"/>
        <w:spacing w:before="200" w:line-rule="auto"/>
        <w:ind w:firstLine="540"/>
        <w:jc w:val="both"/>
      </w:pPr>
      <w:r>
        <w:rPr>
          <w:sz w:val="20"/>
        </w:rPr>
        <w:t xml:space="preserve">рассмотрение документов согласно </w:t>
      </w:r>
      <w:hyperlink w:history="0" w:anchor="P14547" w:tooltip="ПЕРЕЧЕНЬ ДОКУМЕНТОВ, ПРЕДСТАВЛЯЕМЫХ УЧАСТНИКАМИ КОНКУРСА">
        <w:r>
          <w:rPr>
            <w:sz w:val="20"/>
            <w:color w:val="0000ff"/>
          </w:rPr>
          <w:t xml:space="preserve">таблице 3</w:t>
        </w:r>
      </w:hyperlink>
      <w:r>
        <w:rPr>
          <w:sz w:val="20"/>
        </w:rPr>
        <w:t xml:space="preserve"> к Порядку (далее - документы по затратам) и документов согласно </w:t>
      </w:r>
      <w:hyperlink w:history="0" w:anchor="P14521"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осуществление запроса у участника конкурса разъяснения в отношении представленных им документов и информации;</w:t>
      </w:r>
    </w:p>
    <w:p>
      <w:pPr>
        <w:pStyle w:val="0"/>
        <w:spacing w:before="200" w:line-rule="auto"/>
        <w:ind w:firstLine="540"/>
        <w:jc w:val="both"/>
      </w:pPr>
      <w:r>
        <w:rPr>
          <w:sz w:val="20"/>
        </w:rPr>
        <w:t xml:space="preserve">возврат заявок на доработку;</w:t>
      </w:r>
    </w:p>
    <w:p>
      <w:pPr>
        <w:pStyle w:val="0"/>
        <w:spacing w:before="200" w:line-rule="auto"/>
        <w:ind w:firstLine="540"/>
        <w:jc w:val="both"/>
      </w:pPr>
      <w:r>
        <w:rPr>
          <w:sz w:val="20"/>
        </w:rPr>
        <w:t xml:space="preserve">разъяснение положений объявления о проведении конкурса при поступлении соответствующих запросов от участников конкурса в соответствии с </w:t>
      </w:r>
      <w:hyperlink w:history="0" w:anchor="P14311"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запрос сведений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запросы в государственные и муниципальные органы, касающиеся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и оценки заявок участников конкурса, проверку сведений в заявках на достоверность и рассмотрение документов.</w:t>
      </w:r>
    </w:p>
    <w:p>
      <w:pPr>
        <w:pStyle w:val="0"/>
        <w:spacing w:before="200" w:line-rule="auto"/>
        <w:ind w:firstLine="540"/>
        <w:jc w:val="both"/>
      </w:pPr>
      <w:r>
        <w:rPr>
          <w:sz w:val="20"/>
        </w:rPr>
        <w:t xml:space="preserve">17. Взаимодействие Мининвеста Московской области и АНО "АИР" с участниками конкурса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18. При проведении конкурса предусмотрен возврат заявок на доработку по решению АНО "АИР". Решение о возврате принимается в равной мере ко всем участникам конкурса, если при рассмотрении заявок выявлены основания для их возврата на доработку. Решение о возврате заявок на доработку доводится до участников конкурса в Информационной системе.</w:t>
      </w:r>
    </w:p>
    <w:p>
      <w:pPr>
        <w:pStyle w:val="0"/>
        <w:spacing w:before="200" w:line-rule="auto"/>
        <w:ind w:firstLine="540"/>
        <w:jc w:val="both"/>
      </w:pPr>
      <w:r>
        <w:rPr>
          <w:sz w:val="20"/>
        </w:rPr>
        <w:t xml:space="preserve">В случае принятия решения о возврате заявки на доработку АНО "АИР" направляет участнику конкурса уведомление о доработке заявки (далее - Уведомление о доработке), в электронном виде через личный кабинет посредством использования Информационной системы. Уведомление о доработке может быть направлено участнику конкурса в пределах установленного срока рассмотрения заявок.</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некорректное заполнение обязательных полей заявления в Информационной системе (отсутствие заполнения, недостоверное, неполное или неправильное, не соответствующее требованиям, установленным Порядком);</w:t>
      </w:r>
    </w:p>
    <w:p>
      <w:pPr>
        <w:pStyle w:val="0"/>
        <w:spacing w:before="200" w:line-rule="auto"/>
        <w:ind w:firstLine="540"/>
        <w:jc w:val="both"/>
      </w:pPr>
      <w:r>
        <w:rPr>
          <w:sz w:val="20"/>
        </w:rPr>
        <w:t xml:space="preserve">2) представление электронных образов документов посредством Информационной системы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3) наличие нечитаемых исправлений в представленных документах;</w:t>
      </w:r>
    </w:p>
    <w:p>
      <w:pPr>
        <w:pStyle w:val="0"/>
        <w:spacing w:before="200" w:line-rule="auto"/>
        <w:ind w:firstLine="540"/>
        <w:jc w:val="both"/>
      </w:pPr>
      <w:r>
        <w:rPr>
          <w:sz w:val="20"/>
        </w:rPr>
        <w:t xml:space="preserve">4) технические ошибки.</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конкурса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конкурса представляет документы и заявку, в срок не более 4 рабочих дней со дня направления Уведомления о доработке, но не позднее даты окончания срока рассмотрения заявок.</w:t>
      </w:r>
    </w:p>
    <w:bookmarkStart w:id="14226" w:name="P14226"/>
    <w:bookmarkEnd w:id="14226"/>
    <w:p>
      <w:pPr>
        <w:pStyle w:val="0"/>
        <w:spacing w:before="200" w:line-rule="auto"/>
        <w:ind w:firstLine="540"/>
        <w:jc w:val="both"/>
      </w:pPr>
      <w:r>
        <w:rPr>
          <w:sz w:val="20"/>
        </w:rPr>
        <w:t xml:space="preserve">19. Доступ Мининвесту Московской области и АНО "АИР" к поданным участниками конкурса заявкам в Информационной системе для их рассмотрения и оценки открывается в день регистрации заявок.</w:t>
      </w:r>
    </w:p>
    <w:p>
      <w:pPr>
        <w:pStyle w:val="0"/>
        <w:spacing w:before="200" w:line-rule="auto"/>
        <w:ind w:firstLine="540"/>
        <w:jc w:val="both"/>
      </w:pPr>
      <w:r>
        <w:rPr>
          <w:sz w:val="20"/>
        </w:rPr>
        <w:t xml:space="preserve">Протокол вскрытия заявок формируется на бумажном носителе, подписывается руководителем Мининвеста Московской области (уполномоченным им лицом) не позднее 1 рабочего дня, следующего за днем вскрытия заявок и размещается в Информационной системе не позднее 1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дату и время поступления заявки;</w:t>
      </w:r>
    </w:p>
    <w:p>
      <w:pPr>
        <w:pStyle w:val="0"/>
        <w:spacing w:before="200" w:line-rule="auto"/>
        <w:ind w:firstLine="540"/>
        <w:jc w:val="both"/>
      </w:pPr>
      <w:r>
        <w:rPr>
          <w:sz w:val="20"/>
        </w:rPr>
        <w:t xml:space="preserve">полное наименование участника конкурса (для юридических лиц) или фамилия, имя, отчество (последнее - при наличии) (для индивидуальных предпринимателей);</w:t>
      </w:r>
    </w:p>
    <w:p>
      <w:pPr>
        <w:pStyle w:val="0"/>
        <w:spacing w:before="200" w:line-rule="auto"/>
        <w:ind w:firstLine="540"/>
        <w:jc w:val="both"/>
      </w:pPr>
      <w:r>
        <w:rPr>
          <w:sz w:val="20"/>
        </w:rPr>
        <w:t xml:space="preserve">адрес юридического лица (для юридических лиц) или адрес регистрации (для индивидуальных предпринимателей);</w:t>
      </w:r>
    </w:p>
    <w:p>
      <w:pPr>
        <w:pStyle w:val="0"/>
        <w:spacing w:before="200" w:line-rule="auto"/>
        <w:ind w:firstLine="540"/>
        <w:jc w:val="both"/>
      </w:pPr>
      <w:r>
        <w:rPr>
          <w:sz w:val="20"/>
        </w:rPr>
        <w:t xml:space="preserve">запрашиваемый участником конкурса размер субсидии.</w:t>
      </w:r>
    </w:p>
    <w:p>
      <w:pPr>
        <w:pStyle w:val="0"/>
        <w:spacing w:before="200" w:line-rule="auto"/>
        <w:ind w:firstLine="540"/>
        <w:jc w:val="both"/>
      </w:pPr>
      <w:r>
        <w:rPr>
          <w:sz w:val="20"/>
        </w:rPr>
        <w:t xml:space="preserve">АНО "АИР"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1) запрашивает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сведения из ЕГРЮЛ (ЕГРИП);</w:t>
      </w:r>
    </w:p>
    <w:p>
      <w:pPr>
        <w:pStyle w:val="0"/>
        <w:spacing w:before="200" w:line-rule="auto"/>
        <w:ind w:firstLine="540"/>
        <w:jc w:val="both"/>
      </w:pPr>
      <w:r>
        <w:rPr>
          <w:sz w:val="20"/>
        </w:rPr>
        <w:t xml:space="preserve">сведения из Единого реестра субъектов МСП;</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из налоговых деклараций, представленных индивидуальными предпринимателями, применяющими специальные налоговые режимы, за финансовый год, предшествующий году подачи заявки;</w:t>
      </w:r>
    </w:p>
    <w:p>
      <w:pPr>
        <w:pStyle w:val="0"/>
        <w:spacing w:before="200" w:line-rule="auto"/>
        <w:ind w:firstLine="540"/>
        <w:jc w:val="both"/>
      </w:pPr>
      <w:r>
        <w:rPr>
          <w:sz w:val="20"/>
        </w:rPr>
        <w:t xml:space="preserve">сведения о сумме фактически уплаченных налогов в бюджеты всех уровней за финансовый год, предшествующий году подачи заявки;</w:t>
      </w:r>
    </w:p>
    <w:p>
      <w:pPr>
        <w:pStyle w:val="0"/>
        <w:spacing w:before="200" w:line-rule="auto"/>
        <w:ind w:firstLine="540"/>
        <w:jc w:val="both"/>
      </w:pPr>
      <w:r>
        <w:rPr>
          <w:sz w:val="20"/>
        </w:rPr>
        <w:t xml:space="preserve">сведения о распределении единого налогового платежа за финансовый год, предшествующий году подачи заявки;</w:t>
      </w:r>
    </w:p>
    <w:p>
      <w:pPr>
        <w:pStyle w:val="0"/>
        <w:spacing w:before="200" w:line-rule="auto"/>
        <w:ind w:firstLine="540"/>
        <w:jc w:val="both"/>
      </w:pPr>
      <w:r>
        <w:rPr>
          <w:sz w:val="20"/>
        </w:rPr>
        <w:t xml:space="preserve">2) проводит проверку достоверности сведений, содержащихся в заявке участника конкурса,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конкурса,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20. Мининвест Московской области и АНО "АИР" не вправе требовать от участника конкурса представления документов и информации в целях подтверждения соответствия участника конкурса требованиям, определенным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pPr>
        <w:pStyle w:val="0"/>
        <w:spacing w:before="200" w:line-rule="auto"/>
        <w:ind w:firstLine="540"/>
        <w:jc w:val="both"/>
      </w:pPr>
      <w:r>
        <w:rPr>
          <w:sz w:val="20"/>
        </w:rPr>
        <w:t xml:space="preserve">21. АНО "АИР" со дня получения доступа к поданным заявкам в Информационной системе и не позднее 10 рабочих дней со дня окончания срока приема заявок рассматривает заявки на предмет соответствия участников конкурса категории получателей субсидий и требованиям, установленным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и соблюдения требований к форме и содержанию заявки, установленных Порядком.</w:t>
      </w:r>
    </w:p>
    <w:p>
      <w:pPr>
        <w:pStyle w:val="0"/>
        <w:spacing w:before="200" w:line-rule="auto"/>
        <w:ind w:firstLine="540"/>
        <w:jc w:val="both"/>
      </w:pPr>
      <w:r>
        <w:rPr>
          <w:sz w:val="20"/>
        </w:rPr>
        <w:t xml:space="preserve">АНО "АИР" направляет участнику конкурса в Информационной системе уведомление о планируемых значениях результата предоставления субсидии, которые будут включены в Соглашение в случае признания участника конкурса победителем конкурса и принятия решения о предоставлении ему субсидии, по форме, утвержденной Мининвестом Московской области, которое также содержит:</w:t>
      </w:r>
    </w:p>
    <w:p>
      <w:pPr>
        <w:pStyle w:val="0"/>
        <w:spacing w:before="200" w:line-rule="auto"/>
        <w:ind w:firstLine="540"/>
        <w:jc w:val="both"/>
      </w:pPr>
      <w:r>
        <w:rPr>
          <w:sz w:val="20"/>
        </w:rPr>
        <w:t xml:space="preserve">значения налоговых отчислений за финансовый год, предшествующий году подачи заявки;</w:t>
      </w:r>
    </w:p>
    <w:p>
      <w:pPr>
        <w:pStyle w:val="0"/>
        <w:spacing w:before="200" w:line-rule="auto"/>
        <w:ind w:firstLine="540"/>
        <w:jc w:val="both"/>
      </w:pPr>
      <w:r>
        <w:rPr>
          <w:sz w:val="20"/>
        </w:rPr>
        <w:t xml:space="preserve">планируемые значения налоговых отчислений по итогам года получения субсидии.</w:t>
      </w:r>
    </w:p>
    <w:p>
      <w:pPr>
        <w:pStyle w:val="0"/>
        <w:spacing w:before="200" w:line-rule="auto"/>
        <w:ind w:firstLine="540"/>
        <w:jc w:val="both"/>
      </w:pPr>
      <w:r>
        <w:rPr>
          <w:sz w:val="20"/>
        </w:rPr>
        <w:t xml:space="preserve">АНО "АИР" вправе запросить у участника конкурса разъяснения в отношении представленных им документов и информации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В запросе АНО "АИР" устанавливает срок представления участником конкурса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не позднее даты окончания срока рассмотрения заявок.</w:t>
      </w:r>
    </w:p>
    <w:p>
      <w:pPr>
        <w:pStyle w:val="0"/>
        <w:spacing w:before="200" w:line-rule="auto"/>
        <w:ind w:firstLine="540"/>
        <w:jc w:val="both"/>
      </w:pPr>
      <w:r>
        <w:rPr>
          <w:sz w:val="20"/>
        </w:rPr>
        <w:t xml:space="preserve">Участник конкурса формирует и представляет в Информационную систему разъяснения, запрашиваемые АНО "АИР" в сроки, установленные соответствующим запросом.</w:t>
      </w:r>
    </w:p>
    <w:bookmarkStart w:id="14253" w:name="P14253"/>
    <w:bookmarkEnd w:id="14253"/>
    <w:p>
      <w:pPr>
        <w:pStyle w:val="0"/>
        <w:spacing w:before="200" w:line-rule="auto"/>
        <w:ind w:firstLine="540"/>
        <w:jc w:val="both"/>
      </w:pPr>
      <w:r>
        <w:rPr>
          <w:sz w:val="20"/>
        </w:rPr>
        <w:t xml:space="preserve">22. По результатам рассмотрения заявки АНО "АИР" составляет одно из следующих заключений по форме, установленной Мининвестом (далее - Заключение "АНО "АИР"):</w:t>
      </w:r>
    </w:p>
    <w:p>
      <w:pPr>
        <w:pStyle w:val="0"/>
        <w:spacing w:before="200" w:line-rule="auto"/>
        <w:ind w:firstLine="540"/>
        <w:jc w:val="both"/>
      </w:pPr>
      <w:r>
        <w:rPr>
          <w:sz w:val="20"/>
        </w:rPr>
        <w:t xml:space="preserve">о признании участника конкурса допущенным к конкурсу;</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В срок не позднее 10 рабочих дней со дня окончания срока приема заявок АНО "АИР" посредством ИС ЛОД направляет в Мининвест Московской области Заключения АНО "АИР".</w:t>
      </w:r>
    </w:p>
    <w:p>
      <w:pPr>
        <w:pStyle w:val="0"/>
        <w:spacing w:before="200" w:line-rule="auto"/>
        <w:ind w:firstLine="540"/>
        <w:jc w:val="both"/>
      </w:pPr>
      <w:r>
        <w:rPr>
          <w:sz w:val="20"/>
        </w:rPr>
        <w:t xml:space="preserve">23. Основаниями для составления заключения об отклонении заявки по результатам рассмотрения заявок АНО "АИР"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p>
      <w:pPr>
        <w:pStyle w:val="0"/>
        <w:spacing w:before="200" w:line-rule="auto"/>
        <w:ind w:firstLine="540"/>
        <w:jc w:val="both"/>
      </w:pPr>
      <w:r>
        <w:rPr>
          <w:sz w:val="20"/>
        </w:rPr>
        <w:t xml:space="preserve">24. Участник конкурса признается допущенным к конкурсу в случае, если в отношении него составлено Заключение АНО "АИР" о признании участника конкурса допущенным к конкурсу.</w:t>
      </w:r>
    </w:p>
    <w:p>
      <w:pPr>
        <w:pStyle w:val="0"/>
        <w:spacing w:before="200" w:line-rule="auto"/>
        <w:ind w:firstLine="540"/>
        <w:jc w:val="both"/>
      </w:pPr>
      <w:r>
        <w:rPr>
          <w:sz w:val="20"/>
        </w:rPr>
        <w:t xml:space="preserve">25. Мининвест Московской области осуществляет проверку Заключений АНО "АИР" в срок, не превышающий 4 рабочих дней со дня их получения.</w:t>
      </w:r>
    </w:p>
    <w:p>
      <w:pPr>
        <w:pStyle w:val="0"/>
        <w:spacing w:before="200" w:line-rule="auto"/>
        <w:ind w:firstLine="540"/>
        <w:jc w:val="both"/>
      </w:pPr>
      <w:r>
        <w:rPr>
          <w:sz w:val="20"/>
        </w:rPr>
        <w:t xml:space="preserve">26. Основаниями для отклонения Мининвестом Московской области заявки участника конкурса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bookmarkStart w:id="14273" w:name="P14273"/>
    <w:bookmarkEnd w:id="14273"/>
    <w:p>
      <w:pPr>
        <w:pStyle w:val="0"/>
        <w:spacing w:before="200" w:line-rule="auto"/>
        <w:ind w:firstLine="540"/>
        <w:jc w:val="both"/>
      </w:pPr>
      <w:r>
        <w:rPr>
          <w:sz w:val="20"/>
        </w:rPr>
        <w:t xml:space="preserve">27. Мининвест Московской области с учетом Заключений АНО "АИР" принимает решения:</w:t>
      </w:r>
    </w:p>
    <w:p>
      <w:pPr>
        <w:pStyle w:val="0"/>
        <w:spacing w:before="200" w:line-rule="auto"/>
        <w:ind w:firstLine="540"/>
        <w:jc w:val="both"/>
      </w:pPr>
      <w:r>
        <w:rPr>
          <w:sz w:val="20"/>
        </w:rPr>
        <w:t xml:space="preserve">1) об отклонении заявок участников конкурса;</w:t>
      </w:r>
    </w:p>
    <w:bookmarkStart w:id="14275" w:name="P14275"/>
    <w:bookmarkEnd w:id="14275"/>
    <w:p>
      <w:pPr>
        <w:pStyle w:val="0"/>
        <w:spacing w:before="200" w:line-rule="auto"/>
        <w:ind w:firstLine="540"/>
        <w:jc w:val="both"/>
      </w:pPr>
      <w:r>
        <w:rPr>
          <w:sz w:val="20"/>
        </w:rPr>
        <w:t xml:space="preserve">2) о признании участников конкурса соответствующих требованиям.</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 и размещаются в Информационной системе, не позднее 5 рабочих дней с даты принятия.</w:t>
      </w:r>
    </w:p>
    <w:bookmarkStart w:id="14277" w:name="P14277"/>
    <w:bookmarkEnd w:id="14277"/>
    <w:p>
      <w:pPr>
        <w:pStyle w:val="0"/>
        <w:spacing w:before="200" w:line-rule="auto"/>
        <w:ind w:firstLine="540"/>
        <w:jc w:val="both"/>
      </w:pPr>
      <w:r>
        <w:rPr>
          <w:sz w:val="20"/>
        </w:rPr>
        <w:t xml:space="preserve">28. АНО "АИР" осуществляет оценку заявок в срок не более 20 рабочих дней со дня принятия Мининвестом Московской области решения в соответствии с </w:t>
      </w:r>
      <w:hyperlink w:history="0" w:anchor="P14275" w:tooltip="2) о признании участников конкурса соответствующих требованиям.">
        <w:r>
          <w:rPr>
            <w:sz w:val="20"/>
            <w:color w:val="0000ff"/>
          </w:rPr>
          <w:t xml:space="preserve">подпунктом 2 пункта 27</w:t>
        </w:r>
      </w:hyperlink>
      <w:r>
        <w:rPr>
          <w:sz w:val="20"/>
        </w:rPr>
        <w:t xml:space="preserve"> Порядка на основании </w:t>
      </w:r>
      <w:hyperlink w:history="0" w:anchor="P14438" w:tooltip="КРИТЕРИИ ОЦЕНКИ ЗАЯВОК, ПОДАВАЕМЫХ УЧАСТНИКАМИ КОНКУРСА">
        <w:r>
          <w:rPr>
            <w:sz w:val="20"/>
            <w:color w:val="0000ff"/>
          </w:rPr>
          <w:t xml:space="preserve">критериев</w:t>
        </w:r>
      </w:hyperlink>
      <w:r>
        <w:rPr>
          <w:sz w:val="20"/>
        </w:rPr>
        <w:t xml:space="preserve"> оценки заявок в соответствии с их весовым значением в общей оценке, предусмотренных таблицей 1 к Порядку.</w:t>
      </w:r>
    </w:p>
    <w:p>
      <w:pPr>
        <w:pStyle w:val="0"/>
        <w:spacing w:before="200" w:line-rule="auto"/>
        <w:ind w:firstLine="540"/>
        <w:jc w:val="both"/>
      </w:pPr>
      <w:r>
        <w:rPr>
          <w:sz w:val="20"/>
        </w:rPr>
        <w:t xml:space="preserve">Ранжирование заявок участников конкурса, допущенных к конкурсу, осуществляется по мере уменьшения итоговой суммы баллов, полученных по итогам оценки заявок, и очередности их поступления в случае равенства количества полученных баллов.</w:t>
      </w:r>
    </w:p>
    <w:p>
      <w:pPr>
        <w:pStyle w:val="0"/>
        <w:spacing w:before="200" w:line-rule="auto"/>
        <w:ind w:firstLine="540"/>
        <w:jc w:val="both"/>
      </w:pPr>
      <w:r>
        <w:rPr>
          <w:sz w:val="20"/>
        </w:rPr>
        <w:t xml:space="preserve">По итогам оценки заявок АНО "АИР составляет проект рейтингового списка участников конкурса.</w:t>
      </w:r>
    </w:p>
    <w:p>
      <w:pPr>
        <w:pStyle w:val="0"/>
        <w:spacing w:before="200" w:line-rule="auto"/>
        <w:ind w:firstLine="540"/>
        <w:jc w:val="both"/>
      </w:pPr>
      <w:r>
        <w:rPr>
          <w:sz w:val="20"/>
        </w:rPr>
        <w:t xml:space="preserve">Порядковый номер в рейтинговом списке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bookmarkStart w:id="14281" w:name="P14281"/>
    <w:bookmarkEnd w:id="14281"/>
    <w:p>
      <w:pPr>
        <w:pStyle w:val="0"/>
        <w:spacing w:before="200" w:line-rule="auto"/>
        <w:ind w:firstLine="540"/>
        <w:jc w:val="both"/>
      </w:pPr>
      <w:r>
        <w:rPr>
          <w:sz w:val="20"/>
        </w:rPr>
        <w:t xml:space="preserve">29. АНО "АИР" направляет уведомления о принятых в соответствии с </w:t>
      </w:r>
      <w:hyperlink w:history="0" w:anchor="P14273" w:tooltip="27. Мининвест Московской области с учетом Заключений АНО &quot;АИР&quot; принимает решения:">
        <w:r>
          <w:rPr>
            <w:sz w:val="20"/>
            <w:color w:val="0000ff"/>
          </w:rPr>
          <w:t xml:space="preserve">пунктом 27</w:t>
        </w:r>
      </w:hyperlink>
      <w:r>
        <w:rPr>
          <w:sz w:val="20"/>
        </w:rPr>
        <w:t xml:space="preserve">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w:t>
      </w:r>
    </w:p>
    <w:p>
      <w:pPr>
        <w:pStyle w:val="0"/>
        <w:spacing w:before="200" w:line-rule="auto"/>
        <w:ind w:firstLine="540"/>
        <w:jc w:val="both"/>
      </w:pPr>
      <w:r>
        <w:rPr>
          <w:sz w:val="20"/>
        </w:rPr>
        <w:t xml:space="preserve">В направленных уведомлениях участникам конкурса, признанных соответствующих требованиям, указывается срок, в течение которого им необходимо представить документы по затратам в соответствии с </w:t>
      </w:r>
      <w:hyperlink w:history="0" w:anchor="P14547" w:tooltip="ПЕРЕЧЕНЬ ДОКУМЕНТОВ, ПРЕДСТАВЛЯЕМЫХ УЧАСТНИКАМИ КОНКУРСА">
        <w:r>
          <w:rPr>
            <w:sz w:val="20"/>
            <w:color w:val="0000ff"/>
          </w:rPr>
          <w:t xml:space="preserve">таблицей 3</w:t>
        </w:r>
      </w:hyperlink>
      <w:r>
        <w:rPr>
          <w:sz w:val="20"/>
        </w:rPr>
        <w:t xml:space="preserve"> к Порядку.</w:t>
      </w:r>
    </w:p>
    <w:bookmarkStart w:id="14283" w:name="P14283"/>
    <w:bookmarkEnd w:id="14283"/>
    <w:p>
      <w:pPr>
        <w:pStyle w:val="0"/>
        <w:spacing w:before="200" w:line-rule="auto"/>
        <w:ind w:firstLine="540"/>
        <w:jc w:val="both"/>
      </w:pPr>
      <w:r>
        <w:rPr>
          <w:sz w:val="20"/>
        </w:rPr>
        <w:t xml:space="preserve">30. В течение 20 рабочих дней со дня окончания срока, указанного в уведомлениях, указанных в </w:t>
      </w:r>
      <w:hyperlink w:history="0" w:anchor="P14281" w:tooltip="29. АНО &quot;АИР&quot; направляет уведомления о принятых в соответствии с пунктом 27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
        <w:r>
          <w:rPr>
            <w:sz w:val="20"/>
            <w:color w:val="0000ff"/>
          </w:rPr>
          <w:t xml:space="preserve">пункте 29</w:t>
        </w:r>
      </w:hyperlink>
      <w:r>
        <w:rPr>
          <w:sz w:val="20"/>
        </w:rPr>
        <w:t xml:space="preserve"> Порядка, АНО "АИР" рассматривает документы по затратам, на соответствие затрат, произведенных участником конкурса, цели предоставления субсидии и направлениям затрат, установленным </w:t>
      </w:r>
      <w:hyperlink w:history="0" w:anchor="P14317" w:tooltip="38. Направления затрат, на возмещение которых предоставляется субсидия, являются затраты, под которыми понимаются:">
        <w:r>
          <w:rPr>
            <w:sz w:val="20"/>
            <w:color w:val="0000ff"/>
          </w:rPr>
          <w:t xml:space="preserve">пунктом 38</w:t>
        </w:r>
      </w:hyperlink>
      <w:r>
        <w:rPr>
          <w:sz w:val="20"/>
        </w:rPr>
        <w:t xml:space="preserve"> Порядка, а также проверяет полноту, комплектность и соответствие установленным требованиям документов на Оборудование согласно </w:t>
      </w:r>
      <w:hyperlink w:history="0" w:anchor="P14547" w:tooltip="ПЕРЕЧЕНЬ ДОКУМЕНТОВ, ПРЕДСТАВЛЯЕМЫХ УЧАСТНИКАМИ КОНКУРСА">
        <w:r>
          <w:rPr>
            <w:sz w:val="20"/>
            <w:color w:val="0000ff"/>
          </w:rPr>
          <w:t xml:space="preserve">таблице 3</w:t>
        </w:r>
      </w:hyperlink>
      <w:r>
        <w:rPr>
          <w:sz w:val="20"/>
        </w:rPr>
        <w:t xml:space="preserve"> к Порядку.</w:t>
      </w:r>
    </w:p>
    <w:p>
      <w:pPr>
        <w:pStyle w:val="0"/>
        <w:spacing w:before="200" w:line-rule="auto"/>
        <w:ind w:firstLine="540"/>
        <w:jc w:val="both"/>
      </w:pPr>
      <w:r>
        <w:rPr>
          <w:sz w:val="20"/>
        </w:rPr>
        <w:t xml:space="preserve">АНО "АИР" запрашивает у участника конкурса разъяснения, касающиеся сведений и данных, указанных в документах на Оборудование,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31. По результатам рассмотрения документов по затратам АНО "АИР" составляет заключение о подтверждении затрат, произведенных участником конкурса, признанным соответствующим требованиям, либо об отсутствии подтверждения произведенных затрат по форме, установленной Мининвестом Московской области (далее - Заключение по затратам).</w:t>
      </w:r>
    </w:p>
    <w:p>
      <w:pPr>
        <w:pStyle w:val="0"/>
        <w:spacing w:before="200" w:line-rule="auto"/>
        <w:ind w:firstLine="540"/>
        <w:jc w:val="both"/>
      </w:pPr>
      <w:r>
        <w:rPr>
          <w:sz w:val="20"/>
        </w:rPr>
        <w:t xml:space="preserve">Заключение по затратам и документы по затратам направляются посредством ИС ЛОД в Мининвест Московской области в срок не более 20 рабочих дней со дня принятия Мининвестом Московской области решения в соответствии с </w:t>
      </w:r>
      <w:hyperlink w:history="0" w:anchor="P14275" w:tooltip="2) о признании участников конкурса соответствующих требованиям.">
        <w:r>
          <w:rPr>
            <w:sz w:val="20"/>
            <w:color w:val="0000ff"/>
          </w:rPr>
          <w:t xml:space="preserve">подпунктом 2 пункта 27</w:t>
        </w:r>
      </w:hyperlink>
      <w:r>
        <w:rPr>
          <w:sz w:val="20"/>
        </w:rPr>
        <w:t xml:space="preserve"> Порядка.</w:t>
      </w:r>
    </w:p>
    <w:p>
      <w:pPr>
        <w:pStyle w:val="0"/>
        <w:spacing w:before="200" w:line-rule="auto"/>
        <w:ind w:firstLine="540"/>
        <w:jc w:val="both"/>
      </w:pPr>
      <w:r>
        <w:rPr>
          <w:sz w:val="20"/>
        </w:rPr>
        <w:t xml:space="preserve">32. Мининвест Московской области осуществляет проверку представленных АНО "АИР" Заключений по затратам, проекта рейтингового списка и документов по затратам в срок не более 10 рабочих дней со дня их получения.</w:t>
      </w:r>
    </w:p>
    <w:p>
      <w:pPr>
        <w:pStyle w:val="0"/>
        <w:spacing w:before="200" w:line-rule="auto"/>
        <w:ind w:firstLine="540"/>
        <w:jc w:val="both"/>
      </w:pPr>
      <w:r>
        <w:rPr>
          <w:sz w:val="20"/>
        </w:rPr>
        <w:t xml:space="preserve">Мининвест Московской области согласовывает представленные АНО "АИР" Заключения по затратам и проект рейтингового списка.</w:t>
      </w:r>
    </w:p>
    <w:p>
      <w:pPr>
        <w:pStyle w:val="0"/>
        <w:spacing w:before="200" w:line-rule="auto"/>
        <w:ind w:firstLine="540"/>
        <w:jc w:val="both"/>
      </w:pPr>
      <w:r>
        <w:rPr>
          <w:sz w:val="20"/>
        </w:rPr>
        <w:t xml:space="preserve">33. По результатам проверки документов по затратам, Заключений по затратам и проекта рейтингового списка Мининвест Московской области формирует протокол подведения итогов конкурса, который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не позднее 14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подведения итогов конкурса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дату, время и место оценки заявок;</w:t>
      </w:r>
    </w:p>
    <w:p>
      <w:pPr>
        <w:pStyle w:val="0"/>
        <w:spacing w:before="200" w:line-rule="auto"/>
        <w:ind w:firstLine="540"/>
        <w:jc w:val="both"/>
      </w:pPr>
      <w:r>
        <w:rPr>
          <w:sz w:val="20"/>
        </w:rPr>
        <w:t xml:space="preserve">информацию об участниках конкурса, заявки которых были рассмотрены;</w:t>
      </w:r>
    </w:p>
    <w:p>
      <w:pPr>
        <w:pStyle w:val="0"/>
        <w:spacing w:before="200" w:line-rule="auto"/>
        <w:ind w:firstLine="540"/>
        <w:jc w:val="both"/>
      </w:pPr>
      <w:r>
        <w:rPr>
          <w:sz w:val="20"/>
        </w:rPr>
        <w:t xml:space="preserve">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0"/>
        <w:spacing w:before="200" w:line-rule="auto"/>
        <w:ind w:firstLine="540"/>
        <w:jc w:val="both"/>
      </w:pPr>
      <w:r>
        <w:rPr>
          <w:sz w:val="20"/>
        </w:rPr>
        <w:t xml:space="preserve">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и их весовых значений, сумма полученных баллов по итогам оценки заявок по каждому участнику конкурса;</w:t>
      </w:r>
    </w:p>
    <w:p>
      <w:pPr>
        <w:pStyle w:val="0"/>
        <w:spacing w:before="200" w:line-rule="auto"/>
        <w:ind w:firstLine="540"/>
        <w:jc w:val="both"/>
      </w:pPr>
      <w:r>
        <w:rPr>
          <w:sz w:val="20"/>
        </w:rPr>
        <w:t xml:space="preserve">наименования участников конкурса, признанных победителями конкурса, с которыми заключается Соглашение (далее - получатели субсидии), и размер предоставляемой им субсидии.</w:t>
      </w:r>
    </w:p>
    <w:p>
      <w:pPr>
        <w:pStyle w:val="0"/>
        <w:spacing w:before="200" w:line-rule="auto"/>
        <w:ind w:firstLine="540"/>
        <w:jc w:val="both"/>
      </w:pPr>
      <w:r>
        <w:rPr>
          <w:sz w:val="20"/>
        </w:rPr>
        <w:t xml:space="preserve">Распределение субсидии между участниками конкурса осуществляется на основании итогов конкурса участникам конкурса, заявки которых расположены первой и последующими в рейтинговом списке, суммарный размер субсидии по которым не превышает предельного объема средств, предусмотренных на цели, указанные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доведенных до Мининвеста Московской области на предоставление субсидии на текущий финансовый год.</w:t>
      </w:r>
    </w:p>
    <w:p>
      <w:pPr>
        <w:pStyle w:val="0"/>
        <w:spacing w:before="200" w:line-rule="auto"/>
        <w:ind w:firstLine="540"/>
        <w:jc w:val="both"/>
      </w:pPr>
      <w:r>
        <w:rPr>
          <w:sz w:val="20"/>
        </w:rPr>
        <w:t xml:space="preserve">34. АНО "АИР" в срок не позднее 1 рабочего дня со дня подписания протокола подведения итогов конкурса направляет в личный кабинет участникам конкурса в Информационной системе уведомление об отклонении заявки с указанием причин их отклонения.</w:t>
      </w:r>
    </w:p>
    <w:p>
      <w:pPr>
        <w:pStyle w:val="0"/>
        <w:spacing w:before="200" w:line-rule="auto"/>
        <w:ind w:firstLine="540"/>
        <w:jc w:val="both"/>
      </w:pPr>
      <w:r>
        <w:rPr>
          <w:sz w:val="20"/>
        </w:rPr>
        <w:t xml:space="preserve">35. Конкурс признается Мининвестом Московской области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Мининвеста Московской области о признании конкурса несостоявшимся, содержащее информацию о причинах признания конкурса несостоявшимся, размещается в Информационной системе и на официальном сайте Мининвеста Московской области (</w:t>
      </w:r>
      <w:hyperlink w:history="0" r:id="rId619">
        <w:r>
          <w:rPr>
            <w:sz w:val="20"/>
            <w:color w:val="0000ff"/>
          </w:rPr>
          <w:t xml:space="preserve">https://mii.mosreg.ru</w:t>
        </w:r>
      </w:hyperlink>
      <w:r>
        <w:rPr>
          <w:sz w:val="20"/>
        </w:rPr>
        <w:t xml:space="preserve">) с размещением указателя страницы сайта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конкурса несостоявшимся по основаниям, указанным в настоящем пункте, Мининвест Московской области в течение 20 календарных дней, следующих за днем признания конкурса несостоявшимся, принимает решение о проведении нового конкурса.</w:t>
      </w:r>
    </w:p>
    <w:p>
      <w:pPr>
        <w:pStyle w:val="0"/>
        <w:spacing w:before="200" w:line-rule="auto"/>
        <w:ind w:firstLine="540"/>
        <w:jc w:val="both"/>
      </w:pPr>
      <w:r>
        <w:rPr>
          <w:sz w:val="20"/>
        </w:rPr>
        <w:t xml:space="preserve">36. Мининвест Московской области принимает решение об отмене конкурса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3) внесение изменений в Порядок в части изменения положений о порядке проведения конкурса.</w:t>
      </w:r>
    </w:p>
    <w:p>
      <w:pPr>
        <w:pStyle w:val="0"/>
        <w:spacing w:before="200" w:line-rule="auto"/>
        <w:ind w:firstLine="540"/>
        <w:jc w:val="both"/>
      </w:pPr>
      <w:r>
        <w:rPr>
          <w:sz w:val="20"/>
        </w:rPr>
        <w:t xml:space="preserve">Объявление об отмене конкурса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и на официальном сайте Мининвеста Московской области (</w:t>
      </w:r>
      <w:hyperlink w:history="0" r:id="rId620">
        <w:r>
          <w:rPr>
            <w:sz w:val="20"/>
            <w:color w:val="0000ff"/>
          </w:rPr>
          <w:t xml:space="preserve">https://mii.mosreg.ru</w:t>
        </w:r>
      </w:hyperlink>
      <w:r>
        <w:rPr>
          <w:sz w:val="20"/>
        </w:rPr>
        <w:t xml:space="preserve">) с размещением указателя страницы сайта на едином портале, не позднее чем за 1 рабочий день до даты окончания срока подачи заявок участниками конкурса и содержит информацию о причинах отмены конкурса.</w:t>
      </w:r>
    </w:p>
    <w:p>
      <w:pPr>
        <w:pStyle w:val="0"/>
        <w:spacing w:before="200" w:line-rule="auto"/>
        <w:ind w:firstLine="540"/>
        <w:jc w:val="both"/>
      </w:pPr>
      <w:r>
        <w:rPr>
          <w:sz w:val="20"/>
        </w:rPr>
        <w:t xml:space="preserve">Участники конкурса, подавшие заявки, информируются об отмене проведения конкурса в Информационной системе.</w:t>
      </w:r>
    </w:p>
    <w:p>
      <w:pPr>
        <w:pStyle w:val="0"/>
        <w:spacing w:before="200" w:line-rule="auto"/>
        <w:ind w:firstLine="540"/>
        <w:jc w:val="both"/>
      </w:pPr>
      <w:r>
        <w:rPr>
          <w:sz w:val="20"/>
        </w:rPr>
        <w:t xml:space="preserve">Конкурс считается отмененным со дня размещения объявления о его отмене в Информационной системе.</w:t>
      </w:r>
    </w:p>
    <w:bookmarkStart w:id="14311" w:name="P14311"/>
    <w:bookmarkEnd w:id="14311"/>
    <w:p>
      <w:pPr>
        <w:pStyle w:val="0"/>
        <w:spacing w:before="200" w:line-rule="auto"/>
        <w:ind w:firstLine="540"/>
        <w:jc w:val="both"/>
      </w:pPr>
      <w:r>
        <w:rPr>
          <w:sz w:val="20"/>
        </w:rPr>
        <w:t xml:space="preserve">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"АИР" запрос о разъяснении положений объявления о проведении конкурса путем формирования соответствующего запроса.</w:t>
      </w:r>
    </w:p>
    <w:p>
      <w:pPr>
        <w:pStyle w:val="0"/>
        <w:spacing w:before="200" w:line-rule="auto"/>
        <w:ind w:firstLine="540"/>
        <w:jc w:val="both"/>
      </w:pPr>
      <w:r>
        <w:rPr>
          <w:sz w:val="20"/>
        </w:rPr>
        <w:t xml:space="preserve">АНО "АИР" в ответ на запрос, указанный в </w:t>
      </w:r>
      <w:hyperlink w:history="0" w:anchor="P14311"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конкурса в срок, установленный указанным объявлением, но не позднее 1 рабочего дня до даты окончания приема заявок, путем направления официального ответа. При этом разъяснение положений объявления о проведении конкурса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конкурса.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4317" w:name="P14317"/>
    <w:bookmarkEnd w:id="14317"/>
    <w:p>
      <w:pPr>
        <w:pStyle w:val="0"/>
        <w:ind w:firstLine="540"/>
        <w:jc w:val="both"/>
      </w:pPr>
      <w:r>
        <w:rPr>
          <w:sz w:val="20"/>
        </w:rPr>
        <w:t xml:space="preserve">38. Направления затрат, на возмещение которых предоставляется субсидия, являются затраты, под которыми понимаются:</w:t>
      </w:r>
    </w:p>
    <w:p>
      <w:pPr>
        <w:pStyle w:val="0"/>
        <w:spacing w:before="200" w:line-rule="auto"/>
        <w:ind w:firstLine="540"/>
        <w:jc w:val="both"/>
      </w:pPr>
      <w:r>
        <w:rPr>
          <w:sz w:val="20"/>
        </w:rPr>
        <w:t xml:space="preserve">арендные платежи в соответствии с заключенным договором аренды (субаренды);</w:t>
      </w:r>
    </w:p>
    <w:p>
      <w:pPr>
        <w:pStyle w:val="0"/>
        <w:spacing w:before="200" w:line-rule="auto"/>
        <w:ind w:firstLine="540"/>
        <w:jc w:val="both"/>
      </w:pPr>
      <w:r>
        <w:rPr>
          <w:sz w:val="20"/>
        </w:rPr>
        <w:t xml:space="preserve">арендные платежи в соответствии с заключенным договором аренды земельного участка;</w:t>
      </w:r>
    </w:p>
    <w:p>
      <w:pPr>
        <w:pStyle w:val="0"/>
        <w:spacing w:before="200" w:line-rule="auto"/>
        <w:ind w:firstLine="540"/>
        <w:jc w:val="both"/>
      </w:pPr>
      <w:r>
        <w:rPr>
          <w:sz w:val="20"/>
        </w:rPr>
        <w:t xml:space="preserve">приобретение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или видов деятельности, предусмотренных </w:t>
      </w:r>
      <w:hyperlink w:history="0" w:anchor="P14122" w:tooltip="образование дополнительное детей и взрослых;">
        <w:r>
          <w:rPr>
            <w:sz w:val="20"/>
            <w:color w:val="0000ff"/>
          </w:rPr>
          <w:t xml:space="preserve">абзацами вторым</w:t>
        </w:r>
      </w:hyperlink>
      <w:r>
        <w:rPr>
          <w:sz w:val="20"/>
        </w:rPr>
        <w:t xml:space="preserve"> - </w:t>
      </w:r>
      <w:hyperlink w:history="0" w:anchor="P14124" w:tooltip="производство изделий народно-художественных промыслов.">
        <w:r>
          <w:rPr>
            <w:sz w:val="20"/>
            <w:color w:val="0000ff"/>
          </w:rPr>
          <w:t xml:space="preserve">четвертым пункта 9</w:t>
        </w:r>
      </w:hyperlink>
      <w:r>
        <w:rPr>
          <w:sz w:val="20"/>
        </w:rPr>
        <w:t xml:space="preserve"> Порядка;</w:t>
      </w:r>
    </w:p>
    <w:p>
      <w:pPr>
        <w:pStyle w:val="0"/>
        <w:spacing w:before="200" w:line-rule="auto"/>
        <w:ind w:firstLine="540"/>
        <w:jc w:val="both"/>
      </w:pPr>
      <w:r>
        <w:rPr>
          <w:sz w:val="20"/>
        </w:rPr>
        <w:t xml:space="preserve">текущий ремонт помещения (в случае наличия права собственности участника конкурса на помещение или использование им помещения по договору аренды (субаренды), заключенному на срок не менее 11 месяцев);</w:t>
      </w:r>
    </w:p>
    <w:p>
      <w:pPr>
        <w:pStyle w:val="0"/>
        <w:spacing w:before="200" w:line-rule="auto"/>
        <w:ind w:firstLine="540"/>
        <w:jc w:val="both"/>
      </w:pPr>
      <w:r>
        <w:rPr>
          <w:sz w:val="20"/>
        </w:rPr>
        <w:t xml:space="preserve">капитальный ремонт помещения (в случае наличия права собственности участника конкурса на помещение или использование им помещения по договору аренды (субаренды), заключенному на срок не менее 3 лет);</w:t>
      </w:r>
    </w:p>
    <w:p>
      <w:pPr>
        <w:pStyle w:val="0"/>
        <w:spacing w:before="200" w:line-rule="auto"/>
        <w:ind w:firstLine="540"/>
        <w:jc w:val="both"/>
      </w:pPr>
      <w:r>
        <w:rPr>
          <w:sz w:val="20"/>
        </w:rPr>
        <w:t xml:space="preserve">реконструкция помещения (при условии, что участник конкурса является собственником помещения);</w:t>
      </w:r>
    </w:p>
    <w:p>
      <w:pPr>
        <w:pStyle w:val="0"/>
        <w:spacing w:before="200" w:line-rule="auto"/>
        <w:ind w:firstLine="540"/>
        <w:jc w:val="both"/>
      </w:pPr>
      <w:r>
        <w:rPr>
          <w:sz w:val="20"/>
        </w:rPr>
        <w:t xml:space="preserve">приобретение основных средств (за исключением легковых автотранспортных средств);</w:t>
      </w:r>
    </w:p>
    <w:p>
      <w:pPr>
        <w:pStyle w:val="0"/>
        <w:spacing w:before="200" w:line-rule="auto"/>
        <w:ind w:firstLine="540"/>
        <w:jc w:val="both"/>
      </w:pPr>
      <w:r>
        <w:rPr>
          <w:sz w:val="20"/>
        </w:rPr>
        <w:t xml:space="preserve">оплата услуг в рамках заключенных договоров на оказание коммунальных и (или) эксплуатационных услуг;</w:t>
      </w:r>
    </w:p>
    <w:p>
      <w:pPr>
        <w:pStyle w:val="0"/>
        <w:spacing w:before="200" w:line-rule="auto"/>
        <w:ind w:firstLine="540"/>
        <w:jc w:val="both"/>
      </w:pPr>
      <w:r>
        <w:rPr>
          <w:sz w:val="20"/>
        </w:rPr>
        <w:t xml:space="preserve">приобретение сырья, расходных материалов и инструментов, необходимых для изготовления продукции и изделий народно-художественных промыслов (для лиц, осуществляющих деятельность по производству изделий народно-художественных промыслов);</w:t>
      </w:r>
    </w:p>
    <w:p>
      <w:pPr>
        <w:pStyle w:val="0"/>
        <w:spacing w:before="200" w:line-rule="auto"/>
        <w:ind w:firstLine="540"/>
        <w:jc w:val="both"/>
      </w:pPr>
      <w:r>
        <w:rPr>
          <w:sz w:val="20"/>
        </w:rPr>
        <w:t xml:space="preserve">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pPr>
        <w:pStyle w:val="0"/>
        <w:spacing w:before="200" w:line-rule="auto"/>
        <w:ind w:firstLine="540"/>
        <w:jc w:val="both"/>
      </w:pPr>
      <w:r>
        <w:rPr>
          <w:sz w:val="20"/>
        </w:rPr>
        <w:t xml:space="preserve">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предоставлением услуг по дневному уходу за детьми (группа 88.91 </w:t>
      </w:r>
      <w:hyperlink w:history="0" r:id="rId62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повышение 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pPr>
        <w:pStyle w:val="0"/>
        <w:spacing w:before="200" w:line-rule="auto"/>
        <w:ind w:firstLine="540"/>
        <w:jc w:val="both"/>
      </w:pPr>
      <w:r>
        <w:rPr>
          <w:sz w:val="20"/>
        </w:rPr>
        <w:t xml:space="preserve">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В рамках субсидии не возмещаются затраты на приобретение оборудования и основных средств, ранее находившихся в эксплуатации.</w:t>
      </w:r>
    </w:p>
    <w:p>
      <w:pPr>
        <w:pStyle w:val="0"/>
        <w:spacing w:before="200" w:line-rule="auto"/>
        <w:ind w:firstLine="540"/>
        <w:jc w:val="both"/>
      </w:pPr>
      <w:r>
        <w:rPr>
          <w:sz w:val="20"/>
        </w:rPr>
        <w:t xml:space="preserve">Возмещению подлежат затраты, понесенные участником конкурса за период не ранее дня, следующего за днем окончания приема заявок на участие в конкурсе, проведенном в предшествующем календарном году по </w:t>
      </w:r>
      <w:hyperlink w:history="0" w:anchor="P12645" w:tooltip="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мероприятию 01.02</w:t>
        </w:r>
      </w:hyperlink>
      <w:r>
        <w:rPr>
          <w:sz w:val="20"/>
        </w:rPr>
        <w:t xml:space="preserve"> по дату подачи заявки на участие в конкурсе в текущем финансовом году.</w:t>
      </w:r>
    </w:p>
    <w:p>
      <w:pPr>
        <w:pStyle w:val="0"/>
        <w:spacing w:before="200" w:line-rule="auto"/>
        <w:ind w:firstLine="540"/>
        <w:jc w:val="both"/>
      </w:pPr>
      <w:r>
        <w:rPr>
          <w:sz w:val="20"/>
        </w:rPr>
        <w:t xml:space="preserve">39. Размер субсидии составляет 85 процентов произведенных и документально подтвержденных затрат и не может превышать 2 млн рублей на одного получателя субсидии.</w:t>
      </w:r>
    </w:p>
    <w:p>
      <w:pPr>
        <w:pStyle w:val="0"/>
        <w:spacing w:before="200" w:line-rule="auto"/>
        <w:ind w:firstLine="540"/>
        <w:jc w:val="both"/>
      </w:pPr>
      <w:r>
        <w:rPr>
          <w:sz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согласно </w:t>
      </w:r>
      <w:hyperlink w:history="0" w:anchor="P14547" w:tooltip="ПЕРЕЧЕНЬ ДОКУМЕНТОВ, ПРЕДСТАВЛЯЕМЫХ УЧАСТНИКАМИ КОНКУРСА">
        <w:r>
          <w:rPr>
            <w:sz w:val="20"/>
            <w:color w:val="0000ff"/>
          </w:rPr>
          <w:t xml:space="preserve">таблице 3</w:t>
        </w:r>
      </w:hyperlink>
      <w:r>
        <w:rPr>
          <w:sz w:val="20"/>
        </w:rPr>
        <w:t xml:space="preserve"> к Порядку.</w:t>
      </w:r>
    </w:p>
    <w:bookmarkStart w:id="14335" w:name="P14335"/>
    <w:bookmarkEnd w:id="14335"/>
    <w:p>
      <w:pPr>
        <w:pStyle w:val="0"/>
        <w:spacing w:before="200" w:line-rule="auto"/>
        <w:ind w:firstLine="540"/>
        <w:jc w:val="both"/>
      </w:pPr>
      <w:r>
        <w:rPr>
          <w:sz w:val="20"/>
        </w:rPr>
        <w:t xml:space="preserve">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w:t>
      </w:r>
    </w:p>
    <w:p>
      <w:pPr>
        <w:pStyle w:val="0"/>
        <w:spacing w:before="200" w:line-rule="auto"/>
        <w:ind w:firstLine="540"/>
        <w:jc w:val="both"/>
      </w:pPr>
      <w:r>
        <w:rPr>
          <w:sz w:val="20"/>
        </w:rPr>
        <w:t xml:space="preserve">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победителя конкурса требованиям, установленным в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 несоответствие затрат, произведенных победителем конкурса,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3) 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4) установление факта недостоверности информации, представленной участником конкурса, признанным допущенным к конкурсу;</w:t>
      </w:r>
    </w:p>
    <w:bookmarkStart w:id="14341" w:name="P14341"/>
    <w:bookmarkEnd w:id="14341"/>
    <w:p>
      <w:pPr>
        <w:pStyle w:val="0"/>
        <w:spacing w:before="200" w:line-rule="auto"/>
        <w:ind w:firstLine="540"/>
        <w:jc w:val="both"/>
      </w:pPr>
      <w:r>
        <w:rPr>
          <w:sz w:val="20"/>
        </w:rPr>
        <w:t xml:space="preserve">5) уклонение победителя конкурса от подписания Соглашения;</w:t>
      </w:r>
    </w:p>
    <w:bookmarkStart w:id="14342" w:name="P14342"/>
    <w:bookmarkEnd w:id="14342"/>
    <w:p>
      <w:pPr>
        <w:pStyle w:val="0"/>
        <w:spacing w:before="200" w:line-rule="auto"/>
        <w:ind w:firstLine="540"/>
        <w:jc w:val="both"/>
      </w:pPr>
      <w:r>
        <w:rPr>
          <w:sz w:val="20"/>
        </w:rPr>
        <w:t xml:space="preserve">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bookmarkStart w:id="14343" w:name="P14343"/>
    <w:bookmarkEnd w:id="14343"/>
    <w:p>
      <w:pPr>
        <w:pStyle w:val="0"/>
        <w:spacing w:before="200" w:line-rule="auto"/>
        <w:ind w:firstLine="540"/>
        <w:jc w:val="both"/>
      </w:pPr>
      <w:r>
        <w:rPr>
          <w:sz w:val="20"/>
        </w:rPr>
        <w:t xml:space="preserve">41. В случае отказа в предоставлении субсидии в соответствии с </w:t>
      </w:r>
      <w:hyperlink w:history="0" w:anchor="P14342"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и образования нераспределенных бюджетных ассигнований, распределяемых в рамках конкурса, субсидии предоставляются в следующей очередности:</w:t>
      </w:r>
    </w:p>
    <w:bookmarkStart w:id="14344" w:name="P14344"/>
    <w:bookmarkEnd w:id="14344"/>
    <w:p>
      <w:pPr>
        <w:pStyle w:val="0"/>
        <w:spacing w:before="200" w:line-rule="auto"/>
        <w:ind w:firstLine="540"/>
        <w:jc w:val="both"/>
      </w:pPr>
      <w:r>
        <w:rPr>
          <w:sz w:val="20"/>
        </w:rPr>
        <w:t xml:space="preserve">участнику конкурса, у которого размер субсидии снижен в связи с недостаточностью бюджетных ассигнований;</w:t>
      </w:r>
    </w:p>
    <w:bookmarkStart w:id="14345" w:name="P14345"/>
    <w:bookmarkEnd w:id="14345"/>
    <w:p>
      <w:pPr>
        <w:pStyle w:val="0"/>
        <w:spacing w:before="200" w:line-rule="auto"/>
        <w:ind w:firstLine="540"/>
        <w:jc w:val="both"/>
      </w:pPr>
      <w:r>
        <w:rPr>
          <w:sz w:val="20"/>
        </w:rPr>
        <w:t xml:space="preserve">участникам конкурса, признанным победителями конкурса, но которым отказано в предоставлении субсидии по основанию, установленному </w:t>
      </w:r>
      <w:hyperlink w:history="0" w:anchor="P14342"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признании победителями конкурса участников конкурса о предоставлении им субсидии победителям конкурса, указанным в </w:t>
      </w:r>
      <w:hyperlink w:history="0" w:anchor="P14344" w:tooltip="участнику конкурса, у которого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4345" w:tooltip="участникам конкурса, признанным победителями конкурса, но которым отказано в предоставлении субсидии по основанию, установленному подпунктом 6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bookmarkStart w:id="14347" w:name="P14347"/>
    <w:bookmarkEnd w:id="14347"/>
    <w:p>
      <w:pPr>
        <w:pStyle w:val="0"/>
        <w:spacing w:before="200" w:line-rule="auto"/>
        <w:ind w:firstLine="540"/>
        <w:jc w:val="both"/>
      </w:pPr>
      <w:r>
        <w:rPr>
          <w:sz w:val="20"/>
        </w:rPr>
        <w:t xml:space="preserve">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w:t>
      </w:r>
      <w:hyperlink w:history="0" w:anchor="P12645" w:tooltip="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мероприятия 01.02</w:t>
        </w:r>
      </w:hyperlink>
      <w:r>
        <w:rPr>
          <w:sz w:val="20"/>
        </w:rPr>
        <w:t xml:space="preserve">, субсидия предоставляются в следующей очередности без проведения нового конкурса:</w:t>
      </w:r>
    </w:p>
    <w:bookmarkStart w:id="14348" w:name="P14348"/>
    <w:bookmarkEnd w:id="14348"/>
    <w:p>
      <w:pPr>
        <w:pStyle w:val="0"/>
        <w:spacing w:before="200" w:line-rule="auto"/>
        <w:ind w:firstLine="540"/>
        <w:jc w:val="both"/>
      </w:pPr>
      <w:r>
        <w:rPr>
          <w:sz w:val="20"/>
        </w:rPr>
        <w:t xml:space="preserve">участникам конкурса, у которых размер субсидии снижен в связи с недостаточностью бюджетных ассигнований;</w:t>
      </w:r>
    </w:p>
    <w:bookmarkStart w:id="14349" w:name="P14349"/>
    <w:bookmarkEnd w:id="14349"/>
    <w:p>
      <w:pPr>
        <w:pStyle w:val="0"/>
        <w:spacing w:before="200" w:line-rule="auto"/>
        <w:ind w:firstLine="540"/>
        <w:jc w:val="both"/>
      </w:pPr>
      <w:r>
        <w:rPr>
          <w:sz w:val="20"/>
        </w:rPr>
        <w:t xml:space="preserve">участникам конкурса, которым отказано в предоставлении субсидии по основанию, установленному </w:t>
      </w:r>
      <w:hyperlink w:history="0" w:anchor="P14342"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шестым пункта 40</w:t>
        </w:r>
      </w:hyperlink>
      <w:r>
        <w:rPr>
          <w:sz w:val="20"/>
        </w:rPr>
        <w:t xml:space="preserve">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предоставлении субсидии победителям конкурса, указанным в </w:t>
      </w:r>
      <w:hyperlink w:history="0" w:anchor="P14348" w:tooltip="участникам конкурса, у которых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4349" w:tooltip="участникам конкурса, которым отказано в предоставлении субсидии по основанию, установленному подпунктом шестым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p>
      <w:pPr>
        <w:pStyle w:val="0"/>
        <w:spacing w:before="200" w:line-rule="auto"/>
        <w:ind w:firstLine="540"/>
        <w:jc w:val="both"/>
      </w:pPr>
      <w:r>
        <w:rPr>
          <w:sz w:val="20"/>
        </w:rPr>
        <w:t xml:space="preserve">43. По результатам конкурса с победителем конкурса заключается Соглашение в соответствии с положениями </w:t>
      </w:r>
      <w:hyperlink w:history="0" r:id="rId622"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 29.1</w:t>
        </w:r>
      </w:hyperlink>
      <w:r>
        <w:rPr>
          <w:sz w:val="20"/>
        </w:rPr>
        <w:t xml:space="preserve"> Порядка разработки и реализации государственных программ.</w:t>
      </w:r>
    </w:p>
    <w:bookmarkStart w:id="14352" w:name="P14352"/>
    <w:bookmarkEnd w:id="14352"/>
    <w:p>
      <w:pPr>
        <w:pStyle w:val="0"/>
        <w:spacing w:before="200" w:line-rule="auto"/>
        <w:ind w:firstLine="540"/>
        <w:jc w:val="both"/>
      </w:pPr>
      <w:r>
        <w:rPr>
          <w:sz w:val="20"/>
        </w:rPr>
        <w:t xml:space="preserve">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w:t>
      </w:r>
    </w:p>
    <w:bookmarkStart w:id="14353" w:name="P14353"/>
    <w:bookmarkEnd w:id="14353"/>
    <w:p>
      <w:pPr>
        <w:pStyle w:val="0"/>
        <w:spacing w:before="200" w:line-rule="auto"/>
        <w:ind w:firstLine="540"/>
        <w:jc w:val="both"/>
      </w:pPr>
      <w:r>
        <w:rPr>
          <w:sz w:val="20"/>
        </w:rPr>
        <w:t xml:space="preserve">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w:t>
      </w:r>
      <w:hyperlink w:history="0" w:anchor="P14343"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и </w:t>
      </w:r>
      <w:hyperlink w:history="0" w:anchor="P14347"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2,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(далее - Решение) в следующем порядке:</w:t>
      </w:r>
    </w:p>
    <w:p>
      <w:pPr>
        <w:pStyle w:val="0"/>
        <w:spacing w:before="200" w:line-rule="auto"/>
        <w:ind w:firstLine="540"/>
        <w:jc w:val="both"/>
      </w:pPr>
      <w:r>
        <w:rPr>
          <w:sz w:val="20"/>
        </w:rPr>
        <w:t xml:space="preserve">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усиленной квалифицированной ЭП уполномоченного должностного лица Мининвеста Московской области, в личный кабинет победителя конкурса в Информационной системе;</w:t>
      </w:r>
    </w:p>
    <w:bookmarkStart w:id="14355" w:name="P14355"/>
    <w:bookmarkEnd w:id="14355"/>
    <w:p>
      <w:pPr>
        <w:pStyle w:val="0"/>
        <w:spacing w:before="200" w:line-rule="auto"/>
        <w:ind w:firstLine="540"/>
        <w:jc w:val="both"/>
      </w:pPr>
      <w:r>
        <w:rPr>
          <w:sz w:val="20"/>
        </w:rPr>
        <w:t xml:space="preserve">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w:t>
      </w:r>
    </w:p>
    <w:p>
      <w:pPr>
        <w:pStyle w:val="0"/>
        <w:spacing w:before="200" w:line-rule="auto"/>
        <w:ind w:firstLine="540"/>
        <w:jc w:val="both"/>
      </w:pPr>
      <w:r>
        <w:rPr>
          <w:sz w:val="20"/>
        </w:rPr>
        <w:t xml:space="preserve">Победитель Конкурса вправе отказаться от получения субсидии, направив в Мининвест Московской области соответствующий запрос в Информационной системе.</w:t>
      </w:r>
    </w:p>
    <w:p>
      <w:pPr>
        <w:pStyle w:val="0"/>
        <w:spacing w:before="200" w:line-rule="auto"/>
        <w:ind w:firstLine="540"/>
        <w:jc w:val="both"/>
      </w:pPr>
      <w:r>
        <w:rPr>
          <w:sz w:val="20"/>
        </w:rPr>
        <w:t xml:space="preserve">В случае неподписания победителем конкурса Соглашения в установленный срок Мининвест Московской области принимает решение об отказе в предоставлении субсидии по основанию, предусмотренному </w:t>
      </w:r>
      <w:hyperlink w:history="0" w:anchor="P14341" w:tooltip="5) уклонение победителя конкурса от подписания Соглашения;">
        <w:r>
          <w:rPr>
            <w:sz w:val="20"/>
            <w:color w:val="0000ff"/>
          </w:rPr>
          <w:t xml:space="preserve">подпунктом 5 пункта 40</w:t>
        </w:r>
      </w:hyperlink>
      <w:r>
        <w:rPr>
          <w:sz w:val="20"/>
        </w:rPr>
        <w:t xml:space="preserve"> Порядка.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конкурса победителем конкурса;</w:t>
      </w:r>
    </w:p>
    <w:p>
      <w:pPr>
        <w:pStyle w:val="0"/>
        <w:spacing w:before="200" w:line-rule="auto"/>
        <w:ind w:firstLine="540"/>
        <w:jc w:val="both"/>
      </w:pPr>
      <w:r>
        <w:rPr>
          <w:sz w:val="20"/>
        </w:rPr>
        <w:t xml:space="preserve">соответствие на дату заключения Соглашения победителя конкурса требованиям, установленным </w:t>
      </w:r>
      <w:hyperlink w:history="0" w:anchor="P14153"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46.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конкурса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Дополнительные соглашения заключаются в порядке, аналогичном порядку, указанному в </w:t>
      </w:r>
      <w:hyperlink w:history="0" w:anchor="P14353"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пункте 45</w:t>
        </w:r>
      </w:hyperlink>
      <w:r>
        <w:rPr>
          <w:sz w:val="20"/>
        </w:rPr>
        <w:t xml:space="preserve"> для заключения Соглашения.</w:t>
      </w:r>
    </w:p>
    <w:p>
      <w:pPr>
        <w:pStyle w:val="0"/>
        <w:spacing w:before="200" w:line-rule="auto"/>
        <w:ind w:firstLine="540"/>
        <w:jc w:val="both"/>
      </w:pPr>
      <w:r>
        <w:rPr>
          <w:sz w:val="20"/>
        </w:rPr>
        <w:t xml:space="preserve">47. В случае неподписания победителем конкурса Соглашения в срок, установленный </w:t>
      </w:r>
      <w:hyperlink w:history="0" w:anchor="P14355" w:tooltip="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
        <w:r>
          <w:rPr>
            <w:sz w:val="20"/>
            <w:color w:val="0000ff"/>
          </w:rPr>
          <w:t xml:space="preserve">абзацем третьим пункта 45</w:t>
        </w:r>
      </w:hyperlink>
      <w:r>
        <w:rPr>
          <w:sz w:val="20"/>
        </w:rPr>
        <w:t xml:space="preserve"> Порядка, победитель конкурса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Информационной системе в течение 2 рабочих дней со дня, следующего за днем окончания срока, установленного абзацем третьим пункта 45 Порядка.</w:t>
      </w:r>
    </w:p>
    <w:p>
      <w:pPr>
        <w:pStyle w:val="0"/>
        <w:spacing w:before="200" w:line-rule="auto"/>
        <w:ind w:firstLine="540"/>
        <w:jc w:val="both"/>
      </w:pPr>
      <w:r>
        <w:rPr>
          <w:sz w:val="20"/>
        </w:rPr>
        <w:t xml:space="preserve">48.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6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результата предоставления субсидии, установленные в соответствии с заявкой (в случае, если в связи с недостаточностью бюджетных ассигнований по </w:t>
      </w:r>
      <w:hyperlink w:history="0" w:anchor="P12645" w:tooltip="Мероприятие 01.02. Возмещение части затрат субъектов малого и среднего предпринимательства, осуществляющих деятельность в сфере социального предпринимательства">
        <w:r>
          <w:rPr>
            <w:sz w:val="20"/>
            <w:color w:val="0000ff"/>
          </w:rPr>
          <w:t xml:space="preserve">мероприятию 01.02</w:t>
        </w:r>
      </w:hyperlink>
      <w:r>
        <w:rPr>
          <w:sz w:val="20"/>
        </w:rPr>
        <w:t xml:space="preserve"> размер предоставленной субсидии меньше размера, указанного получателем субсидии в заявке, результаты предоставления субсидии снижаются пропорционально уменьшению размера предоставляемой субсидии).</w:t>
      </w:r>
    </w:p>
    <w:p>
      <w:pPr>
        <w:pStyle w:val="0"/>
        <w:spacing w:before="200" w:line-rule="auto"/>
        <w:ind w:firstLine="540"/>
        <w:jc w:val="both"/>
      </w:pPr>
      <w:r>
        <w:rPr>
          <w:sz w:val="20"/>
        </w:rPr>
        <w:t xml:space="preserve">49. Перечисление субсидии осуществляется не позднее 10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 указанного в </w:t>
      </w:r>
      <w:hyperlink w:history="0" w:anchor="P14335" w:tooltip="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
        <w:r>
          <w:rPr>
            <w:sz w:val="20"/>
            <w:color w:val="0000ff"/>
          </w:rPr>
          <w:t xml:space="preserve">пункте 40</w:t>
        </w:r>
      </w:hyperlink>
      <w:r>
        <w:rPr>
          <w:sz w:val="20"/>
        </w:rPr>
        <w:t xml:space="preserve"> Порядка.</w:t>
      </w:r>
    </w:p>
    <w:p>
      <w:pPr>
        <w:pStyle w:val="0"/>
        <w:spacing w:before="200" w:line-rule="auto"/>
        <w:ind w:firstLine="540"/>
        <w:jc w:val="both"/>
      </w:pPr>
      <w:r>
        <w:rPr>
          <w:sz w:val="20"/>
        </w:rPr>
        <w:t xml:space="preserve">В случаях, предусмотренных </w:t>
      </w:r>
      <w:hyperlink w:history="0" w:anchor="P14343"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и </w:t>
      </w:r>
      <w:hyperlink w:history="0" w:anchor="P14347"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2,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перечисление субсидии осуществляется не позднее 10 рабочего дня, следующего за днем принятия Мининвестом Московской области решений о предоставлении субсидии, указанных в </w:t>
      </w:r>
      <w:hyperlink w:history="0" w:anchor="P14343"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пунктах 41</w:t>
        </w:r>
      </w:hyperlink>
      <w:r>
        <w:rPr>
          <w:sz w:val="20"/>
        </w:rPr>
        <w:t xml:space="preserve"> и </w:t>
      </w:r>
      <w:hyperlink w:history="0" w:anchor="P14347"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2,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w:t>
      </w:r>
    </w:p>
    <w:p>
      <w:pPr>
        <w:pStyle w:val="0"/>
        <w:spacing w:before="200" w:line-rule="auto"/>
        <w:ind w:firstLine="540"/>
        <w:jc w:val="both"/>
      </w:pPr>
      <w:r>
        <w:rPr>
          <w:sz w:val="20"/>
        </w:rPr>
        <w:t xml:space="preserve">Субсидии подлежат перечислению на расчетные счета получателей субсидий, открытые в кредитных организациях, указанные в Соглашениях.</w:t>
      </w:r>
    </w:p>
    <w:p>
      <w:pPr>
        <w:pStyle w:val="0"/>
        <w:spacing w:before="200" w:line-rule="auto"/>
        <w:ind w:firstLine="540"/>
        <w:jc w:val="both"/>
      </w:pPr>
      <w:r>
        <w:rPr>
          <w:sz w:val="20"/>
        </w:rPr>
        <w:t xml:space="preserve">50.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 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2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62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51. Результатом предоставления субсидии является прирост налоговых отчислений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Результат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52. В случаях наличия по результатам проведения конкурса остатка лимитов бюджетных обязательств на предоставление субсидии на соответствующий финансовый год, не распределенного между победителями конкурса, увеличения лимитов бюджетных обязательств, отказа от заключения Соглашения, неподписания победителем конкурса Соглашения в срок, определенный объявлением о проведении конкурса в соответствии с </w:t>
      </w:r>
      <w:hyperlink w:history="0" w:anchor="P14353"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пунктом 45</w:t>
        </w:r>
      </w:hyperlink>
      <w:r>
        <w:rPr>
          <w:sz w:val="20"/>
        </w:rPr>
        <w:t xml:space="preserve"> Порядка, расторжения соглашения с получателем субсидии и наличия участников конкурса, включенных в итоговый рейтинговый список, которым отказано в предоставлении субсидии по причине недостаточности лимитов бюджетных обязательств на предоставление субсидии, субсидия может распределяться без повторного проведения конкурса с учетом присвоенного ранее номера в итоговом рейтинговом списке.</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53. Получатели субсидии представляют Мининвест Московской области отчет о достижении значений результата предоставления субсидии по форме, установленной Соглашением (далее - Отчет), в электронной форме посредством личного кабинета в Информационной системе.</w:t>
      </w:r>
    </w:p>
    <w:p>
      <w:pPr>
        <w:pStyle w:val="0"/>
        <w:spacing w:before="200" w:line-rule="auto"/>
        <w:ind w:firstLine="540"/>
        <w:jc w:val="both"/>
      </w:pPr>
      <w:r>
        <w:rPr>
          <w:sz w:val="20"/>
        </w:rPr>
        <w:t xml:space="preserve">Отчетным периодом является год получения субсидии.</w:t>
      </w:r>
    </w:p>
    <w:p>
      <w:pPr>
        <w:pStyle w:val="0"/>
        <w:spacing w:before="200" w:line-rule="auto"/>
        <w:ind w:firstLine="540"/>
        <w:jc w:val="both"/>
      </w:pPr>
      <w:r>
        <w:rPr>
          <w:sz w:val="20"/>
        </w:rPr>
        <w:t xml:space="preserve">Отчет представляется ежеквартально в срок не позднее 15 рабочего дня месяца, следующего за отчетным кварталом, а по итогам отчетного периода - в срок до 15 апреля года, следующего за отчетным периодом.</w:t>
      </w:r>
    </w:p>
    <w:p>
      <w:pPr>
        <w:pStyle w:val="0"/>
        <w:spacing w:before="200" w:line-rule="auto"/>
        <w:ind w:firstLine="540"/>
        <w:jc w:val="both"/>
      </w:pPr>
      <w:r>
        <w:rPr>
          <w:sz w:val="20"/>
        </w:rPr>
        <w:t xml:space="preserve">Форма Отчета определяется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При представлении отчетных документов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Проверка и принятие отчетности, представляемой в соответствии с настоящим разделом, осуществляется Мининвест Московской в течение 30 рабочих дней со дня ее представления.</w:t>
      </w:r>
    </w:p>
    <w:bookmarkStart w:id="14389" w:name="P14389"/>
    <w:bookmarkEnd w:id="14389"/>
    <w:p>
      <w:pPr>
        <w:pStyle w:val="0"/>
        <w:spacing w:before="200" w:line-rule="auto"/>
        <w:ind w:firstLine="540"/>
        <w:jc w:val="both"/>
      </w:pPr>
      <w:r>
        <w:rPr>
          <w:sz w:val="20"/>
        </w:rPr>
        <w:t xml:space="preserve">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Порядка Мининвест Московской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дней с даты направления уведомления, указанного в </w:t>
      </w:r>
      <w:hyperlink w:history="0" w:anchor="P14389" w:tooltip="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
        <w:r>
          <w:rPr>
            <w:sz w:val="20"/>
            <w:color w:val="0000ff"/>
          </w:rPr>
          <w:t xml:space="preserve">абзаце восьмом</w:t>
        </w:r>
      </w:hyperlink>
      <w:r>
        <w:rPr>
          <w:sz w:val="20"/>
        </w:rPr>
        <w:t xml:space="preserve"> настоящего пункта,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4398" w:tooltip="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54</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Отчета в установленные сроки приравнивается к недостижению значения результата предоставления субсидии.</w:t>
      </w:r>
    </w:p>
    <w:p>
      <w:pPr>
        <w:pStyle w:val="0"/>
        <w:spacing w:before="200" w:line-rule="auto"/>
        <w:ind w:firstLine="540"/>
        <w:jc w:val="both"/>
      </w:pPr>
      <w:r>
        <w:rPr>
          <w:sz w:val="20"/>
        </w:rPr>
        <w:t xml:space="preserve">Получатель субсидии вправе по собственной инициативе в срок 25 мая года, следующего за отчетным периодом, сдать уточненный Отчет по итогам отчетного периода при обнаружении некорректных данных в ранее представленном Отчете. Уточненный Отчет представляется в электронной форме посредством личного кабинета в Информационной системе с приложением документов, подтверждающих внесенные в Отчет изменения.</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4398" w:name="P14398"/>
    <w:bookmarkEnd w:id="14398"/>
    <w:p>
      <w:pPr>
        <w:pStyle w:val="0"/>
        <w:ind w:firstLine="540"/>
        <w:jc w:val="both"/>
      </w:pPr>
      <w:r>
        <w:rPr>
          <w:sz w:val="20"/>
        </w:rPr>
        <w:t xml:space="preserve">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6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55.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30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56.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w:t>
      </w:r>
    </w:p>
    <w:p>
      <w:pPr>
        <w:pStyle w:val="0"/>
        <w:spacing w:before="200" w:line-rule="auto"/>
        <w:ind w:firstLine="540"/>
        <w:jc w:val="both"/>
      </w:pPr>
      <w:r>
        <w:rPr>
          <w:sz w:val="20"/>
        </w:rPr>
        <w:t xml:space="preserve">При недостижении значения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значению результата предоставления субсидии, установленным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jc w:val="both"/>
      </w:pPr>
      <w:r>
        <w:rPr>
          <w:sz w:val="20"/>
        </w:rPr>
      </w:r>
    </w:p>
    <w:p>
      <w:pPr>
        <w:pStyle w:val="0"/>
        <w:ind w:firstLine="540"/>
        <w:jc w:val="both"/>
      </w:pPr>
      <w:r>
        <w:rPr>
          <w:sz w:val="20"/>
        </w:rPr>
        <w:t xml:space="preserve">При непредставлении Отчета в установленные сроки субсидия подлежит возврату в полном объеме.</w:t>
      </w:r>
    </w:p>
    <w:p>
      <w:pPr>
        <w:pStyle w:val="0"/>
        <w:spacing w:before="200" w:line-rule="auto"/>
        <w:ind w:firstLine="540"/>
        <w:jc w:val="both"/>
      </w:pPr>
      <w:r>
        <w:rPr>
          <w:sz w:val="20"/>
        </w:rPr>
        <w:t xml:space="preserve">57. В случае неисполнения получателем субсидии требования о возврате Мининвест Московской области производит взыскание средств субсидии в порядке, установленном законодательством Российской Федерации.</w:t>
      </w:r>
    </w:p>
    <w:p>
      <w:pPr>
        <w:pStyle w:val="0"/>
        <w:spacing w:before="200" w:line-rule="auto"/>
        <w:ind w:firstLine="540"/>
        <w:jc w:val="both"/>
      </w:pPr>
      <w:r>
        <w:rPr>
          <w:sz w:val="20"/>
        </w:rPr>
        <w:t xml:space="preserve">58. В случае призыва получателя субсидии на военную службу по мобилизации в Вооруженные Силы Российской Федерации в соответствии с </w:t>
      </w:r>
      <w:hyperlink w:history="0" r:id="rId630"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призыв на военную службу по мобилизации),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допускается продление сроков достижения результата предоставления субсидии, представления отчетов.</w:t>
      </w:r>
    </w:p>
    <w:p>
      <w:pPr>
        <w:pStyle w:val="0"/>
        <w:spacing w:before="200" w:line-rule="auto"/>
        <w:ind w:firstLine="540"/>
        <w:jc w:val="both"/>
      </w:pPr>
      <w:r>
        <w:rPr>
          <w:sz w:val="20"/>
        </w:rPr>
        <w:t xml:space="preserve">Под получателем субсидии, призванным на военную службу по мобилизации, проходящим военную службу по контракту или проходящим военную службу в добровольческом формировании понимается:</w:t>
      </w:r>
    </w:p>
    <w:p>
      <w:pPr>
        <w:pStyle w:val="0"/>
        <w:spacing w:before="200" w:line-rule="auto"/>
        <w:ind w:firstLine="540"/>
        <w:jc w:val="both"/>
      </w:pPr>
      <w:r>
        <w:rPr>
          <w:sz w:val="20"/>
        </w:rPr>
        <w:t xml:space="preserve">1) индивидуальный предприниматель, призванный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2) юридическое лицо, единственный учредитель которого, являющийся одновременно единоличным исполнительным органом, призван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Срок достижения результата предоставления субсидии, предоставления отчетов продлевается на срок прохождения военной службы по мобилизации, прохождения военной службы по контракту, а также в добровольческом формировании.</w:t>
      </w:r>
    </w:p>
    <w:p>
      <w:pPr>
        <w:pStyle w:val="0"/>
        <w:spacing w:before="200" w:line-rule="auto"/>
        <w:ind w:firstLine="540"/>
        <w:jc w:val="both"/>
      </w:pPr>
      <w:r>
        <w:rPr>
          <w:sz w:val="20"/>
        </w:rPr>
        <w:t xml:space="preserve">Вне зависимости от количества месяцев календарного года прохождения военной службы срок достижения результата предоставления субсидии продлевается на целый календарный год.</w:t>
      </w:r>
    </w:p>
    <w:bookmarkStart w:id="14423" w:name="P14423"/>
    <w:bookmarkEnd w:id="14423"/>
    <w:p>
      <w:pPr>
        <w:pStyle w:val="0"/>
        <w:spacing w:before="200" w:line-rule="auto"/>
        <w:ind w:firstLine="540"/>
        <w:jc w:val="both"/>
      </w:pPr>
      <w:r>
        <w:rPr>
          <w:sz w:val="20"/>
        </w:rPr>
        <w:t xml:space="preserve">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 заявление.</w:t>
      </w:r>
    </w:p>
    <w:p>
      <w:pPr>
        <w:pStyle w:val="0"/>
        <w:spacing w:before="200" w:line-rule="auto"/>
        <w:ind w:firstLine="540"/>
        <w:jc w:val="both"/>
      </w:pPr>
      <w:r>
        <w:rPr>
          <w:sz w:val="20"/>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контракту или проходит военную службу в добровольческом формировании.</w:t>
      </w:r>
    </w:p>
    <w:p>
      <w:pPr>
        <w:pStyle w:val="0"/>
        <w:spacing w:before="200" w:line-rule="auto"/>
        <w:ind w:firstLine="540"/>
        <w:jc w:val="both"/>
      </w:pPr>
      <w:r>
        <w:rPr>
          <w:sz w:val="20"/>
        </w:rPr>
        <w:t xml:space="preserve">Не позднее 30 календарных дней после окончания нахождения получателя субсидии на военной службе по мобилизации или в добровольческом формировании или окончания срока действия контракта о прохождении военной службы получатель субсидии или его представитель направляет заявление в Мининвест Московской области посредством Информационной систем.</w:t>
      </w:r>
    </w:p>
    <w:p>
      <w:pPr>
        <w:pStyle w:val="0"/>
        <w:spacing w:before="200" w:line-rule="auto"/>
        <w:ind w:firstLine="540"/>
        <w:jc w:val="both"/>
      </w:pPr>
      <w:r>
        <w:rPr>
          <w:sz w:val="20"/>
        </w:rPr>
        <w:t xml:space="preserve">Формы заявлений, указанных в настоящем пункте, утверждаются Мининвестом Московской области.</w:t>
      </w:r>
    </w:p>
    <w:bookmarkStart w:id="14427" w:name="P14427"/>
    <w:bookmarkEnd w:id="14427"/>
    <w:p>
      <w:pPr>
        <w:pStyle w:val="0"/>
        <w:spacing w:before="200" w:line-rule="auto"/>
        <w:ind w:firstLine="540"/>
        <w:jc w:val="both"/>
      </w:pPr>
      <w:r>
        <w:rPr>
          <w:sz w:val="20"/>
        </w:rPr>
        <w:t xml:space="preserve">60. Мининвест Московской области рассматривает обращение получателя субсидии и в случае представления неполного пакета документов, установленного </w:t>
      </w:r>
      <w:hyperlink w:history="0" w:anchor="P14423" w:tooltip="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 заявление.">
        <w:r>
          <w:rPr>
            <w:sz w:val="20"/>
            <w:color w:val="0000ff"/>
          </w:rPr>
          <w:t xml:space="preserve">пунктом 59</w:t>
        </w:r>
      </w:hyperlink>
      <w:r>
        <w:rPr>
          <w:sz w:val="20"/>
        </w:rPr>
        <w:t xml:space="preserve"> Порядка, запрашивает недостающие документы у получателя субсидии.</w:t>
      </w:r>
    </w:p>
    <w:p>
      <w:pPr>
        <w:pStyle w:val="0"/>
        <w:spacing w:before="200" w:line-rule="auto"/>
        <w:ind w:firstLine="540"/>
        <w:jc w:val="both"/>
      </w:pPr>
      <w:r>
        <w:rPr>
          <w:sz w:val="20"/>
        </w:rPr>
        <w:t xml:space="preserve">Запрос о представлении недостающих документов направляется получателю субсидии в Информационной системе в срок не позднее 5 рабочих дней, начиная со дня, следующего за днем направления обращения.</w:t>
      </w:r>
    </w:p>
    <w:bookmarkStart w:id="14429" w:name="P14429"/>
    <w:bookmarkEnd w:id="14429"/>
    <w:p>
      <w:pPr>
        <w:pStyle w:val="0"/>
        <w:spacing w:before="200" w:line-rule="auto"/>
        <w:ind w:firstLine="540"/>
        <w:jc w:val="both"/>
      </w:pPr>
      <w:r>
        <w:rPr>
          <w:sz w:val="20"/>
        </w:rPr>
        <w:t xml:space="preserve">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w:t>
      </w:r>
      <w:hyperlink w:history="0" w:anchor="P14427" w:tooltip="60. Мининвест Московской области рассматривает обращение получателя субсидии и в случае представления неполного пакета документов, установленного пунктом 59 Порядка, запрашивает недостающие документы у получателя субсидии.">
        <w:r>
          <w:rPr>
            <w:sz w:val="20"/>
            <w:color w:val="0000ff"/>
          </w:rPr>
          <w:t xml:space="preserve">пунктом 60</w:t>
        </w:r>
      </w:hyperlink>
      <w:r>
        <w:rPr>
          <w:sz w:val="20"/>
        </w:rPr>
        <w:t xml:space="preserve"> Порядка, принимает одно из следующих решений:</w:t>
      </w:r>
    </w:p>
    <w:p>
      <w:pPr>
        <w:pStyle w:val="0"/>
        <w:spacing w:before="200" w:line-rule="auto"/>
        <w:ind w:firstLine="540"/>
        <w:jc w:val="both"/>
      </w:pPr>
      <w:r>
        <w:rPr>
          <w:sz w:val="20"/>
        </w:rPr>
        <w:t xml:space="preserve">1) о продлении сроков достижения результата предоставления субсидии;</w:t>
      </w:r>
    </w:p>
    <w:p>
      <w:pPr>
        <w:pStyle w:val="0"/>
        <w:spacing w:before="200" w:line-rule="auto"/>
        <w:ind w:firstLine="540"/>
        <w:jc w:val="both"/>
      </w:pPr>
      <w:r>
        <w:rPr>
          <w:sz w:val="20"/>
        </w:rPr>
        <w:t xml:space="preserve">2) об отказе в продлении сроков достижения результата предоставления субсидии в случае установления факта недостоверности представленной получателем субсидии информации.</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w:t>
      </w:r>
    </w:p>
    <w:p>
      <w:pPr>
        <w:pStyle w:val="0"/>
        <w:spacing w:before="200" w:line-rule="auto"/>
        <w:ind w:firstLine="540"/>
        <w:jc w:val="both"/>
      </w:pPr>
      <w:r>
        <w:rPr>
          <w:sz w:val="20"/>
        </w:rPr>
        <w:t xml:space="preserve">62. В течение 5 рабочих дней со дня принятия решения в соответствии с </w:t>
      </w:r>
      <w:hyperlink w:history="0" w:anchor="P14429" w:tooltip="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пунктом 60 Порядка, принимает одно из следующих решений:">
        <w:r>
          <w:rPr>
            <w:sz w:val="20"/>
            <w:color w:val="0000ff"/>
          </w:rPr>
          <w:t xml:space="preserve">пунктом 61</w:t>
        </w:r>
      </w:hyperlink>
      <w:r>
        <w:rPr>
          <w:sz w:val="20"/>
        </w:rPr>
        <w:t xml:space="preserve"> Порядка Мининвест Московской области направляет получателю субсидии дополнительное соглашение к Соглашению в части продления сроков достижения результата предоставления субсидии, представления отчетов, подписанное ЭП уполномоченного должностного лица Мининвеста Московской области, в личный кабинет получателя субсидии в Информационной системе.</w:t>
      </w:r>
    </w:p>
    <w:p>
      <w:pPr>
        <w:pStyle w:val="0"/>
        <w:spacing w:before="200" w:line-rule="auto"/>
        <w:ind w:firstLine="540"/>
        <w:jc w:val="both"/>
      </w:pPr>
      <w:r>
        <w:rPr>
          <w:sz w:val="20"/>
        </w:rPr>
        <w:t xml:space="preserve">В случае неподписания в течение 2 рабочих дней дополнительного соглашения сроки достижения результата предоставления субсидии и сроки представления отчетов не продлеваются.</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4438" w:name="P14438"/>
    <w:bookmarkEnd w:id="14438"/>
    <w:p>
      <w:pPr>
        <w:pStyle w:val="2"/>
        <w:jc w:val="center"/>
      </w:pPr>
      <w:r>
        <w:rPr>
          <w:sz w:val="20"/>
        </w:rPr>
        <w:t xml:space="preserve">КРИТЕРИИ ОЦЕНКИ ЗАЯВОК, ПОДАВАЕМЫХ УЧАСТНИКАМИ КОНКУРСА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28"/>
        <w:gridCol w:w="4139"/>
        <w:gridCol w:w="2778"/>
        <w:gridCol w:w="1474"/>
      </w:tblGrid>
      <w:tr>
        <w:tc>
          <w:tcPr>
            <w:tcW w:w="737" w:type="dxa"/>
          </w:tcPr>
          <w:p>
            <w:pPr>
              <w:pStyle w:val="0"/>
              <w:jc w:val="center"/>
            </w:pPr>
            <w:r>
              <w:rPr>
                <w:sz w:val="20"/>
              </w:rPr>
              <w:t xml:space="preserve">N п/п</w:t>
            </w:r>
          </w:p>
        </w:tc>
        <w:tc>
          <w:tcPr>
            <w:tcW w:w="3628" w:type="dxa"/>
          </w:tcPr>
          <w:p>
            <w:pPr>
              <w:pStyle w:val="0"/>
              <w:jc w:val="center"/>
            </w:pPr>
            <w:r>
              <w:rPr>
                <w:sz w:val="20"/>
              </w:rPr>
              <w:t xml:space="preserve">Критерий</w:t>
            </w:r>
          </w:p>
        </w:tc>
        <w:tc>
          <w:tcPr>
            <w:gridSpan w:val="2"/>
            <w:tcW w:w="6917" w:type="dxa"/>
          </w:tcPr>
          <w:p>
            <w:pPr>
              <w:pStyle w:val="0"/>
              <w:jc w:val="center"/>
            </w:pPr>
            <w:r>
              <w:rPr>
                <w:sz w:val="20"/>
              </w:rPr>
              <w:t xml:space="preserve">Расчет количества баллов</w:t>
            </w:r>
          </w:p>
        </w:tc>
        <w:tc>
          <w:tcPr>
            <w:tcW w:w="1474" w:type="dxa"/>
          </w:tcPr>
          <w:p>
            <w:pPr>
              <w:pStyle w:val="0"/>
              <w:jc w:val="center"/>
            </w:pPr>
            <w:r>
              <w:rPr>
                <w:sz w:val="20"/>
              </w:rPr>
              <w:t xml:space="preserve">Весовые значения</w:t>
            </w:r>
          </w:p>
        </w:tc>
      </w:tr>
      <w:tr>
        <w:tc>
          <w:tcPr>
            <w:tcW w:w="737" w:type="dxa"/>
          </w:tcPr>
          <w:p>
            <w:pPr>
              <w:pStyle w:val="0"/>
              <w:jc w:val="center"/>
            </w:pPr>
            <w:r>
              <w:rPr>
                <w:sz w:val="20"/>
              </w:rPr>
              <w:t xml:space="preserve">1</w:t>
            </w:r>
          </w:p>
        </w:tc>
        <w:tc>
          <w:tcPr>
            <w:tcW w:w="3628" w:type="dxa"/>
          </w:tcPr>
          <w:p>
            <w:pPr>
              <w:pStyle w:val="0"/>
              <w:jc w:val="center"/>
            </w:pPr>
            <w:r>
              <w:rPr>
                <w:sz w:val="20"/>
              </w:rPr>
              <w:t xml:space="preserve">2</w:t>
            </w:r>
          </w:p>
        </w:tc>
        <w:tc>
          <w:tcPr>
            <w:gridSpan w:val="2"/>
            <w:tcW w:w="6917" w:type="dxa"/>
          </w:tcPr>
          <w:p>
            <w:pPr>
              <w:pStyle w:val="0"/>
              <w:jc w:val="center"/>
            </w:pPr>
            <w:r>
              <w:rPr>
                <w:sz w:val="20"/>
              </w:rPr>
              <w:t xml:space="preserve">3</w:t>
            </w:r>
          </w:p>
        </w:tc>
        <w:tc>
          <w:tcPr>
            <w:tcW w:w="1474" w:type="dxa"/>
          </w:tcPr>
          <w:p>
            <w:pPr>
              <w:pStyle w:val="0"/>
              <w:jc w:val="center"/>
            </w:pPr>
            <w:r>
              <w:rPr>
                <w:sz w:val="20"/>
              </w:rPr>
              <w:t xml:space="preserve">4</w:t>
            </w:r>
          </w:p>
        </w:tc>
      </w:tr>
      <w:tr>
        <w:tc>
          <w:tcPr>
            <w:tcW w:w="737" w:type="dxa"/>
          </w:tcPr>
          <w:p>
            <w:pPr>
              <w:pStyle w:val="0"/>
            </w:pPr>
            <w:r>
              <w:rPr>
                <w:sz w:val="20"/>
              </w:rPr>
              <w:t xml:space="preserve">1</w:t>
            </w:r>
          </w:p>
        </w:tc>
        <w:tc>
          <w:tcPr>
            <w:tcW w:w="3628" w:type="dxa"/>
          </w:tcPr>
          <w:p>
            <w:pPr>
              <w:pStyle w:val="0"/>
            </w:pPr>
            <w:r>
              <w:rPr>
                <w:sz w:val="20"/>
              </w:rPr>
              <w:t xml:space="preserve">Вид деятельности</w:t>
            </w:r>
          </w:p>
        </w:tc>
        <w:tc>
          <w:tcPr>
            <w:gridSpan w:val="2"/>
            <w:tcW w:w="6917" w:type="dxa"/>
          </w:tcPr>
          <w:p>
            <w:pPr>
              <w:pStyle w:val="0"/>
            </w:pPr>
            <w:r>
              <w:rPr>
                <w:sz w:val="20"/>
              </w:rPr>
              <w:t xml:space="preserve">100 баллов - 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w:t>
            </w:r>
            <w:hyperlink w:history="0" r:id="rId63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пунктами 1</w:t>
              </w:r>
            </w:hyperlink>
            <w:r>
              <w:rPr>
                <w:sz w:val="20"/>
              </w:rPr>
              <w:t xml:space="preserve"> и </w:t>
            </w:r>
            <w:hyperlink w:history="0" r:id="rId63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2 части 1 статьи 24.1</w:t>
              </w:r>
            </w:hyperlink>
            <w:r>
              <w:rPr>
                <w:sz w:val="20"/>
              </w:rPr>
              <w:t xml:space="preserve"> Федерального закона N 209-ФЗ;</w:t>
            </w:r>
          </w:p>
          <w:p>
            <w:pPr>
              <w:pStyle w:val="0"/>
            </w:pPr>
            <w:r>
              <w:rPr>
                <w:sz w:val="20"/>
              </w:rPr>
              <w:t xml:space="preserve">0 баллов - лица, не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w:t>
            </w:r>
            <w:hyperlink w:history="0" r:id="rId63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пунктами 1</w:t>
              </w:r>
            </w:hyperlink>
            <w:r>
              <w:rPr>
                <w:sz w:val="20"/>
              </w:rPr>
              <w:t xml:space="preserve"> и </w:t>
            </w:r>
            <w:hyperlink w:history="0" r:id="rId63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2 части 1 статьи 24.1</w:t>
              </w:r>
            </w:hyperlink>
            <w:r>
              <w:rPr>
                <w:sz w:val="20"/>
              </w:rPr>
              <w:t xml:space="preserve"> Федерального закона N 209-ФЗ</w:t>
            </w:r>
          </w:p>
        </w:tc>
        <w:tc>
          <w:tcPr>
            <w:tcW w:w="1474" w:type="dxa"/>
          </w:tcPr>
          <w:p>
            <w:pPr>
              <w:pStyle w:val="0"/>
            </w:pPr>
            <w:r>
              <w:rPr>
                <w:sz w:val="20"/>
              </w:rPr>
              <w:t xml:space="preserve">0,16</w:t>
            </w:r>
          </w:p>
        </w:tc>
      </w:tr>
      <w:tr>
        <w:tc>
          <w:tcPr>
            <w:tcW w:w="737" w:type="dxa"/>
          </w:tcPr>
          <w:p>
            <w:pPr>
              <w:pStyle w:val="0"/>
            </w:pPr>
            <w:r>
              <w:rPr>
                <w:sz w:val="20"/>
              </w:rPr>
              <w:t xml:space="preserve">2</w:t>
            </w:r>
          </w:p>
        </w:tc>
        <w:tc>
          <w:tcPr>
            <w:tcW w:w="3628" w:type="dxa"/>
          </w:tcPr>
          <w:p>
            <w:pPr>
              <w:pStyle w:val="0"/>
            </w:pPr>
            <w:r>
              <w:rPr>
                <w:sz w:val="20"/>
              </w:rPr>
              <w:t xml:space="preserve">Срок деятельности участника</w:t>
            </w:r>
          </w:p>
          <w:p>
            <w:pPr>
              <w:pStyle w:val="0"/>
            </w:pPr>
            <w:r>
              <w:rPr>
                <w:sz w:val="20"/>
              </w:rPr>
              <w:t xml:space="preserve">конкурса </w:t>
            </w:r>
            <w:hyperlink w:history="0" w:anchor="P14514" w:tooltip="&lt;1&gt; Участники конкурса, получающие баллы по данному критерию, не получают баллы по критерию &quot;Увеличение налоговых отчислений&quot;.">
              <w:r>
                <w:rPr>
                  <w:sz w:val="20"/>
                  <w:color w:val="0000ff"/>
                </w:rPr>
                <w:t xml:space="preserve">&lt;1&gt;</w:t>
              </w:r>
            </w:hyperlink>
            <w:r>
              <w:rPr>
                <w:sz w:val="20"/>
              </w:rPr>
              <w:t xml:space="preserve">, </w:t>
            </w:r>
            <w:hyperlink w:history="0" w:anchor="P14515"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r>
                <w:rPr>
                  <w:sz w:val="20"/>
                  <w:color w:val="0000ff"/>
                </w:rPr>
                <w:t xml:space="preserve">&lt;2&gt;</w:t>
              </w:r>
            </w:hyperlink>
          </w:p>
        </w:tc>
        <w:tc>
          <w:tcPr>
            <w:gridSpan w:val="2"/>
            <w:tcW w:w="6917" w:type="dxa"/>
          </w:tcPr>
          <w:p>
            <w:pPr>
              <w:pStyle w:val="0"/>
            </w:pPr>
            <w:r>
              <w:rPr>
                <w:sz w:val="20"/>
              </w:rPr>
              <w:t xml:space="preserve">100 баллов - регистрация в качестве юридического лица или индивидуального предпринимателя менее 1 года до даты подачи заявки на предоставление субсидии;</w:t>
            </w:r>
          </w:p>
          <w:p>
            <w:pPr>
              <w:pStyle w:val="0"/>
            </w:pPr>
            <w:r>
              <w:rPr>
                <w:sz w:val="20"/>
              </w:rPr>
              <w:t xml:space="preserve">0 баллов - регистрация в качестве юридического лица или индивидуального предпринимателя более 1 года до даты подачи заявки на предоставление субсидии</w:t>
            </w:r>
          </w:p>
        </w:tc>
        <w:tc>
          <w:tcPr>
            <w:tcW w:w="1474" w:type="dxa"/>
          </w:tcPr>
          <w:p>
            <w:pPr>
              <w:pStyle w:val="0"/>
            </w:pPr>
            <w:r>
              <w:rPr>
                <w:sz w:val="20"/>
              </w:rPr>
              <w:t xml:space="preserve">0,28</w:t>
            </w:r>
          </w:p>
        </w:tc>
      </w:tr>
      <w:tr>
        <w:tc>
          <w:tcPr>
            <w:tcW w:w="737" w:type="dxa"/>
          </w:tcPr>
          <w:p>
            <w:pPr>
              <w:pStyle w:val="0"/>
            </w:pPr>
            <w:r>
              <w:rPr>
                <w:sz w:val="20"/>
              </w:rPr>
              <w:t xml:space="preserve">3</w:t>
            </w:r>
          </w:p>
        </w:tc>
        <w:tc>
          <w:tcPr>
            <w:tcW w:w="3628" w:type="dxa"/>
          </w:tcPr>
          <w:p>
            <w:pPr>
              <w:pStyle w:val="0"/>
            </w:pPr>
            <w:r>
              <w:rPr>
                <w:sz w:val="20"/>
              </w:rPr>
              <w:t xml:space="preserve">Местонахождение (место жительства) и (или) место ведения деятельности участника конкурса</w:t>
            </w:r>
          </w:p>
        </w:tc>
        <w:tc>
          <w:tcPr>
            <w:gridSpan w:val="2"/>
            <w:tcW w:w="6917" w:type="dxa"/>
          </w:tcPr>
          <w:p>
            <w:pPr>
              <w:pStyle w:val="0"/>
            </w:pPr>
            <w:r>
              <w:rPr>
                <w:sz w:val="20"/>
              </w:rPr>
              <w:t xml:space="preserve">100 баллов - местонахождение (место жительства) и (или) место ведения деятельности участника конкурса на территории следующих муниципальных образований Московской области:</w:t>
            </w:r>
          </w:p>
          <w:p>
            <w:pPr>
              <w:pStyle w:val="0"/>
            </w:pPr>
            <w:r>
              <w:rPr>
                <w:sz w:val="20"/>
              </w:rPr>
              <w:t xml:space="preserve">Волоколамский муниципальный округ,</w:t>
            </w:r>
          </w:p>
          <w:p>
            <w:pPr>
              <w:pStyle w:val="0"/>
            </w:pPr>
            <w:r>
              <w:rPr>
                <w:sz w:val="20"/>
              </w:rPr>
              <w:t xml:space="preserve">муниципальный округ Зарайск,</w:t>
            </w:r>
          </w:p>
          <w:p>
            <w:pPr>
              <w:pStyle w:val="0"/>
            </w:pPr>
            <w:r>
              <w:rPr>
                <w:sz w:val="20"/>
              </w:rPr>
              <w:t xml:space="preserve">городской округ Лосино-Петровский,</w:t>
            </w:r>
          </w:p>
          <w:p>
            <w:pPr>
              <w:pStyle w:val="0"/>
            </w:pPr>
            <w:r>
              <w:rPr>
                <w:sz w:val="20"/>
              </w:rPr>
              <w:t xml:space="preserve">муниципальный округ Лотошино,</w:t>
            </w:r>
          </w:p>
          <w:p>
            <w:pPr>
              <w:pStyle w:val="0"/>
            </w:pPr>
            <w:r>
              <w:rPr>
                <w:sz w:val="20"/>
              </w:rPr>
              <w:t xml:space="preserve">муниципальный округ Луховицы,</w:t>
            </w:r>
          </w:p>
          <w:p>
            <w:pPr>
              <w:pStyle w:val="0"/>
            </w:pPr>
            <w:r>
              <w:rPr>
                <w:sz w:val="20"/>
              </w:rPr>
              <w:t xml:space="preserve">Орехово-Зуевский городской округ,</w:t>
            </w:r>
          </w:p>
          <w:p>
            <w:pPr>
              <w:pStyle w:val="0"/>
            </w:pPr>
            <w:r>
              <w:rPr>
                <w:sz w:val="20"/>
              </w:rPr>
              <w:t xml:space="preserve">муниципальный округ Серебряные Пруды,</w:t>
            </w:r>
          </w:p>
          <w:p>
            <w:pPr>
              <w:pStyle w:val="0"/>
            </w:pPr>
            <w:r>
              <w:rPr>
                <w:sz w:val="20"/>
              </w:rPr>
              <w:t xml:space="preserve">Талдомский городской округ,</w:t>
            </w:r>
          </w:p>
          <w:p>
            <w:pPr>
              <w:pStyle w:val="0"/>
            </w:pPr>
            <w:r>
              <w:rPr>
                <w:sz w:val="20"/>
              </w:rPr>
              <w:t xml:space="preserve">муниципальный округ Шатура,</w:t>
            </w:r>
          </w:p>
          <w:p>
            <w:pPr>
              <w:pStyle w:val="0"/>
            </w:pPr>
            <w:r>
              <w:rPr>
                <w:sz w:val="20"/>
              </w:rPr>
              <w:t xml:space="preserve">муниципальный округ Шаховская.</w:t>
            </w:r>
          </w:p>
          <w:p>
            <w:pPr>
              <w:pStyle w:val="0"/>
            </w:pPr>
            <w:r>
              <w:rPr>
                <w:sz w:val="20"/>
              </w:rPr>
              <w:t xml:space="preserve">0 баллов - местонахождение (место жительства) и (или) место ведения деятельности участника конкурса на территории иных муниципальных образований Московской области (за исключением Волоколамского муниципального округа, муниципального округа Зарайск, городского округа Лосино-Петровский, муниципального округа Лотошино, муниципального округа Луховицы, Орехово-Зуевского городского округа, муниципального округа Серебряные Пруды, Талдомского городского округа, муниципального округа Шатура, муниципального округа Шаховская)</w:t>
            </w:r>
          </w:p>
        </w:tc>
        <w:tc>
          <w:tcPr>
            <w:tcW w:w="1474" w:type="dxa"/>
          </w:tcPr>
          <w:p>
            <w:pPr>
              <w:pStyle w:val="0"/>
            </w:pPr>
            <w:r>
              <w:rPr>
                <w:sz w:val="20"/>
              </w:rPr>
              <w:t xml:space="preserve">0,16</w:t>
            </w:r>
          </w:p>
        </w:tc>
      </w:tr>
      <w:tr>
        <w:tc>
          <w:tcPr>
            <w:tcW w:w="737" w:type="dxa"/>
            <w:vMerge w:val="restart"/>
          </w:tcPr>
          <w:p>
            <w:pPr>
              <w:pStyle w:val="0"/>
            </w:pPr>
            <w:r>
              <w:rPr>
                <w:sz w:val="20"/>
              </w:rPr>
              <w:t xml:space="preserve">4</w:t>
            </w:r>
          </w:p>
        </w:tc>
        <w:tc>
          <w:tcPr>
            <w:tcW w:w="3628" w:type="dxa"/>
            <w:vMerge w:val="restart"/>
          </w:tcPr>
          <w:p>
            <w:pPr>
              <w:pStyle w:val="0"/>
            </w:pPr>
            <w:r>
              <w:rPr>
                <w:sz w:val="20"/>
              </w:rPr>
              <w:t xml:space="preserve">Увеличение налоговых отчислений </w:t>
            </w:r>
            <w:hyperlink w:history="0" w:anchor="P14516"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r>
                <w:rPr>
                  <w:sz w:val="20"/>
                  <w:color w:val="0000ff"/>
                </w:rPr>
                <w:t xml:space="preserve">&lt;3&gt;</w:t>
              </w:r>
            </w:hyperlink>
            <w:r>
              <w:rPr>
                <w:sz w:val="20"/>
              </w:rPr>
              <w:t xml:space="preserve">, </w:t>
            </w:r>
            <w:hyperlink w:history="0" w:anchor="P14517"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r>
                <w:rPr>
                  <w:sz w:val="20"/>
                  <w:color w:val="0000ff"/>
                </w:rPr>
                <w:t xml:space="preserve">&lt;4&gt;</w:t>
              </w:r>
            </w:hyperlink>
          </w:p>
        </w:tc>
        <w:tc>
          <w:tcPr>
            <w:tcW w:w="4139" w:type="dxa"/>
          </w:tcPr>
          <w:p>
            <w:pPr>
              <w:pStyle w:val="0"/>
            </w:pPr>
            <w:r>
              <w:rPr>
                <w:sz w:val="20"/>
              </w:rPr>
              <w:t xml:space="preserve">%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2778" w:type="dxa"/>
          </w:tcPr>
          <w:p>
            <w:pPr>
              <w:pStyle w:val="0"/>
            </w:pPr>
            <w:r>
              <w:rPr>
                <w:sz w:val="20"/>
              </w:rPr>
              <w:t xml:space="preserve">баллы</w:t>
            </w:r>
          </w:p>
        </w:tc>
        <w:tc>
          <w:tcPr>
            <w:tcW w:w="1474" w:type="dxa"/>
          </w:tcPr>
          <w:p>
            <w:pPr>
              <w:pStyle w:val="0"/>
            </w:pPr>
            <w:r>
              <w:rPr>
                <w:sz w:val="20"/>
              </w:rPr>
            </w:r>
          </w:p>
        </w:tc>
      </w:tr>
      <w:tr>
        <w:tc>
          <w:tcPr>
            <w:vMerge w:val="continue"/>
          </w:tcPr>
          <w:p/>
        </w:tc>
        <w:tc>
          <w:tcPr>
            <w:vMerge w:val="continue"/>
          </w:tcPr>
          <w:p/>
        </w:tc>
        <w:tc>
          <w:tcPr>
            <w:tcW w:w="4139" w:type="dxa"/>
          </w:tcPr>
          <w:p>
            <w:pPr>
              <w:pStyle w:val="0"/>
            </w:pPr>
            <w:r>
              <w:rPr>
                <w:sz w:val="20"/>
              </w:rPr>
              <w:t xml:space="preserve">&gt;= 0 - &lt; 5%</w:t>
            </w:r>
          </w:p>
        </w:tc>
        <w:tc>
          <w:tcPr>
            <w:tcW w:w="2778" w:type="dxa"/>
          </w:tcPr>
          <w:p>
            <w:pPr>
              <w:pStyle w:val="0"/>
            </w:pPr>
            <w:r>
              <w:rPr>
                <w:sz w:val="20"/>
              </w:rPr>
              <w:t xml:space="preserve">0</w:t>
            </w:r>
          </w:p>
        </w:tc>
        <w:tc>
          <w:tcPr>
            <w:tcW w:w="1474" w:type="dxa"/>
            <w:vMerge w:val="restart"/>
          </w:tcPr>
          <w:p>
            <w:pPr>
              <w:pStyle w:val="0"/>
            </w:pPr>
            <w:r>
              <w:rPr>
                <w:sz w:val="20"/>
              </w:rPr>
              <w:t xml:space="preserve">0,24</w:t>
            </w:r>
          </w:p>
        </w:tc>
      </w:tr>
      <w:tr>
        <w:tc>
          <w:tcPr>
            <w:vMerge w:val="continue"/>
          </w:tcPr>
          <w:p/>
        </w:tc>
        <w:tc>
          <w:tcPr>
            <w:vMerge w:val="continue"/>
          </w:tcPr>
          <w:p/>
        </w:tc>
        <w:tc>
          <w:tcPr>
            <w:tcW w:w="4139" w:type="dxa"/>
          </w:tcPr>
          <w:p>
            <w:pPr>
              <w:pStyle w:val="0"/>
            </w:pPr>
            <w:r>
              <w:rPr>
                <w:sz w:val="20"/>
              </w:rPr>
              <w:t xml:space="preserve">&gt;= 5 - &lt; 10%</w:t>
            </w:r>
          </w:p>
        </w:tc>
        <w:tc>
          <w:tcPr>
            <w:tcW w:w="2778" w:type="dxa"/>
          </w:tcPr>
          <w:p>
            <w:pPr>
              <w:pStyle w:val="0"/>
            </w:pPr>
            <w:r>
              <w:rPr>
                <w:sz w:val="20"/>
              </w:rPr>
              <w:t xml:space="preserve">10</w:t>
            </w:r>
          </w:p>
        </w:tc>
        <w:tc>
          <w:tcPr>
            <w:vMerge w:val="continue"/>
          </w:tcPr>
          <w:p/>
        </w:tc>
      </w:tr>
      <w:tr>
        <w:tc>
          <w:tcPr>
            <w:vMerge w:val="continue"/>
          </w:tcPr>
          <w:p/>
        </w:tc>
        <w:tc>
          <w:tcPr>
            <w:vMerge w:val="continue"/>
          </w:tcPr>
          <w:p/>
        </w:tc>
        <w:tc>
          <w:tcPr>
            <w:tcW w:w="4139" w:type="dxa"/>
          </w:tcPr>
          <w:p>
            <w:pPr>
              <w:pStyle w:val="0"/>
            </w:pPr>
            <w:r>
              <w:rPr>
                <w:sz w:val="20"/>
              </w:rPr>
              <w:t xml:space="preserve">&gt;= 10 - &lt; 15%</w:t>
            </w:r>
          </w:p>
        </w:tc>
        <w:tc>
          <w:tcPr>
            <w:tcW w:w="2778" w:type="dxa"/>
          </w:tcPr>
          <w:p>
            <w:pPr>
              <w:pStyle w:val="0"/>
            </w:pPr>
            <w:r>
              <w:rPr>
                <w:sz w:val="20"/>
              </w:rPr>
              <w:t xml:space="preserve">20</w:t>
            </w:r>
          </w:p>
        </w:tc>
        <w:tc>
          <w:tcPr>
            <w:vMerge w:val="continue"/>
          </w:tcPr>
          <w:p/>
        </w:tc>
      </w:tr>
      <w:tr>
        <w:tc>
          <w:tcPr>
            <w:vMerge w:val="continue"/>
          </w:tcPr>
          <w:p/>
        </w:tc>
        <w:tc>
          <w:tcPr>
            <w:vMerge w:val="continue"/>
          </w:tcPr>
          <w:p/>
        </w:tc>
        <w:tc>
          <w:tcPr>
            <w:tcW w:w="4139" w:type="dxa"/>
          </w:tcPr>
          <w:p>
            <w:pPr>
              <w:pStyle w:val="0"/>
            </w:pPr>
            <w:r>
              <w:rPr>
                <w:sz w:val="20"/>
              </w:rPr>
              <w:t xml:space="preserve">&gt;= 15 - &lt; 20%</w:t>
            </w:r>
          </w:p>
        </w:tc>
        <w:tc>
          <w:tcPr>
            <w:tcW w:w="2778" w:type="dxa"/>
          </w:tcPr>
          <w:p>
            <w:pPr>
              <w:pStyle w:val="0"/>
            </w:pPr>
            <w:r>
              <w:rPr>
                <w:sz w:val="20"/>
              </w:rPr>
              <w:t xml:space="preserve">30</w:t>
            </w:r>
          </w:p>
        </w:tc>
        <w:tc>
          <w:tcPr>
            <w:vMerge w:val="continue"/>
          </w:tcPr>
          <w:p/>
        </w:tc>
      </w:tr>
      <w:tr>
        <w:tc>
          <w:tcPr>
            <w:vMerge w:val="continue"/>
          </w:tcPr>
          <w:p/>
        </w:tc>
        <w:tc>
          <w:tcPr>
            <w:vMerge w:val="continue"/>
          </w:tcPr>
          <w:p/>
        </w:tc>
        <w:tc>
          <w:tcPr>
            <w:tcW w:w="4139" w:type="dxa"/>
          </w:tcPr>
          <w:p>
            <w:pPr>
              <w:pStyle w:val="0"/>
            </w:pPr>
            <w:r>
              <w:rPr>
                <w:sz w:val="20"/>
              </w:rPr>
              <w:t xml:space="preserve">&gt;= 20 - &lt; 25%</w:t>
            </w:r>
          </w:p>
        </w:tc>
        <w:tc>
          <w:tcPr>
            <w:tcW w:w="2778" w:type="dxa"/>
          </w:tcPr>
          <w:p>
            <w:pPr>
              <w:pStyle w:val="0"/>
            </w:pPr>
            <w:r>
              <w:rPr>
                <w:sz w:val="20"/>
              </w:rPr>
              <w:t xml:space="preserve">40</w:t>
            </w:r>
          </w:p>
        </w:tc>
        <w:tc>
          <w:tcPr>
            <w:vMerge w:val="continue"/>
          </w:tcPr>
          <w:p/>
        </w:tc>
      </w:tr>
      <w:tr>
        <w:tc>
          <w:tcPr>
            <w:vMerge w:val="continue"/>
          </w:tcPr>
          <w:p/>
        </w:tc>
        <w:tc>
          <w:tcPr>
            <w:vMerge w:val="continue"/>
          </w:tcPr>
          <w:p/>
        </w:tc>
        <w:tc>
          <w:tcPr>
            <w:tcW w:w="4139" w:type="dxa"/>
          </w:tcPr>
          <w:p>
            <w:pPr>
              <w:pStyle w:val="0"/>
            </w:pPr>
            <w:r>
              <w:rPr>
                <w:sz w:val="20"/>
              </w:rPr>
              <w:t xml:space="preserve">&gt;= 25 - &lt; 30%</w:t>
            </w:r>
          </w:p>
        </w:tc>
        <w:tc>
          <w:tcPr>
            <w:tcW w:w="2778" w:type="dxa"/>
          </w:tcPr>
          <w:p>
            <w:pPr>
              <w:pStyle w:val="0"/>
            </w:pPr>
            <w:r>
              <w:rPr>
                <w:sz w:val="20"/>
              </w:rPr>
              <w:t xml:space="preserve">50</w:t>
            </w:r>
          </w:p>
        </w:tc>
        <w:tc>
          <w:tcPr>
            <w:vMerge w:val="continue"/>
          </w:tcPr>
          <w:p/>
        </w:tc>
      </w:tr>
      <w:tr>
        <w:tc>
          <w:tcPr>
            <w:vMerge w:val="continue"/>
          </w:tcPr>
          <w:p/>
        </w:tc>
        <w:tc>
          <w:tcPr>
            <w:vMerge w:val="continue"/>
          </w:tcPr>
          <w:p/>
        </w:tc>
        <w:tc>
          <w:tcPr>
            <w:tcW w:w="4139" w:type="dxa"/>
          </w:tcPr>
          <w:p>
            <w:pPr>
              <w:pStyle w:val="0"/>
            </w:pPr>
            <w:r>
              <w:rPr>
                <w:sz w:val="20"/>
              </w:rPr>
              <w:t xml:space="preserve">&gt;= 30 - &lt; 35%</w:t>
            </w:r>
          </w:p>
        </w:tc>
        <w:tc>
          <w:tcPr>
            <w:tcW w:w="2778" w:type="dxa"/>
          </w:tcPr>
          <w:p>
            <w:pPr>
              <w:pStyle w:val="0"/>
            </w:pPr>
            <w:r>
              <w:rPr>
                <w:sz w:val="20"/>
              </w:rPr>
              <w:t xml:space="preserve">60</w:t>
            </w:r>
          </w:p>
        </w:tc>
        <w:tc>
          <w:tcPr>
            <w:vMerge w:val="continue"/>
          </w:tcPr>
          <w:p/>
        </w:tc>
      </w:tr>
      <w:tr>
        <w:tc>
          <w:tcPr>
            <w:vMerge w:val="continue"/>
          </w:tcPr>
          <w:p/>
        </w:tc>
        <w:tc>
          <w:tcPr>
            <w:vMerge w:val="continue"/>
          </w:tcPr>
          <w:p/>
        </w:tc>
        <w:tc>
          <w:tcPr>
            <w:tcW w:w="4139" w:type="dxa"/>
          </w:tcPr>
          <w:p>
            <w:pPr>
              <w:pStyle w:val="0"/>
            </w:pPr>
            <w:r>
              <w:rPr>
                <w:sz w:val="20"/>
              </w:rPr>
              <w:t xml:space="preserve">&gt;= 35 - &lt; 40%</w:t>
            </w:r>
          </w:p>
        </w:tc>
        <w:tc>
          <w:tcPr>
            <w:tcW w:w="2778" w:type="dxa"/>
          </w:tcPr>
          <w:p>
            <w:pPr>
              <w:pStyle w:val="0"/>
            </w:pPr>
            <w:r>
              <w:rPr>
                <w:sz w:val="20"/>
              </w:rPr>
              <w:t xml:space="preserve">70</w:t>
            </w:r>
          </w:p>
        </w:tc>
        <w:tc>
          <w:tcPr>
            <w:vMerge w:val="continue"/>
          </w:tcPr>
          <w:p/>
        </w:tc>
      </w:tr>
      <w:tr>
        <w:tc>
          <w:tcPr>
            <w:vMerge w:val="continue"/>
          </w:tcPr>
          <w:p/>
        </w:tc>
        <w:tc>
          <w:tcPr>
            <w:vMerge w:val="continue"/>
          </w:tcPr>
          <w:p/>
        </w:tc>
        <w:tc>
          <w:tcPr>
            <w:tcW w:w="4139" w:type="dxa"/>
          </w:tcPr>
          <w:p>
            <w:pPr>
              <w:pStyle w:val="0"/>
            </w:pPr>
            <w:r>
              <w:rPr>
                <w:sz w:val="20"/>
              </w:rPr>
              <w:t xml:space="preserve">&gt;= 40 - &lt; 45%</w:t>
            </w:r>
          </w:p>
        </w:tc>
        <w:tc>
          <w:tcPr>
            <w:tcW w:w="2778" w:type="dxa"/>
          </w:tcPr>
          <w:p>
            <w:pPr>
              <w:pStyle w:val="0"/>
            </w:pPr>
            <w:r>
              <w:rPr>
                <w:sz w:val="20"/>
              </w:rPr>
              <w:t xml:space="preserve">80</w:t>
            </w:r>
          </w:p>
        </w:tc>
        <w:tc>
          <w:tcPr>
            <w:vMerge w:val="continue"/>
          </w:tcPr>
          <w:p/>
        </w:tc>
      </w:tr>
      <w:tr>
        <w:tc>
          <w:tcPr>
            <w:vMerge w:val="continue"/>
          </w:tcPr>
          <w:p/>
        </w:tc>
        <w:tc>
          <w:tcPr>
            <w:vMerge w:val="continue"/>
          </w:tcPr>
          <w:p/>
        </w:tc>
        <w:tc>
          <w:tcPr>
            <w:tcW w:w="4139" w:type="dxa"/>
          </w:tcPr>
          <w:p>
            <w:pPr>
              <w:pStyle w:val="0"/>
            </w:pPr>
            <w:r>
              <w:rPr>
                <w:sz w:val="20"/>
              </w:rPr>
              <w:t xml:space="preserve">&gt;= 45 - &lt; 50%</w:t>
            </w:r>
          </w:p>
        </w:tc>
        <w:tc>
          <w:tcPr>
            <w:tcW w:w="2778" w:type="dxa"/>
          </w:tcPr>
          <w:p>
            <w:pPr>
              <w:pStyle w:val="0"/>
            </w:pPr>
            <w:r>
              <w:rPr>
                <w:sz w:val="20"/>
              </w:rPr>
              <w:t xml:space="preserve">90</w:t>
            </w:r>
          </w:p>
        </w:tc>
        <w:tc>
          <w:tcPr>
            <w:vMerge w:val="continue"/>
          </w:tcPr>
          <w:p/>
        </w:tc>
      </w:tr>
      <w:tr>
        <w:tc>
          <w:tcPr>
            <w:vMerge w:val="continue"/>
          </w:tcPr>
          <w:p/>
        </w:tc>
        <w:tc>
          <w:tcPr>
            <w:vMerge w:val="continue"/>
          </w:tcPr>
          <w:p/>
        </w:tc>
        <w:tc>
          <w:tcPr>
            <w:tcW w:w="4139" w:type="dxa"/>
          </w:tcPr>
          <w:p>
            <w:pPr>
              <w:pStyle w:val="0"/>
            </w:pPr>
            <w:r>
              <w:rPr>
                <w:sz w:val="20"/>
              </w:rPr>
              <w:t xml:space="preserve">&gt;= 50% и более</w:t>
            </w:r>
          </w:p>
        </w:tc>
        <w:tc>
          <w:tcPr>
            <w:tcW w:w="2778" w:type="dxa"/>
          </w:tcPr>
          <w:p>
            <w:pPr>
              <w:pStyle w:val="0"/>
            </w:pPr>
            <w:r>
              <w:rPr>
                <w:sz w:val="20"/>
              </w:rPr>
              <w:t xml:space="preserve">100</w:t>
            </w:r>
          </w:p>
        </w:tc>
        <w:tc>
          <w:tcPr>
            <w:vMerge w:val="continue"/>
          </w:tcPr>
          <w:p/>
        </w:tc>
      </w:tr>
      <w:tr>
        <w:tc>
          <w:tcPr>
            <w:tcW w:w="737" w:type="dxa"/>
          </w:tcPr>
          <w:p>
            <w:pPr>
              <w:pStyle w:val="0"/>
            </w:pPr>
            <w:r>
              <w:rPr>
                <w:sz w:val="20"/>
              </w:rPr>
              <w:t xml:space="preserve">5</w:t>
            </w:r>
          </w:p>
        </w:tc>
        <w:tc>
          <w:tcPr>
            <w:tcW w:w="3628" w:type="dxa"/>
          </w:tcPr>
          <w:p>
            <w:pPr>
              <w:pStyle w:val="0"/>
            </w:pPr>
            <w:r>
              <w:rPr>
                <w:sz w:val="20"/>
              </w:rPr>
              <w:t xml:space="preserve">Осуществление субъектом МСП, имеющим статус социального предприятия, лицензируемого вида деятельности</w:t>
            </w:r>
          </w:p>
        </w:tc>
        <w:tc>
          <w:tcPr>
            <w:gridSpan w:val="2"/>
            <w:tcW w:w="6917" w:type="dxa"/>
          </w:tcPr>
          <w:p>
            <w:pPr>
              <w:pStyle w:val="0"/>
            </w:pPr>
            <w:r>
              <w:rPr>
                <w:sz w:val="20"/>
              </w:rPr>
              <w:t xml:space="preserve">100 баллов - наличие у участника конкурса лицензии;</w:t>
            </w:r>
          </w:p>
          <w:p>
            <w:pPr>
              <w:pStyle w:val="0"/>
            </w:pPr>
            <w:r>
              <w:rPr>
                <w:sz w:val="20"/>
              </w:rPr>
              <w:t xml:space="preserve">0 баллов - отсутствие у участника конкурса лицензии</w:t>
            </w:r>
          </w:p>
        </w:tc>
        <w:tc>
          <w:tcPr>
            <w:tcW w:w="1474" w:type="dxa"/>
          </w:tcPr>
          <w:p>
            <w:pPr>
              <w:pStyle w:val="0"/>
            </w:pPr>
            <w:r>
              <w:rPr>
                <w:sz w:val="20"/>
              </w:rPr>
              <w:t xml:space="preserve">0,08</w:t>
            </w:r>
          </w:p>
        </w:tc>
      </w:tr>
      <w:tr>
        <w:tc>
          <w:tcPr>
            <w:tcW w:w="737" w:type="dxa"/>
          </w:tcPr>
          <w:p>
            <w:pPr>
              <w:pStyle w:val="0"/>
            </w:pPr>
            <w:r>
              <w:rPr>
                <w:sz w:val="20"/>
              </w:rPr>
              <w:t xml:space="preserve">6</w:t>
            </w:r>
          </w:p>
        </w:tc>
        <w:tc>
          <w:tcPr>
            <w:tcW w:w="3628" w:type="dxa"/>
          </w:tcPr>
          <w:p>
            <w:pPr>
              <w:pStyle w:val="0"/>
            </w:pPr>
            <w:r>
              <w:rPr>
                <w:sz w:val="20"/>
              </w:rPr>
              <w:t xml:space="preserve">Нахождение участника конкурса в реестре участников региональной </w:t>
            </w:r>
            <w:hyperlink w:history="0" r:id="rId635" w:tooltip="Распоряжение Правительства МО от 30.10.2023 N 780-РП (ред. от 23.05.2024) &quot;Об утверждении региональной программы по поддержке и продвижению брендов Московской области &quot;100% Подмосковье&quot; ------------ Недействующая редакция {КонсультантПлюс}">
              <w:r>
                <w:rPr>
                  <w:sz w:val="20"/>
                  <w:color w:val="0000ff"/>
                </w:rPr>
                <w:t xml:space="preserve">программы</w:t>
              </w:r>
            </w:hyperlink>
            <w:r>
              <w:rPr>
                <w:sz w:val="20"/>
              </w:rPr>
              <w:t xml:space="preserve"> по поддержке и продвижению брендов Московской области "100% Подмосковье", утвержденной распоряжением Правительства Московской области от 30.10.2023 N 780-РП "Об утверждении региональной программы по поддержке и продвижению брендов Московской области "100% Подмосковье" (далее - Реестр "100% Подмосковье")</w:t>
            </w:r>
          </w:p>
        </w:tc>
        <w:tc>
          <w:tcPr>
            <w:gridSpan w:val="2"/>
            <w:tcW w:w="6917" w:type="dxa"/>
          </w:tcPr>
          <w:p>
            <w:pPr>
              <w:pStyle w:val="0"/>
            </w:pPr>
            <w:r>
              <w:rPr>
                <w:sz w:val="20"/>
              </w:rPr>
              <w:t xml:space="preserve">100 баллов - наличие участника конкурса в Реестре "100% Подмосковье";</w:t>
            </w:r>
          </w:p>
          <w:p>
            <w:pPr>
              <w:pStyle w:val="0"/>
            </w:pPr>
            <w:r>
              <w:rPr>
                <w:sz w:val="20"/>
              </w:rPr>
              <w:t xml:space="preserve">0 баллов - участник конкурса не включен в Реестр "100% Подмосковье"</w:t>
            </w:r>
          </w:p>
        </w:tc>
        <w:tc>
          <w:tcPr>
            <w:tcW w:w="1474" w:type="dxa"/>
          </w:tcPr>
          <w:p>
            <w:pPr>
              <w:pStyle w:val="0"/>
            </w:pPr>
            <w:r>
              <w:rPr>
                <w:sz w:val="20"/>
              </w:rPr>
              <w:t xml:space="preserve">0,08</w:t>
            </w:r>
          </w:p>
        </w:tc>
      </w:tr>
    </w:tbl>
    <w:p>
      <w:pPr>
        <w:sectPr>
          <w:headerReference w:type="default" r:id="rId148"/>
          <w:headerReference w:type="first" r:id="rId148"/>
          <w:footerReference w:type="default" r:id="rId149"/>
          <w:footerReference w:type="first" r:id="rId14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4514" w:name="P14514"/>
    <w:bookmarkEnd w:id="14514"/>
    <w:p>
      <w:pPr>
        <w:pStyle w:val="0"/>
        <w:spacing w:before="200" w:line-rule="auto"/>
        <w:ind w:firstLine="540"/>
        <w:jc w:val="both"/>
      </w:pPr>
      <w:r>
        <w:rPr>
          <w:sz w:val="20"/>
        </w:rPr>
        <w:t xml:space="preserve">&lt;1&gt; Участники конкурса, получающие баллы по данному критерию, не получают баллы по критерию "Увеличение налоговых отчислений".</w:t>
      </w:r>
    </w:p>
    <w:bookmarkStart w:id="14515" w:name="P14515"/>
    <w:bookmarkEnd w:id="14515"/>
    <w:p>
      <w:pPr>
        <w:pStyle w:val="0"/>
        <w:spacing w:before="200" w:line-rule="auto"/>
        <w:ind w:firstLine="540"/>
        <w:jc w:val="both"/>
      </w:pPr>
      <w:r>
        <w:rPr>
          <w:sz w:val="20"/>
        </w:rPr>
        <w:t xml:space="preserve">&lt;2&gt;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bookmarkStart w:id="14516" w:name="P14516"/>
    <w:bookmarkEnd w:id="14516"/>
    <w:p>
      <w:pPr>
        <w:pStyle w:val="0"/>
        <w:spacing w:before="200" w:line-rule="auto"/>
        <w:ind w:firstLine="540"/>
        <w:jc w:val="both"/>
      </w:pPr>
      <w:r>
        <w:rPr>
          <w:sz w:val="20"/>
        </w:rPr>
        <w:t xml:space="preserve">&lt;3&gt;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bookmarkStart w:id="14517" w:name="P14517"/>
    <w:bookmarkEnd w:id="14517"/>
    <w:p>
      <w:pPr>
        <w:pStyle w:val="0"/>
        <w:spacing w:before="200" w:line-rule="auto"/>
        <w:ind w:firstLine="540"/>
        <w:jc w:val="both"/>
      </w:pPr>
      <w:r>
        <w:rPr>
          <w:sz w:val="20"/>
        </w:rPr>
        <w:t xml:space="preserve">&lt;4&gt;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14521" w:name="P14521"/>
    <w:bookmarkEnd w:id="14521"/>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документам</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Документ, удостоверяющий личность (для индивидуальных предпринимателей)</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индивидуального предпринимателя, и страница с действующей регистрацией);</w:t>
            </w:r>
          </w:p>
          <w:p>
            <w:pPr>
              <w:pStyle w:val="0"/>
            </w:pPr>
            <w:r>
              <w:rPr>
                <w:sz w:val="20"/>
              </w:rPr>
              <w:t xml:space="preserve">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(страницы, подтверждающие личность индивидуального предпринимателя, а также содержащие сведения о месте жительства)</w:t>
            </w:r>
          </w:p>
        </w:tc>
      </w:tr>
      <w:tr>
        <w:tc>
          <w:tcPr>
            <w:tcW w:w="850" w:type="dxa"/>
          </w:tcPr>
          <w:p>
            <w:pPr>
              <w:pStyle w:val="0"/>
            </w:pPr>
            <w:r>
              <w:rPr>
                <w:sz w:val="20"/>
              </w:rPr>
              <w:t xml:space="preserve">2</w:t>
            </w:r>
          </w:p>
        </w:tc>
        <w:tc>
          <w:tcPr>
            <w:gridSpan w:val="2"/>
            <w:tcW w:w="8220" w:type="dxa"/>
          </w:tcPr>
          <w:p>
            <w:pPr>
              <w:pStyle w:val="0"/>
            </w:pPr>
            <w:r>
              <w:rPr>
                <w:sz w:val="20"/>
              </w:rPr>
              <w:t xml:space="preserve">Документы, представляемые в случае подачи заявки уполномоченным руководителем юридического лица или индивидуального предпринимателя лицом:</w:t>
            </w:r>
          </w:p>
        </w:tc>
      </w:tr>
      <w:tr>
        <w:tc>
          <w:tcPr>
            <w:tcW w:w="850" w:type="dxa"/>
          </w:tcPr>
          <w:p>
            <w:pPr>
              <w:pStyle w:val="0"/>
            </w:pPr>
            <w:r>
              <w:rPr>
                <w:sz w:val="20"/>
              </w:rPr>
              <w:t xml:space="preserve">2.1</w:t>
            </w:r>
          </w:p>
        </w:tc>
        <w:tc>
          <w:tcPr>
            <w:tcW w:w="3118" w:type="dxa"/>
          </w:tcPr>
          <w:p>
            <w:pPr>
              <w:pStyle w:val="0"/>
            </w:pPr>
            <w:r>
              <w:rPr>
                <w:sz w:val="20"/>
              </w:rPr>
              <w:t xml:space="preserve">Доверенность, подтверждающая полномочия представителя участника конкурса</w:t>
            </w:r>
          </w:p>
        </w:tc>
        <w:tc>
          <w:tcPr>
            <w:tcW w:w="5102" w:type="dxa"/>
          </w:tcPr>
          <w:p>
            <w:pPr>
              <w:pStyle w:val="0"/>
            </w:pPr>
            <w:r>
              <w:rPr>
                <w:sz w:val="20"/>
              </w:rPr>
              <w:t xml:space="preserve">В соответствии с требованиями, установленными </w:t>
            </w:r>
            <w:hyperlink w:history="0" r:id="rId6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850" w:type="dxa"/>
          </w:tcPr>
          <w:p>
            <w:pPr>
              <w:pStyle w:val="0"/>
            </w:pPr>
            <w:r>
              <w:rPr>
                <w:sz w:val="20"/>
              </w:rPr>
              <w:t xml:space="preserve">2.2</w:t>
            </w:r>
          </w:p>
        </w:tc>
        <w:tc>
          <w:tcPr>
            <w:tcW w:w="3118" w:type="dxa"/>
          </w:tcPr>
          <w:p>
            <w:pPr>
              <w:pStyle w:val="0"/>
            </w:pPr>
            <w:r>
              <w:rPr>
                <w:sz w:val="20"/>
              </w:rPr>
              <w:t xml:space="preserve">Документ, удостоверяющий личность представителя участника конкурса</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представителя участника конкурса)</w:t>
            </w:r>
          </w:p>
        </w:tc>
      </w:tr>
      <w:tr>
        <w:tc>
          <w:tcPr>
            <w:tcW w:w="850" w:type="dxa"/>
          </w:tcPr>
          <w:p>
            <w:pPr>
              <w:pStyle w:val="0"/>
            </w:pPr>
            <w:r>
              <w:rPr>
                <w:sz w:val="20"/>
              </w:rPr>
              <w:t xml:space="preserve">3</w:t>
            </w:r>
          </w:p>
        </w:tc>
        <w:tc>
          <w:tcPr>
            <w:tcW w:w="3118" w:type="dxa"/>
          </w:tcPr>
          <w:p>
            <w:pPr>
              <w:pStyle w:val="0"/>
            </w:pPr>
            <w:r>
              <w:rPr>
                <w:sz w:val="20"/>
              </w:rPr>
              <w:t xml:space="preserve">Акт сверки по налогам, содержащий информацию о сумме уплаченных налогов за предшествующий календарный год, заверенный налоговым органом (представляется по инициативе участника конкурса)</w:t>
            </w:r>
          </w:p>
        </w:tc>
        <w:tc>
          <w:tcPr>
            <w:tcW w:w="5102" w:type="dxa"/>
          </w:tcPr>
          <w:p>
            <w:pPr>
              <w:pStyle w:val="0"/>
            </w:pPr>
            <w:r>
              <w:rPr>
                <w:sz w:val="20"/>
              </w:rPr>
              <w:t xml:space="preserve">По форме Федеральной налоговой службы</w:t>
            </w:r>
          </w:p>
        </w:tc>
      </w:tr>
    </w:tbl>
    <w:p>
      <w:pPr>
        <w:pStyle w:val="0"/>
        <w:jc w:val="both"/>
      </w:pPr>
      <w:r>
        <w:rPr>
          <w:sz w:val="20"/>
        </w:rPr>
      </w:r>
    </w:p>
    <w:p>
      <w:pPr>
        <w:pStyle w:val="0"/>
        <w:outlineLvl w:val="4"/>
        <w:jc w:val="right"/>
      </w:pPr>
      <w:r>
        <w:rPr>
          <w:sz w:val="20"/>
        </w:rPr>
        <w:t xml:space="preserve">Таблица 3</w:t>
      </w:r>
    </w:p>
    <w:p>
      <w:pPr>
        <w:pStyle w:val="0"/>
        <w:jc w:val="both"/>
      </w:pPr>
      <w:r>
        <w:rPr>
          <w:sz w:val="20"/>
        </w:rPr>
      </w:r>
    </w:p>
    <w:bookmarkStart w:id="14547" w:name="P14547"/>
    <w:bookmarkEnd w:id="14547"/>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8220"/>
      </w:tblGrid>
      <w:tr>
        <w:tc>
          <w:tcPr>
            <w:tcW w:w="850" w:type="dxa"/>
          </w:tcPr>
          <w:p>
            <w:pPr>
              <w:pStyle w:val="0"/>
              <w:jc w:val="center"/>
            </w:pPr>
            <w:r>
              <w:rPr>
                <w:sz w:val="20"/>
              </w:rPr>
              <w:t xml:space="preserve">N п/п</w:t>
            </w:r>
          </w:p>
        </w:tc>
        <w:tc>
          <w:tcPr>
            <w:tcW w:w="8220" w:type="dxa"/>
          </w:tcPr>
          <w:p>
            <w:pPr>
              <w:pStyle w:val="0"/>
              <w:jc w:val="center"/>
            </w:pPr>
            <w:r>
              <w:rPr>
                <w:sz w:val="20"/>
              </w:rPr>
              <w:t xml:space="preserve">Наименование документов и требования к ним</w:t>
            </w:r>
          </w:p>
        </w:tc>
      </w:tr>
      <w:tr>
        <w:tc>
          <w:tcPr>
            <w:tcW w:w="850" w:type="dxa"/>
          </w:tcPr>
          <w:p>
            <w:pPr>
              <w:pStyle w:val="0"/>
              <w:jc w:val="center"/>
            </w:pPr>
            <w:r>
              <w:rPr>
                <w:sz w:val="20"/>
              </w:rPr>
              <w:t xml:space="preserve">1</w:t>
            </w:r>
          </w:p>
        </w:tc>
        <w:tc>
          <w:tcPr>
            <w:tcW w:w="8220" w:type="dxa"/>
          </w:tcPr>
          <w:p>
            <w:pPr>
              <w:pStyle w:val="0"/>
              <w:jc w:val="center"/>
            </w:pPr>
            <w:r>
              <w:rPr>
                <w:sz w:val="20"/>
              </w:rPr>
              <w:t xml:space="preserve">2</w:t>
            </w:r>
          </w:p>
        </w:tc>
      </w:tr>
      <w:tr>
        <w:tc>
          <w:tcPr>
            <w:tcW w:w="850" w:type="dxa"/>
          </w:tcPr>
          <w:p>
            <w:pPr>
              <w:pStyle w:val="0"/>
              <w:outlineLvl w:val="5"/>
            </w:pPr>
            <w:r>
              <w:rPr>
                <w:sz w:val="20"/>
              </w:rPr>
              <w:t xml:space="preserve">1</w:t>
            </w:r>
          </w:p>
        </w:tc>
        <w:tc>
          <w:tcPr>
            <w:tcW w:w="8220" w:type="dxa"/>
          </w:tcPr>
          <w:p>
            <w:pPr>
              <w:pStyle w:val="0"/>
            </w:pPr>
            <w:r>
              <w:rPr>
                <w:sz w:val="20"/>
              </w:rPr>
              <w:t xml:space="preserve">Перечень документов, представляемый в соответствии возмещением затрат:</w:t>
            </w:r>
          </w:p>
        </w:tc>
      </w:tr>
      <w:tr>
        <w:tc>
          <w:tcPr>
            <w:tcW w:w="850" w:type="dxa"/>
          </w:tcPr>
          <w:p>
            <w:pPr>
              <w:pStyle w:val="0"/>
            </w:pPr>
            <w:r>
              <w:rPr>
                <w:sz w:val="20"/>
              </w:rPr>
              <w:t xml:space="preserve">1.1</w:t>
            </w:r>
          </w:p>
        </w:tc>
        <w:tc>
          <w:tcPr>
            <w:tcW w:w="8220" w:type="dxa"/>
          </w:tcPr>
          <w:p>
            <w:pPr>
              <w:pStyle w:val="0"/>
            </w:pPr>
            <w:r>
              <w:rPr>
                <w:sz w:val="20"/>
              </w:rPr>
              <w:t xml:space="preserve">Аренда (субаренда) помещения, здания, сооружения:</w:t>
            </w:r>
          </w:p>
        </w:tc>
      </w:tr>
      <w:tr>
        <w:tc>
          <w:tcPr>
            <w:tcW w:w="850" w:type="dxa"/>
          </w:tcPr>
          <w:p>
            <w:pPr>
              <w:pStyle w:val="0"/>
            </w:pPr>
            <w:r>
              <w:rPr>
                <w:sz w:val="20"/>
              </w:rPr>
              <w:t xml:space="preserve">1.1.1</w:t>
            </w:r>
          </w:p>
        </w:tc>
        <w:tc>
          <w:tcPr>
            <w:tcW w:w="8220" w:type="dxa"/>
          </w:tcPr>
          <w:p>
            <w:pPr>
              <w:pStyle w:val="0"/>
            </w:pPr>
            <w:r>
              <w:rPr>
                <w:sz w:val="20"/>
              </w:rPr>
              <w:t xml:space="preserve">1. Договор аренды (субаренды) помещения, здания, сооружения.</w:t>
            </w:r>
          </w:p>
          <w:p>
            <w:pPr>
              <w:pStyle w:val="0"/>
            </w:pPr>
            <w:r>
              <w:rPr>
                <w:sz w:val="20"/>
              </w:rPr>
              <w:t xml:space="preserve">2. Акт приема-передачи помещения, здания, сооружения.</w:t>
            </w:r>
          </w:p>
          <w:p>
            <w:pPr>
              <w:pStyle w:val="0"/>
            </w:pPr>
            <w:r>
              <w:rPr>
                <w:sz w:val="20"/>
              </w:rPr>
              <w:t xml:space="preserve">3. Платежное поручение (со ссылкой в назначении платежа на договор (счет) и период оплаты).</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6.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1.2</w:t>
            </w:r>
          </w:p>
        </w:tc>
        <w:tc>
          <w:tcPr>
            <w:tcW w:w="8220" w:type="dxa"/>
          </w:tcPr>
          <w:p>
            <w:pPr>
              <w:pStyle w:val="0"/>
            </w:pPr>
            <w:r>
              <w:rPr>
                <w:sz w:val="20"/>
              </w:rPr>
              <w:t xml:space="preserve">Коммунальные услуги (документы представляются в случае, если коммунальные услуги не учитываются в составе арендной платы или помещение приобретено в собственность):</w:t>
            </w:r>
          </w:p>
        </w:tc>
      </w:tr>
      <w:tr>
        <w:tc>
          <w:tcPr>
            <w:tcW w:w="850" w:type="dxa"/>
          </w:tcPr>
          <w:p>
            <w:pPr>
              <w:pStyle w:val="0"/>
            </w:pPr>
            <w:r>
              <w:rPr>
                <w:sz w:val="20"/>
              </w:rPr>
              <w:t xml:space="preserve">1.2.1</w:t>
            </w:r>
          </w:p>
        </w:tc>
        <w:tc>
          <w:tcPr>
            <w:tcW w:w="8220" w:type="dxa"/>
          </w:tcPr>
          <w:p>
            <w:pPr>
              <w:pStyle w:val="0"/>
            </w:pPr>
            <w:r>
              <w:rPr>
                <w:sz w:val="20"/>
              </w:rPr>
              <w:t xml:space="preserve">1. Выписка из ЕГРН (если помещение находится на праве собственности или заключен договор аренды (субаренды) на срок не менее 1 года).</w:t>
            </w:r>
          </w:p>
          <w:p>
            <w:pPr>
              <w:pStyle w:val="0"/>
            </w:pPr>
            <w:r>
              <w:rPr>
                <w:sz w:val="20"/>
              </w:rPr>
              <w:t xml:space="preserve">2. Договор аренды (субаренды) помещения (если помещение находится на праве аренды).</w:t>
            </w:r>
          </w:p>
          <w:p>
            <w:pPr>
              <w:pStyle w:val="0"/>
            </w:pPr>
            <w:r>
              <w:rPr>
                <w:sz w:val="20"/>
              </w:rPr>
              <w:t xml:space="preserve">3. Акт приема-передачи помещения.</w:t>
            </w:r>
          </w:p>
          <w:p>
            <w:pPr>
              <w:pStyle w:val="0"/>
            </w:pPr>
            <w:r>
              <w:rPr>
                <w:sz w:val="20"/>
              </w:rPr>
              <w:t xml:space="preserve">4. Договоры с поставщиками услуг (если оплата услуг производится собственником помещения).</w:t>
            </w:r>
          </w:p>
          <w:p>
            <w:pPr>
              <w:pStyle w:val="0"/>
            </w:pPr>
            <w:r>
              <w:rPr>
                <w:sz w:val="20"/>
              </w:rPr>
              <w:t xml:space="preserve">5. Платежное поручение.</w:t>
            </w:r>
          </w:p>
          <w:p>
            <w:pPr>
              <w:pStyle w:val="0"/>
            </w:pPr>
            <w:r>
              <w:rPr>
                <w:sz w:val="20"/>
              </w:rPr>
              <w:t xml:space="preserve">6. Счет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 и (или) счет на оплату (если коммунальные платежи уплачиваются поставщикам коммунальных услуг и услуг электроснабжения).</w:t>
            </w:r>
          </w:p>
          <w:p>
            <w:pPr>
              <w:pStyle w:val="0"/>
            </w:pPr>
            <w:r>
              <w:rPr>
                <w:sz w:val="20"/>
              </w:rPr>
              <w:t xml:space="preserve">7. Выписка банка, подтверждающая оплату по договору с поставщиками услуг.</w:t>
            </w:r>
          </w:p>
          <w:p>
            <w:pPr>
              <w:pStyle w:val="0"/>
            </w:pPr>
            <w:r>
              <w:rPr>
                <w:sz w:val="20"/>
              </w:rPr>
              <w:t xml:space="preserve">8.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1.3</w:t>
            </w:r>
          </w:p>
        </w:tc>
        <w:tc>
          <w:tcPr>
            <w:tcW w:w="8220" w:type="dxa"/>
          </w:tcPr>
          <w:p>
            <w:pPr>
              <w:pStyle w:val="0"/>
            </w:pPr>
            <w:r>
              <w:rPr>
                <w:sz w:val="20"/>
              </w:rPr>
              <w:t xml:space="preserve">Выкуп помещения:</w:t>
            </w:r>
          </w:p>
        </w:tc>
      </w:tr>
      <w:tr>
        <w:tc>
          <w:tcPr>
            <w:tcW w:w="850" w:type="dxa"/>
          </w:tcPr>
          <w:p>
            <w:pPr>
              <w:pStyle w:val="0"/>
            </w:pPr>
            <w:r>
              <w:rPr>
                <w:sz w:val="20"/>
              </w:rPr>
              <w:t xml:space="preserve">1.3.1</w:t>
            </w:r>
          </w:p>
        </w:tc>
        <w:tc>
          <w:tcPr>
            <w:tcW w:w="8220" w:type="dxa"/>
          </w:tcPr>
          <w:p>
            <w:pPr>
              <w:pStyle w:val="0"/>
            </w:pPr>
            <w:r>
              <w:rPr>
                <w:sz w:val="20"/>
              </w:rPr>
              <w:t xml:space="preserve">1. Договор купли-продажи помещения (иной договор о приобретении помещения в собственность).</w:t>
            </w:r>
          </w:p>
          <w:p>
            <w:pPr>
              <w:pStyle w:val="0"/>
            </w:pPr>
            <w:r>
              <w:rPr>
                <w:sz w:val="20"/>
              </w:rPr>
              <w:t xml:space="preserve">2. Акт приема-передачи помещения.</w:t>
            </w:r>
          </w:p>
          <w:p>
            <w:pPr>
              <w:pStyle w:val="0"/>
            </w:pPr>
            <w:r>
              <w:rPr>
                <w:sz w:val="20"/>
              </w:rPr>
              <w:t xml:space="preserve">3. Платежное поручение.</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6.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1.4</w:t>
            </w:r>
          </w:p>
        </w:tc>
        <w:tc>
          <w:tcPr>
            <w:tcW w:w="8220" w:type="dxa"/>
          </w:tcPr>
          <w:p>
            <w:pPr>
              <w:pStyle w:val="0"/>
            </w:pPr>
            <w:r>
              <w:rPr>
                <w:sz w:val="20"/>
              </w:rPr>
              <w:t xml:space="preserve">Текущий ремонт помещения подрядным способом:</w:t>
            </w:r>
          </w:p>
        </w:tc>
      </w:tr>
      <w:tr>
        <w:tc>
          <w:tcPr>
            <w:tcW w:w="850" w:type="dxa"/>
          </w:tcPr>
          <w:p>
            <w:pPr>
              <w:pStyle w:val="0"/>
            </w:pPr>
            <w:r>
              <w:rPr>
                <w:sz w:val="20"/>
              </w:rPr>
              <w:t xml:space="preserve">1.4.1</w:t>
            </w:r>
          </w:p>
        </w:tc>
        <w:tc>
          <w:tcPr>
            <w:tcW w:w="8220" w:type="dxa"/>
          </w:tcPr>
          <w:p>
            <w:pPr>
              <w:pStyle w:val="0"/>
            </w:pPr>
            <w:r>
              <w:rPr>
                <w:sz w:val="20"/>
              </w:rPr>
              <w:t xml:space="preserve">1. Выписка из ЕГРН (если помещение находится на праве собственности или заключен договор аренды (субаренды) на срок не менее одного года).</w:t>
            </w:r>
          </w:p>
          <w:p>
            <w:pPr>
              <w:pStyle w:val="0"/>
            </w:pPr>
            <w:r>
              <w:rPr>
                <w:sz w:val="20"/>
              </w:rPr>
              <w:t xml:space="preserve">2. Договор аренды (субаренды) нежилого помещения (если помещение находится на праве аренды).</w:t>
            </w:r>
          </w:p>
          <w:p>
            <w:pPr>
              <w:pStyle w:val="0"/>
            </w:pPr>
            <w:r>
              <w:rPr>
                <w:sz w:val="20"/>
              </w:rPr>
              <w:t xml:space="preserve">3. Акт приема-передачи помещения по договору аренды (субаренды) нежилого помещения.</w:t>
            </w:r>
          </w:p>
          <w:p>
            <w:pPr>
              <w:pStyle w:val="0"/>
            </w:pPr>
            <w:r>
              <w:rPr>
                <w:sz w:val="20"/>
              </w:rPr>
              <w:t xml:space="preserve">4. Договор на проведение текущего ремонта помещений или проведение строительно-монтажных работ.</w:t>
            </w:r>
          </w:p>
          <w:p>
            <w:pPr>
              <w:pStyle w:val="0"/>
            </w:pPr>
            <w:r>
              <w:rPr>
                <w:sz w:val="20"/>
              </w:rPr>
              <w:t xml:space="preserve">5. Договор (в том числе договор-оферта, счет-договор (счет-оферта) на приобретение строительных материалов.</w:t>
            </w:r>
          </w:p>
          <w:p>
            <w:pPr>
              <w:pStyle w:val="0"/>
            </w:pPr>
            <w:r>
              <w:rPr>
                <w:sz w:val="20"/>
              </w:rPr>
              <w:t xml:space="preserve">6. Акт о приемке выполненных работ (форма N КС-2).</w:t>
            </w:r>
          </w:p>
          <w:p>
            <w:pPr>
              <w:pStyle w:val="0"/>
            </w:pPr>
            <w:r>
              <w:rPr>
                <w:sz w:val="20"/>
              </w:rPr>
              <w:t xml:space="preserve">7. Справка о стоимости выполненных работ и затрат (форма N КС-3).</w:t>
            </w:r>
          </w:p>
          <w:p>
            <w:pPr>
              <w:pStyle w:val="0"/>
            </w:pPr>
            <w:r>
              <w:rPr>
                <w:sz w:val="20"/>
              </w:rPr>
              <w:t xml:space="preserve">8. Акт приема-передачи строительных материалов или иной документ, предусмотренный договором, подтверждающий передачу строительных материалов.</w:t>
            </w:r>
          </w:p>
          <w:p>
            <w:pPr>
              <w:pStyle w:val="0"/>
            </w:pPr>
            <w:r>
              <w:rPr>
                <w:sz w:val="20"/>
              </w:rPr>
              <w:t xml:space="preserve">9. Товарная накладная (форма N ТОРГ-12) либо Универсальный передаточный документ (УПД) (за исключением оплаты строительных материалов наличными денежными средствами).</w:t>
            </w:r>
          </w:p>
          <w:p>
            <w:pPr>
              <w:pStyle w:val="0"/>
            </w:pPr>
            <w:r>
              <w:rPr>
                <w:sz w:val="20"/>
              </w:rPr>
              <w:t xml:space="preserve">10. Платежное поручение.</w:t>
            </w:r>
          </w:p>
          <w:p>
            <w:pPr>
              <w:pStyle w:val="0"/>
            </w:pPr>
            <w:r>
              <w:rPr>
                <w:sz w:val="20"/>
              </w:rPr>
              <w:t xml:space="preserve">11. Счет на оплату.</w:t>
            </w:r>
          </w:p>
          <w:p>
            <w:pPr>
              <w:pStyle w:val="0"/>
            </w:pPr>
            <w:r>
              <w:rPr>
                <w:sz w:val="20"/>
              </w:rPr>
              <w:t xml:space="preserve">12. Выписка банка, подтверждающая оплату по договору.</w:t>
            </w:r>
          </w:p>
          <w:p>
            <w:pPr>
              <w:pStyle w:val="0"/>
            </w:pPr>
            <w:r>
              <w:rPr>
                <w:sz w:val="20"/>
              </w:rPr>
              <w:t xml:space="preserve">13.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1.5</w:t>
            </w:r>
          </w:p>
        </w:tc>
        <w:tc>
          <w:tcPr>
            <w:tcW w:w="8220" w:type="dxa"/>
          </w:tcPr>
          <w:p>
            <w:pPr>
              <w:pStyle w:val="0"/>
            </w:pPr>
            <w:r>
              <w:rPr>
                <w:sz w:val="20"/>
              </w:rPr>
              <w:t xml:space="preserve">Капитальный ремонт помещения:</w:t>
            </w:r>
          </w:p>
        </w:tc>
      </w:tr>
      <w:tr>
        <w:tc>
          <w:tcPr>
            <w:tcW w:w="850" w:type="dxa"/>
          </w:tcPr>
          <w:p>
            <w:pPr>
              <w:pStyle w:val="0"/>
            </w:pPr>
            <w:r>
              <w:rPr>
                <w:sz w:val="20"/>
              </w:rPr>
              <w:t xml:space="preserve">1.5.1</w:t>
            </w:r>
          </w:p>
        </w:tc>
        <w:tc>
          <w:tcPr>
            <w:tcW w:w="8220" w:type="dxa"/>
          </w:tcPr>
          <w:p>
            <w:pPr>
              <w:pStyle w:val="0"/>
            </w:pPr>
            <w:r>
              <w:rPr>
                <w:sz w:val="20"/>
              </w:rPr>
              <w:t xml:space="preserve">1. Договор строительного подряда на проведение капитального ремонта помещений или строительно-монтажных работ.</w:t>
            </w:r>
          </w:p>
          <w:p>
            <w:pPr>
              <w:pStyle w:val="0"/>
            </w:pPr>
            <w:r>
              <w:rPr>
                <w:sz w:val="20"/>
              </w:rPr>
              <w:t xml:space="preserve">2. Смета на проведение ремонта.</w:t>
            </w:r>
          </w:p>
          <w:p>
            <w:pPr>
              <w:pStyle w:val="0"/>
            </w:pPr>
            <w:r>
              <w:rPr>
                <w:sz w:val="20"/>
              </w:rPr>
              <w:t xml:space="preserve">3. Акт о приемке выполненных работ (форма N КС-2).</w:t>
            </w:r>
          </w:p>
          <w:p>
            <w:pPr>
              <w:pStyle w:val="0"/>
            </w:pPr>
            <w:r>
              <w:rPr>
                <w:sz w:val="20"/>
              </w:rPr>
              <w:t xml:space="preserve">4. Справка о стоимости выполненных работ и затрат (форма N КС-3).</w:t>
            </w:r>
          </w:p>
          <w:p>
            <w:pPr>
              <w:pStyle w:val="0"/>
            </w:pPr>
            <w:r>
              <w:rPr>
                <w:sz w:val="20"/>
              </w:rPr>
              <w:t xml:space="preserve">5. Платежное поручение.</w:t>
            </w:r>
          </w:p>
          <w:p>
            <w:pPr>
              <w:pStyle w:val="0"/>
            </w:pPr>
            <w:r>
              <w:rPr>
                <w:sz w:val="20"/>
              </w:rPr>
              <w:t xml:space="preserve">6. Выписка банка, подтверждающая оплату по договору.</w:t>
            </w:r>
          </w:p>
          <w:p>
            <w:pPr>
              <w:pStyle w:val="0"/>
            </w:pPr>
            <w:r>
              <w:rPr>
                <w:sz w:val="20"/>
              </w:rPr>
              <w:t xml:space="preserve">7.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8. Видеоматериалы со съемкой места ведения деятельности, которые включают съемку входной группы, помещения.</w:t>
            </w:r>
          </w:p>
          <w:p>
            <w:pPr>
              <w:pStyle w:val="0"/>
            </w:pPr>
            <w:r>
              <w:rPr>
                <w:sz w:val="20"/>
              </w:rPr>
              <w:t xml:space="preserve">9. Положительное заключение экспертизы проектно-сметной документации (в случае если проведение экспертизы проектной документации предусмотрено градостроительным законодательством)</w:t>
            </w:r>
          </w:p>
        </w:tc>
      </w:tr>
      <w:tr>
        <w:tc>
          <w:tcPr>
            <w:tcW w:w="850" w:type="dxa"/>
          </w:tcPr>
          <w:p>
            <w:pPr>
              <w:pStyle w:val="0"/>
            </w:pPr>
            <w:r>
              <w:rPr>
                <w:sz w:val="20"/>
              </w:rPr>
              <w:t xml:space="preserve">1.6</w:t>
            </w:r>
          </w:p>
        </w:tc>
        <w:tc>
          <w:tcPr>
            <w:tcW w:w="8220" w:type="dxa"/>
          </w:tcPr>
          <w:p>
            <w:pPr>
              <w:pStyle w:val="0"/>
            </w:pPr>
            <w:r>
              <w:rPr>
                <w:sz w:val="20"/>
              </w:rPr>
              <w:t xml:space="preserve">Реконструкция помещения:</w:t>
            </w:r>
          </w:p>
        </w:tc>
      </w:tr>
      <w:tr>
        <w:tc>
          <w:tcPr>
            <w:tcW w:w="850" w:type="dxa"/>
          </w:tcPr>
          <w:p>
            <w:pPr>
              <w:pStyle w:val="0"/>
            </w:pPr>
            <w:r>
              <w:rPr>
                <w:sz w:val="20"/>
              </w:rPr>
              <w:t xml:space="preserve">1.6.1</w:t>
            </w:r>
          </w:p>
        </w:tc>
        <w:tc>
          <w:tcPr>
            <w:tcW w:w="8220" w:type="dxa"/>
          </w:tcPr>
          <w:p>
            <w:pPr>
              <w:pStyle w:val="0"/>
            </w:pPr>
            <w:r>
              <w:rPr>
                <w:sz w:val="20"/>
              </w:rPr>
              <w:t xml:space="preserve">1. Договор строительного подряда на проведение капитального ремонта (реконструкции) помещений или строительно-монтажных работ.</w:t>
            </w:r>
          </w:p>
          <w:p>
            <w:pPr>
              <w:pStyle w:val="0"/>
            </w:pPr>
            <w:r>
              <w:rPr>
                <w:sz w:val="20"/>
              </w:rPr>
              <w:t xml:space="preserve">2. Акт о приемке выполненных работ (форма N КС-2).</w:t>
            </w:r>
          </w:p>
          <w:p>
            <w:pPr>
              <w:pStyle w:val="0"/>
            </w:pPr>
            <w:r>
              <w:rPr>
                <w:sz w:val="20"/>
              </w:rPr>
              <w:t xml:space="preserve">3. Справка о стоимости выполненных работ и затрат (форма N КС-3).</w:t>
            </w:r>
          </w:p>
          <w:p>
            <w:pPr>
              <w:pStyle w:val="0"/>
            </w:pPr>
            <w:r>
              <w:rPr>
                <w:sz w:val="20"/>
              </w:rPr>
              <w:t xml:space="preserve">4. Акт о приеме-сдаче отремонтированных, реконструированных, модернизированных объектов основных средств (форма N ОС-3).</w:t>
            </w:r>
          </w:p>
          <w:p>
            <w:pPr>
              <w:pStyle w:val="0"/>
            </w:pPr>
            <w:r>
              <w:rPr>
                <w:sz w:val="20"/>
              </w:rPr>
              <w:t xml:space="preserve">5. Платежное поручение.</w:t>
            </w:r>
          </w:p>
          <w:p>
            <w:pPr>
              <w:pStyle w:val="0"/>
            </w:pPr>
            <w:r>
              <w:rPr>
                <w:sz w:val="20"/>
              </w:rPr>
              <w:t xml:space="preserve">6. Выписка банка, подтверждающая оплату по договору.</w:t>
            </w:r>
          </w:p>
          <w:p>
            <w:pPr>
              <w:pStyle w:val="0"/>
            </w:pPr>
            <w:r>
              <w:rPr>
                <w:sz w:val="20"/>
              </w:rPr>
              <w:t xml:space="preserve">7.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8. Видеоматериалы со съемкой места ведения деятельности, которые включают съемку входной группы, помещения.</w:t>
            </w:r>
          </w:p>
          <w:p>
            <w:pPr>
              <w:pStyle w:val="0"/>
            </w:pPr>
            <w:r>
              <w:rPr>
                <w:sz w:val="20"/>
              </w:rPr>
              <w:t xml:space="preserve">9. Положительное заключение экспертизы проектно-сметной документации (в случае если проведение экспертизы проектной документации предусмотрено градостроительным законодательством)</w:t>
            </w:r>
          </w:p>
        </w:tc>
      </w:tr>
      <w:tr>
        <w:tc>
          <w:tcPr>
            <w:tcW w:w="850" w:type="dxa"/>
          </w:tcPr>
          <w:p>
            <w:pPr>
              <w:pStyle w:val="0"/>
            </w:pPr>
            <w:r>
              <w:rPr>
                <w:sz w:val="20"/>
              </w:rPr>
              <w:t xml:space="preserve">1.7</w:t>
            </w:r>
          </w:p>
        </w:tc>
        <w:tc>
          <w:tcPr>
            <w:tcW w:w="8220" w:type="dxa"/>
          </w:tcPr>
          <w:p>
            <w:pPr>
              <w:pStyle w:val="0"/>
            </w:pPr>
            <w:r>
              <w:rPr>
                <w:sz w:val="20"/>
              </w:rPr>
              <w:t xml:space="preserve">Приобретение основных средств (за исключением легковых автотранспортных средств):</w:t>
            </w:r>
          </w:p>
        </w:tc>
      </w:tr>
      <w:tr>
        <w:tc>
          <w:tcPr>
            <w:tcW w:w="850" w:type="dxa"/>
          </w:tcPr>
          <w:p>
            <w:pPr>
              <w:pStyle w:val="0"/>
            </w:pPr>
            <w:r>
              <w:rPr>
                <w:sz w:val="20"/>
              </w:rPr>
              <w:t xml:space="preserve">1.7.1</w:t>
            </w:r>
          </w:p>
        </w:tc>
        <w:tc>
          <w:tcPr>
            <w:tcW w:w="8220" w:type="dxa"/>
          </w:tcPr>
          <w:p>
            <w:pPr>
              <w:pStyle w:val="0"/>
            </w:pPr>
            <w:r>
              <w:rPr>
                <w:sz w:val="20"/>
              </w:rPr>
              <w:t xml:space="preserve">1. Договор (в том числе договор-оферта, счет-договор (счет-оферта) на приобретение основных средств.</w:t>
            </w:r>
          </w:p>
          <w:p>
            <w:pPr>
              <w:pStyle w:val="0"/>
            </w:pPr>
            <w:r>
              <w:rPr>
                <w:sz w:val="20"/>
              </w:rPr>
              <w:t xml:space="preserve">2. Платежное поручение.</w:t>
            </w:r>
          </w:p>
          <w:p>
            <w:pPr>
              <w:pStyle w:val="0"/>
            </w:pPr>
            <w:r>
              <w:rPr>
                <w:sz w:val="20"/>
              </w:rPr>
              <w:t xml:space="preserve">3. Выписка банка, подтверждающая оплату по договору.</w:t>
            </w:r>
          </w:p>
          <w:p>
            <w:pPr>
              <w:pStyle w:val="0"/>
            </w:pPr>
            <w:r>
              <w:rPr>
                <w:sz w:val="20"/>
              </w:rPr>
              <w:t xml:space="preserve">4.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pPr>
              <w:pStyle w:val="0"/>
            </w:pPr>
            <w:r>
              <w:rPr>
                <w:sz w:val="20"/>
              </w:rPr>
              <w:t xml:space="preserve">6. Товарная накладная (форма N ТОРГ-12) либо Универсальный передаточный документ (УПД).</w:t>
            </w:r>
          </w:p>
          <w:p>
            <w:pPr>
              <w:pStyle w:val="0"/>
            </w:pPr>
            <w:r>
              <w:rPr>
                <w:sz w:val="20"/>
              </w:rPr>
              <w:t xml:space="preserve">7.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pPr>
              <w:pStyle w:val="0"/>
            </w:pPr>
            <w:r>
              <w:rPr>
                <w:sz w:val="20"/>
              </w:rPr>
              <w:t xml:space="preserve">8. Фотографии объектов.</w:t>
            </w:r>
          </w:p>
          <w:p>
            <w:pPr>
              <w:pStyle w:val="0"/>
            </w:pPr>
            <w:r>
              <w:rPr>
                <w:sz w:val="20"/>
              </w:rPr>
              <w:t xml:space="preserve">9. Для транспортных средств и самоходных машин:</w:t>
            </w:r>
          </w:p>
          <w:p>
            <w:pPr>
              <w:pStyle w:val="0"/>
            </w:pPr>
            <w:r>
              <w:rPr>
                <w:sz w:val="20"/>
              </w:rPr>
              <w:t xml:space="preserve">1) паспорт транспортного средства (самоходной машины) (далее - ПТС (ПСМ);</w:t>
            </w:r>
          </w:p>
          <w:p>
            <w:pPr>
              <w:pStyle w:val="0"/>
            </w:pPr>
            <w:r>
              <w:rPr>
                <w:sz w:val="20"/>
              </w:rPr>
              <w:t xml:space="preserve">2) свидетельство о регистрации транспортного средства (самоходной машины) (далее - СТС (ССМ).</w:t>
            </w:r>
          </w:p>
          <w:p>
            <w:pPr>
              <w:pStyle w:val="0"/>
            </w:pPr>
            <w:r>
              <w:rPr>
                <w:sz w:val="20"/>
              </w:rPr>
              <w:t xml:space="preserve">10. Для основных средств, приобретенных за пределами территории Российской Федерации, представляются:</w:t>
            </w:r>
          </w:p>
          <w:p>
            <w:pPr>
              <w:pStyle w:val="0"/>
            </w:pPr>
            <w:r>
              <w:rPr>
                <w:sz w:val="20"/>
              </w:rPr>
              <w:t xml:space="preserve">1) заявление на перевод валюты (платежное поручение не представляется);</w:t>
            </w:r>
          </w:p>
          <w:p>
            <w:pPr>
              <w:pStyle w:val="0"/>
            </w:pPr>
            <w:r>
              <w:rPr>
                <w:sz w:val="20"/>
              </w:rPr>
              <w:t xml:space="preserve">2) инвойс на оплату (счет не представляется);</w:t>
            </w:r>
          </w:p>
          <w:p>
            <w:pPr>
              <w:pStyle w:val="0"/>
            </w:pPr>
            <w:r>
              <w:rPr>
                <w:sz w:val="20"/>
              </w:rPr>
              <w:t xml:space="preserve">3) декларация на товары (акт приема-передачи, ТОРГ-12 и УПД не представляются).</w:t>
            </w:r>
          </w:p>
          <w:p>
            <w:pPr>
              <w:pStyle w:val="0"/>
            </w:pPr>
            <w:r>
              <w:rPr>
                <w:sz w:val="20"/>
              </w:rPr>
              <w:t xml:space="preserve">11. 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r>
        <w:tc>
          <w:tcPr>
            <w:tcW w:w="850" w:type="dxa"/>
          </w:tcPr>
          <w:p>
            <w:pPr>
              <w:pStyle w:val="0"/>
            </w:pPr>
            <w:r>
              <w:rPr>
                <w:sz w:val="20"/>
              </w:rPr>
              <w:t xml:space="preserve">1.8</w:t>
            </w:r>
          </w:p>
        </w:tc>
        <w:tc>
          <w:tcPr>
            <w:tcW w:w="8220" w:type="dxa"/>
          </w:tcPr>
          <w:p>
            <w:pPr>
              <w:pStyle w:val="0"/>
            </w:pPr>
            <w:r>
              <w:rPr>
                <w:sz w:val="20"/>
              </w:rPr>
              <w:t xml:space="preserve">Приобретение сырья, расходных материалов и инструментов, необходимых для изготовления продукции и изделий народно-художественных промыслов:</w:t>
            </w:r>
          </w:p>
        </w:tc>
      </w:tr>
      <w:tr>
        <w:tc>
          <w:tcPr>
            <w:tcW w:w="850" w:type="dxa"/>
          </w:tcPr>
          <w:p>
            <w:pPr>
              <w:pStyle w:val="0"/>
            </w:pPr>
            <w:r>
              <w:rPr>
                <w:sz w:val="20"/>
              </w:rPr>
              <w:t xml:space="preserve">1.8.1</w:t>
            </w:r>
          </w:p>
        </w:tc>
        <w:tc>
          <w:tcPr>
            <w:tcW w:w="8220" w:type="dxa"/>
          </w:tcPr>
          <w:p>
            <w:pPr>
              <w:pStyle w:val="0"/>
            </w:pPr>
            <w:r>
              <w:rPr>
                <w:sz w:val="20"/>
              </w:rPr>
              <w:t xml:space="preserve">1. Договор (в том числе договор-оферта, счет-договор (счет-оферта) на приобретение сырья, расходных материалов и инструментов.</w:t>
            </w:r>
          </w:p>
          <w:p>
            <w:pPr>
              <w:pStyle w:val="0"/>
            </w:pPr>
            <w:r>
              <w:rPr>
                <w:sz w:val="20"/>
              </w:rPr>
              <w:t xml:space="preserve">2. Платежное поручение.</w:t>
            </w:r>
          </w:p>
          <w:p>
            <w:pPr>
              <w:pStyle w:val="0"/>
            </w:pPr>
            <w:r>
              <w:rPr>
                <w:sz w:val="20"/>
              </w:rPr>
              <w:t xml:space="preserve">3. Выписка банка, подтверждающая оплату по договору.</w:t>
            </w:r>
          </w:p>
          <w:p>
            <w:pPr>
              <w:pStyle w:val="0"/>
            </w:pPr>
            <w:r>
              <w:rPr>
                <w:sz w:val="20"/>
              </w:rPr>
              <w:t xml:space="preserve">4.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pPr>
              <w:pStyle w:val="0"/>
            </w:pPr>
            <w:r>
              <w:rPr>
                <w:sz w:val="20"/>
              </w:rPr>
              <w:t xml:space="preserve">6. Товарная накладная (форма N ТОРГ-12) либо Универсальный передаточный документ (УПД).</w:t>
            </w:r>
          </w:p>
          <w:p>
            <w:pPr>
              <w:pStyle w:val="0"/>
            </w:pPr>
            <w:r>
              <w:rPr>
                <w:sz w:val="20"/>
              </w:rPr>
              <w:t xml:space="preserve">7. Видеоматериалы со съемкой места ведения деятельности, которые включают съемку входной группы, помещения.</w:t>
            </w:r>
          </w:p>
          <w:p>
            <w:pPr>
              <w:pStyle w:val="0"/>
            </w:pPr>
            <w:r>
              <w:rPr>
                <w:sz w:val="20"/>
              </w:rPr>
              <w:t xml:space="preserve">8. При онлайн-заказе представляется документ, подтверждающий онлайн-заказ (договор и счет не представляется).</w:t>
            </w:r>
          </w:p>
          <w:p>
            <w:pPr>
              <w:pStyle w:val="0"/>
            </w:pPr>
            <w:r>
              <w:rPr>
                <w:sz w:val="20"/>
              </w:rPr>
              <w:t xml:space="preserve">9.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1.9</w:t>
            </w:r>
          </w:p>
        </w:tc>
        <w:tc>
          <w:tcPr>
            <w:tcW w:w="8220" w:type="dxa"/>
          </w:tcPr>
          <w:p>
            <w:pPr>
              <w:pStyle w:val="0"/>
            </w:pPr>
            <w:r>
              <w:rPr>
                <w:sz w:val="20"/>
              </w:rPr>
              <w:t xml:space="preserve">Участие в региональных, межрегиональных и международных выставочных и выставочно-ярмарочных мероприятиях:</w:t>
            </w:r>
          </w:p>
        </w:tc>
      </w:tr>
      <w:tr>
        <w:tc>
          <w:tcPr>
            <w:tcW w:w="850" w:type="dxa"/>
          </w:tcPr>
          <w:p>
            <w:pPr>
              <w:pStyle w:val="0"/>
            </w:pPr>
            <w:r>
              <w:rPr>
                <w:sz w:val="20"/>
              </w:rPr>
              <w:t xml:space="preserve">1.9.1</w:t>
            </w:r>
          </w:p>
        </w:tc>
        <w:tc>
          <w:tcPr>
            <w:tcW w:w="8220" w:type="dxa"/>
          </w:tcPr>
          <w:p>
            <w:pPr>
              <w:pStyle w:val="0"/>
            </w:pPr>
            <w:r>
              <w:rPr>
                <w:sz w:val="20"/>
              </w:rPr>
              <w:t xml:space="preserve">1. Договор на участие в региональных, межрегиональных и международных выставочных и выставочно-ярмарочных мероприятиях.</w:t>
            </w:r>
          </w:p>
          <w:p>
            <w:pPr>
              <w:pStyle w:val="0"/>
            </w:pPr>
            <w:r>
              <w:rPr>
                <w:sz w:val="20"/>
              </w:rPr>
              <w:t xml:space="preserve">2. Акт оказанных услуг по договору.</w:t>
            </w:r>
          </w:p>
          <w:p>
            <w:pPr>
              <w:pStyle w:val="0"/>
            </w:pPr>
            <w:r>
              <w:rPr>
                <w:sz w:val="20"/>
              </w:rPr>
              <w:t xml:space="preserve">3. Платежное поручение.</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6.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1.10</w:t>
            </w:r>
          </w:p>
        </w:tc>
        <w:tc>
          <w:tcPr>
            <w:tcW w:w="8220" w:type="dxa"/>
          </w:tcPr>
          <w:p>
            <w:pPr>
              <w:pStyle w:val="0"/>
            </w:pPr>
            <w:r>
              <w:rPr>
                <w:sz w:val="20"/>
              </w:rPr>
              <w:t xml:space="preserve">Приобретение:</w:t>
            </w:r>
          </w:p>
          <w:p>
            <w:pPr>
              <w:pStyle w:val="0"/>
            </w:pPr>
            <w:r>
              <w:rPr>
                <w:sz w:val="2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pPr>
              <w:pStyle w:val="0"/>
            </w:pPr>
            <w:r>
              <w:rPr>
                <w:sz w:val="20"/>
              </w:rPr>
              <w:t xml:space="preserve">2) мебели;</w:t>
            </w:r>
          </w:p>
          <w:p>
            <w:pPr>
              <w:pStyle w:val="0"/>
            </w:pPr>
            <w:r>
              <w:rPr>
                <w:sz w:val="20"/>
              </w:rPr>
              <w:t xml:space="preserve">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tc>
          <w:tcPr>
            <w:tcW w:w="850" w:type="dxa"/>
          </w:tcPr>
          <w:p>
            <w:pPr>
              <w:pStyle w:val="0"/>
            </w:pPr>
            <w:r>
              <w:rPr>
                <w:sz w:val="20"/>
              </w:rPr>
              <w:t xml:space="preserve">1.10.1</w:t>
            </w:r>
          </w:p>
        </w:tc>
        <w:tc>
          <w:tcPr>
            <w:tcW w:w="8220" w:type="dxa"/>
          </w:tcPr>
          <w:p>
            <w:pPr>
              <w:pStyle w:val="0"/>
            </w:pPr>
            <w:r>
              <w:rPr>
                <w:sz w:val="20"/>
              </w:rPr>
              <w:t xml:space="preserve">1. Договор (в том числе договор-оферта, счет-договор (счет-оферта) на приобретение.</w:t>
            </w:r>
          </w:p>
          <w:p>
            <w:pPr>
              <w:pStyle w:val="0"/>
            </w:pPr>
            <w:r>
              <w:rPr>
                <w:sz w:val="20"/>
              </w:rPr>
              <w:t xml:space="preserve">2. Платежное поручение.</w:t>
            </w:r>
          </w:p>
          <w:p>
            <w:pPr>
              <w:pStyle w:val="0"/>
            </w:pPr>
            <w:r>
              <w:rPr>
                <w:sz w:val="20"/>
              </w:rPr>
              <w:t xml:space="preserve">3. Выписка банка, подтверждающая оплату по договору.</w:t>
            </w:r>
          </w:p>
          <w:p>
            <w:pPr>
              <w:pStyle w:val="0"/>
            </w:pPr>
            <w:r>
              <w:rPr>
                <w:sz w:val="20"/>
              </w:rPr>
              <w:t xml:space="preserve">4.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5. Акт приема-передачи, предусмотренный договором, подтверждающий передачу приобретенных товаров от продавца покупателю.</w:t>
            </w:r>
          </w:p>
          <w:p>
            <w:pPr>
              <w:pStyle w:val="0"/>
            </w:pPr>
            <w:r>
              <w:rPr>
                <w:sz w:val="20"/>
              </w:rPr>
              <w:t xml:space="preserve">6. Товарная накладная (форма N ТОРГ-12) либо Универсальный передаточный документ (УПД).</w:t>
            </w:r>
          </w:p>
          <w:p>
            <w:pPr>
              <w:pStyle w:val="0"/>
            </w:pPr>
            <w:r>
              <w:rPr>
                <w:sz w:val="20"/>
              </w:rPr>
              <w:t xml:space="preserve">7. 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pPr>
              <w:pStyle w:val="0"/>
            </w:pPr>
            <w:r>
              <w:rPr>
                <w:sz w:val="20"/>
              </w:rPr>
              <w:t xml:space="preserve">8. Фотографии объектов.</w:t>
            </w:r>
          </w:p>
          <w:p>
            <w:pPr>
              <w:pStyle w:val="0"/>
            </w:pPr>
            <w:r>
              <w:rPr>
                <w:sz w:val="20"/>
              </w:rPr>
              <w:t xml:space="preserve">9. 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p>
            <w:pPr>
              <w:pStyle w:val="0"/>
            </w:pPr>
            <w:r>
              <w:rPr>
                <w:sz w:val="20"/>
              </w:rPr>
              <w:t xml:space="preserve">10. Для Оборудования, приобретенного за пределами территории Российской Федерации, представляются:</w:t>
            </w:r>
          </w:p>
          <w:p>
            <w:pPr>
              <w:pStyle w:val="0"/>
            </w:pPr>
            <w:r>
              <w:rPr>
                <w:sz w:val="20"/>
              </w:rPr>
              <w:t xml:space="preserve">1) заявление на перевод валюты (платежное поручение не представляется);</w:t>
            </w:r>
          </w:p>
          <w:p>
            <w:pPr>
              <w:pStyle w:val="0"/>
            </w:pPr>
            <w:r>
              <w:rPr>
                <w:sz w:val="20"/>
              </w:rPr>
              <w:t xml:space="preserve">2) инвойс на оплату (счет не представляется);</w:t>
            </w:r>
          </w:p>
          <w:p>
            <w:pPr>
              <w:pStyle w:val="0"/>
            </w:pPr>
            <w:r>
              <w:rPr>
                <w:sz w:val="20"/>
              </w:rPr>
              <w:t xml:space="preserve">3) декларация на товары (акт приема-передачи, ТОРГ-12 и УПД не представляются).</w:t>
            </w:r>
          </w:p>
          <w:p>
            <w:pPr>
              <w:pStyle w:val="0"/>
            </w:pPr>
            <w:r>
              <w:rPr>
                <w:sz w:val="20"/>
              </w:rPr>
              <w:t xml:space="preserve">11. При онлайн-заказе представляется документ, подтверждающий онлайн-заказ (договор и счет не представляется)</w:t>
            </w:r>
          </w:p>
        </w:tc>
      </w:tr>
      <w:tr>
        <w:tc>
          <w:tcPr>
            <w:tcW w:w="850" w:type="dxa"/>
          </w:tcPr>
          <w:p>
            <w:pPr>
              <w:pStyle w:val="0"/>
            </w:pPr>
            <w:r>
              <w:rPr>
                <w:sz w:val="20"/>
              </w:rPr>
              <w:t xml:space="preserve">1.11</w:t>
            </w:r>
          </w:p>
        </w:tc>
        <w:tc>
          <w:tcPr>
            <w:tcW w:w="8220" w:type="dxa"/>
          </w:tcPr>
          <w:p>
            <w:pPr>
              <w:pStyle w:val="0"/>
            </w:pPr>
            <w:r>
              <w:rPr>
                <w:sz w:val="20"/>
              </w:rPr>
              <w:t xml:space="preserve">Повышение квалификации и (или) участие в образовательных программах работников лиц:</w:t>
            </w:r>
          </w:p>
        </w:tc>
      </w:tr>
      <w:tr>
        <w:tc>
          <w:tcPr>
            <w:tcW w:w="850" w:type="dxa"/>
          </w:tcPr>
          <w:p>
            <w:pPr>
              <w:pStyle w:val="0"/>
            </w:pPr>
            <w:r>
              <w:rPr>
                <w:sz w:val="20"/>
              </w:rPr>
              <w:t xml:space="preserve">1.11.1</w:t>
            </w:r>
          </w:p>
        </w:tc>
        <w:tc>
          <w:tcPr>
            <w:tcW w:w="8220" w:type="dxa"/>
          </w:tcPr>
          <w:p>
            <w:pPr>
              <w:pStyle w:val="0"/>
            </w:pPr>
            <w:r>
              <w:rPr>
                <w:sz w:val="20"/>
              </w:rPr>
              <w:t xml:space="preserve">1. Договор на повышение квалификации и (или) участие в образовательных программах работников лиц.</w:t>
            </w:r>
          </w:p>
          <w:p>
            <w:pPr>
              <w:pStyle w:val="0"/>
            </w:pPr>
            <w:r>
              <w:rPr>
                <w:sz w:val="20"/>
              </w:rPr>
              <w:t xml:space="preserve">2. Акт оказанных услуг по договору.</w:t>
            </w:r>
          </w:p>
          <w:p>
            <w:pPr>
              <w:pStyle w:val="0"/>
            </w:pPr>
            <w:r>
              <w:rPr>
                <w:sz w:val="20"/>
              </w:rPr>
              <w:t xml:space="preserve">3. Документ (сертификат, диплом и т.п.) о прохождении повышения квалификации и (или) участии в образовательных программах.</w:t>
            </w:r>
          </w:p>
          <w:p>
            <w:pPr>
              <w:pStyle w:val="0"/>
            </w:pPr>
            <w:r>
              <w:rPr>
                <w:sz w:val="20"/>
              </w:rPr>
              <w:t xml:space="preserve">4. Платежное поручение.</w:t>
            </w:r>
          </w:p>
          <w:p>
            <w:pPr>
              <w:pStyle w:val="0"/>
            </w:pPr>
            <w:r>
              <w:rPr>
                <w:sz w:val="20"/>
              </w:rPr>
              <w:t xml:space="preserve">5. Выписка банка, подтверждающая оплату по договору.</w:t>
            </w:r>
          </w:p>
          <w:p>
            <w:pPr>
              <w:pStyle w:val="0"/>
            </w:pPr>
            <w:r>
              <w:rPr>
                <w:sz w:val="20"/>
              </w:rPr>
              <w:t xml:space="preserve">6.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7.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1.12</w:t>
            </w:r>
          </w:p>
        </w:tc>
        <w:tc>
          <w:tcPr>
            <w:tcW w:w="8220" w:type="dxa"/>
          </w:tcPr>
          <w:p>
            <w:pPr>
              <w:pStyle w:val="0"/>
            </w:pPr>
            <w:r>
              <w:rPr>
                <w:sz w:val="20"/>
              </w:rPr>
              <w:t xml:space="preserve">Медицинское обслуживание детей:</w:t>
            </w:r>
          </w:p>
        </w:tc>
      </w:tr>
      <w:tr>
        <w:tc>
          <w:tcPr>
            <w:tcW w:w="850" w:type="dxa"/>
          </w:tcPr>
          <w:p>
            <w:pPr>
              <w:pStyle w:val="0"/>
            </w:pPr>
            <w:r>
              <w:rPr>
                <w:sz w:val="20"/>
              </w:rPr>
              <w:t xml:space="preserve">1.12.1</w:t>
            </w:r>
          </w:p>
        </w:tc>
        <w:tc>
          <w:tcPr>
            <w:tcW w:w="8220" w:type="dxa"/>
          </w:tcPr>
          <w:p>
            <w:pPr>
              <w:pStyle w:val="0"/>
            </w:pPr>
            <w:r>
              <w:rPr>
                <w:sz w:val="20"/>
              </w:rPr>
              <w:t xml:space="preserve">1. Договор на медицинское обслуживание детей.</w:t>
            </w:r>
          </w:p>
          <w:p>
            <w:pPr>
              <w:pStyle w:val="0"/>
            </w:pPr>
            <w:r>
              <w:rPr>
                <w:sz w:val="20"/>
              </w:rPr>
              <w:t xml:space="preserve">2. Акт оказанных услуг по договору.</w:t>
            </w:r>
          </w:p>
          <w:p>
            <w:pPr>
              <w:pStyle w:val="0"/>
            </w:pPr>
            <w:r>
              <w:rPr>
                <w:sz w:val="20"/>
              </w:rPr>
              <w:t xml:space="preserve">3. Лицензия на медицинскую деятельность, выданная организации здравоохранения, с которой заключен договор.</w:t>
            </w:r>
          </w:p>
          <w:p>
            <w:pPr>
              <w:pStyle w:val="0"/>
            </w:pPr>
            <w:r>
              <w:rPr>
                <w:sz w:val="20"/>
              </w:rPr>
              <w:t xml:space="preserve">4. Платежное поручение.</w:t>
            </w:r>
          </w:p>
          <w:p>
            <w:pPr>
              <w:pStyle w:val="0"/>
            </w:pPr>
            <w:r>
              <w:rPr>
                <w:sz w:val="20"/>
              </w:rPr>
              <w:t xml:space="preserve">5. Выписка банка, подтверждающая оплату по договору.</w:t>
            </w:r>
          </w:p>
          <w:p>
            <w:pPr>
              <w:pStyle w:val="0"/>
            </w:pPr>
            <w:r>
              <w:rPr>
                <w:sz w:val="20"/>
              </w:rPr>
              <w:t xml:space="preserve">6.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7. Видеоматериалы со съемкой места ведения деятельности, которые включают съемку входной группы, помещения</w:t>
            </w:r>
          </w:p>
        </w:tc>
      </w:tr>
      <w:tr>
        <w:tc>
          <w:tcPr>
            <w:tcW w:w="850" w:type="dxa"/>
          </w:tcPr>
          <w:p>
            <w:pPr>
              <w:pStyle w:val="0"/>
            </w:pPr>
            <w:r>
              <w:rPr>
                <w:sz w:val="20"/>
              </w:rPr>
              <w:t xml:space="preserve">1.13</w:t>
            </w:r>
          </w:p>
        </w:tc>
        <w:tc>
          <w:tcPr>
            <w:tcW w:w="8220" w:type="dxa"/>
          </w:tcPr>
          <w:p>
            <w:pPr>
              <w:pStyle w:val="0"/>
            </w:pPr>
            <w:r>
              <w:rPr>
                <w:sz w:val="20"/>
              </w:rPr>
              <w:t xml:space="preserve">Приобретение комплектующих изделий:</w:t>
            </w:r>
          </w:p>
        </w:tc>
      </w:tr>
      <w:tr>
        <w:tc>
          <w:tcPr>
            <w:tcW w:w="850" w:type="dxa"/>
          </w:tcPr>
          <w:p>
            <w:pPr>
              <w:pStyle w:val="0"/>
            </w:pPr>
            <w:r>
              <w:rPr>
                <w:sz w:val="20"/>
              </w:rPr>
              <w:t xml:space="preserve">1.13.1</w:t>
            </w:r>
          </w:p>
        </w:tc>
        <w:tc>
          <w:tcPr>
            <w:tcW w:w="8220" w:type="dxa"/>
          </w:tcPr>
          <w:p>
            <w:pPr>
              <w:pStyle w:val="0"/>
            </w:pPr>
            <w:r>
              <w:rPr>
                <w:sz w:val="20"/>
              </w:rPr>
              <w:t xml:space="preserve">1. Договор (в том числе договор-оферта, счет-договор (счет-оферта) на приобретение комплектующих изделий.</w:t>
            </w:r>
          </w:p>
          <w:p>
            <w:pPr>
              <w:pStyle w:val="0"/>
            </w:pPr>
            <w:r>
              <w:rPr>
                <w:sz w:val="20"/>
              </w:rPr>
              <w:t xml:space="preserve">2. Акт приема-передачи или иной документ, предусмотренный договором, подтверждающий передачу приобретенных комплектующих изделий.</w:t>
            </w:r>
          </w:p>
          <w:p>
            <w:pPr>
              <w:pStyle w:val="0"/>
            </w:pPr>
            <w:r>
              <w:rPr>
                <w:sz w:val="20"/>
              </w:rPr>
              <w:t xml:space="preserve">3. Платежное поручение.</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6. 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p>
            <w:pPr>
              <w:pStyle w:val="0"/>
            </w:pPr>
            <w:r>
              <w:rPr>
                <w:sz w:val="20"/>
              </w:rPr>
              <w:t xml:space="preserve">7. При онлайн-заказе представляется документ, подтверждающий онлайн-заказ (договор и счет не представляется)</w:t>
            </w:r>
          </w:p>
        </w:tc>
      </w:tr>
      <w:tr>
        <w:tc>
          <w:tcPr>
            <w:tcW w:w="850" w:type="dxa"/>
          </w:tcPr>
          <w:p>
            <w:pPr>
              <w:pStyle w:val="0"/>
            </w:pPr>
            <w:r>
              <w:rPr>
                <w:sz w:val="20"/>
              </w:rPr>
              <w:t xml:space="preserve">1.14</w:t>
            </w:r>
          </w:p>
        </w:tc>
        <w:tc>
          <w:tcPr>
            <w:tcW w:w="8220" w:type="dxa"/>
          </w:tcPr>
          <w:p>
            <w:pPr>
              <w:pStyle w:val="0"/>
            </w:pPr>
            <w:r>
              <w:rPr>
                <w:sz w:val="20"/>
              </w:rPr>
              <w:t xml:space="preserve">Затраты по арендным платежам в соответствии с заключенными договорами аренды земельного участка:</w:t>
            </w:r>
          </w:p>
        </w:tc>
      </w:tr>
      <w:tr>
        <w:tc>
          <w:tcPr>
            <w:tcW w:w="850" w:type="dxa"/>
          </w:tcPr>
          <w:p>
            <w:pPr>
              <w:pStyle w:val="0"/>
            </w:pPr>
            <w:r>
              <w:rPr>
                <w:sz w:val="20"/>
              </w:rPr>
              <w:t xml:space="preserve">1.14.1</w:t>
            </w:r>
          </w:p>
        </w:tc>
        <w:tc>
          <w:tcPr>
            <w:tcW w:w="8220" w:type="dxa"/>
          </w:tcPr>
          <w:p>
            <w:pPr>
              <w:pStyle w:val="0"/>
            </w:pPr>
            <w:r>
              <w:rPr>
                <w:sz w:val="20"/>
              </w:rPr>
              <w:t xml:space="preserve">1. Договор аренды земельного участка.</w:t>
            </w:r>
          </w:p>
          <w:p>
            <w:pPr>
              <w:pStyle w:val="0"/>
            </w:pPr>
            <w:r>
              <w:rPr>
                <w:sz w:val="20"/>
              </w:rPr>
              <w:t xml:space="preserve">2. Выписка банка, подтверждающая оплату по договору аренды земельного участка.</w:t>
            </w:r>
          </w:p>
          <w:p>
            <w:pPr>
              <w:pStyle w:val="0"/>
            </w:pPr>
            <w:r>
              <w:rPr>
                <w:sz w:val="20"/>
              </w:rPr>
              <w:t xml:space="preserve">3. Платежное поручение (со ссылкой в назначении платежа на договор (счет) и период оплаты).</w:t>
            </w:r>
          </w:p>
          <w:p>
            <w:pPr>
              <w:pStyle w:val="0"/>
            </w:pPr>
            <w:r>
              <w:rPr>
                <w:sz w:val="20"/>
              </w:rPr>
              <w:t xml:space="preserve">4. 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tc>
      </w:tr>
      <w:tr>
        <w:tc>
          <w:tcPr>
            <w:tcW w:w="850" w:type="dxa"/>
          </w:tcPr>
          <w:p>
            <w:pPr>
              <w:pStyle w:val="0"/>
              <w:outlineLvl w:val="5"/>
            </w:pPr>
            <w:r>
              <w:rPr>
                <w:sz w:val="20"/>
              </w:rPr>
              <w:t xml:space="preserve">2</w:t>
            </w:r>
          </w:p>
        </w:tc>
        <w:tc>
          <w:tcPr>
            <w:tcW w:w="8220" w:type="dxa"/>
          </w:tcPr>
          <w:p>
            <w:pPr>
              <w:pStyle w:val="0"/>
            </w:pPr>
            <w:r>
              <w:rPr>
                <w:sz w:val="20"/>
              </w:rPr>
              <w:t xml:space="preserve">Требования к документам:</w:t>
            </w:r>
          </w:p>
        </w:tc>
      </w:tr>
      <w:tr>
        <w:tc>
          <w:tcPr>
            <w:tcW w:w="850" w:type="dxa"/>
          </w:tcPr>
          <w:p>
            <w:pPr>
              <w:pStyle w:val="0"/>
            </w:pPr>
            <w:r>
              <w:rPr>
                <w:sz w:val="20"/>
              </w:rPr>
              <w:t xml:space="preserve">2.1</w:t>
            </w:r>
          </w:p>
        </w:tc>
        <w:tc>
          <w:tcPr>
            <w:tcW w:w="8220" w:type="dxa"/>
          </w:tcPr>
          <w:p>
            <w:pPr>
              <w:pStyle w:val="0"/>
            </w:pPr>
            <w:r>
              <w:rPr>
                <w:sz w:val="20"/>
              </w:rPr>
              <w:t xml:space="preserve">Договор:</w:t>
            </w:r>
          </w:p>
        </w:tc>
      </w:tr>
      <w:tr>
        <w:tc>
          <w:tcPr>
            <w:tcW w:w="850" w:type="dxa"/>
          </w:tcPr>
          <w:p>
            <w:pPr>
              <w:pStyle w:val="0"/>
            </w:pPr>
            <w:r>
              <w:rPr>
                <w:sz w:val="20"/>
              </w:rPr>
              <w:t xml:space="preserve">2.1.1</w:t>
            </w:r>
          </w:p>
        </w:tc>
        <w:tc>
          <w:tcPr>
            <w:tcW w:w="8220" w:type="dxa"/>
          </w:tcPr>
          <w:p>
            <w:pPr>
              <w:pStyle w:val="0"/>
            </w:pPr>
            <w:r>
              <w:rPr>
                <w:sz w:val="20"/>
              </w:rPr>
              <w:t xml:space="preserve">Договор, в том числе договор-оферта, счет-договор (счет-оферта). Должен содержать:</w:t>
            </w:r>
          </w:p>
          <w:p>
            <w:pPr>
              <w:pStyle w:val="0"/>
            </w:pPr>
            <w:r>
              <w:rPr>
                <w:sz w:val="20"/>
              </w:rPr>
              <w:t xml:space="preserve">1) дату заключения договора (не требуется для договора-оферты);</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w:t>
            </w:r>
          </w:p>
          <w:p>
            <w:pPr>
              <w:pStyle w:val="0"/>
            </w:pPr>
            <w:r>
              <w:rPr>
                <w:sz w:val="20"/>
              </w:rPr>
              <w:t xml:space="preserve">5) идентификационные данные сторон договора: наименование, организационно-правовую форму, ИНН юридического лица; Ф.И.О. (отчество - при наличии), ИНН индивидуального предпринимателя (не требуется для договора-оферты).</w:t>
            </w:r>
          </w:p>
          <w:p>
            <w:pPr>
              <w:pStyle w:val="0"/>
            </w:pPr>
            <w:r>
              <w:rPr>
                <w:sz w:val="20"/>
              </w:rPr>
              <w:t xml:space="preserve">Договор представляется со всеми приложениями, спецификациями и дополнительными соглашениями.</w:t>
            </w:r>
          </w:p>
          <w:p>
            <w:pPr>
              <w:pStyle w:val="0"/>
            </w:pPr>
            <w:r>
              <w:rPr>
                <w:sz w:val="20"/>
              </w:rPr>
              <w:t xml:space="preserve">В случае если договор составлен на языке, отличном от русского, к договору прилагается его нотариально заверенный перевод на русский язык</w:t>
            </w:r>
          </w:p>
        </w:tc>
      </w:tr>
      <w:tr>
        <w:tc>
          <w:tcPr>
            <w:tcW w:w="850" w:type="dxa"/>
          </w:tcPr>
          <w:p>
            <w:pPr>
              <w:pStyle w:val="0"/>
            </w:pPr>
            <w:r>
              <w:rPr>
                <w:sz w:val="20"/>
              </w:rPr>
              <w:t xml:space="preserve">2.1.2</w:t>
            </w:r>
          </w:p>
        </w:tc>
        <w:tc>
          <w:tcPr>
            <w:tcW w:w="8220" w:type="dxa"/>
          </w:tcPr>
          <w:p>
            <w:pPr>
              <w:pStyle w:val="0"/>
            </w:pPr>
            <w:r>
              <w:rPr>
                <w:sz w:val="20"/>
              </w:rPr>
              <w:t xml:space="preserve">Документ, подтверждающий онлайн-заказ. Должен содержать:</w:t>
            </w:r>
          </w:p>
          <w:p>
            <w:pPr>
              <w:pStyle w:val="0"/>
            </w:pPr>
            <w:r>
              <w:rPr>
                <w:sz w:val="20"/>
              </w:rPr>
              <w:t xml:space="preserve">1) номер и дату заказа;</w:t>
            </w:r>
          </w:p>
          <w:p>
            <w:pPr>
              <w:pStyle w:val="0"/>
            </w:pPr>
            <w:r>
              <w:rPr>
                <w:sz w:val="20"/>
              </w:rPr>
              <w:t xml:space="preserve">2) предмет заказа;</w:t>
            </w:r>
          </w:p>
          <w:p>
            <w:pPr>
              <w:pStyle w:val="0"/>
            </w:pPr>
            <w:r>
              <w:rPr>
                <w:sz w:val="20"/>
              </w:rPr>
              <w:t xml:space="preserve">3) цену;</w:t>
            </w:r>
          </w:p>
          <w:p>
            <w:pPr>
              <w:pStyle w:val="0"/>
            </w:pPr>
            <w:r>
              <w:rPr>
                <w:sz w:val="20"/>
              </w:rPr>
              <w:t xml:space="preserve">4) идентификационные данные продавца</w:t>
            </w:r>
          </w:p>
        </w:tc>
      </w:tr>
      <w:tr>
        <w:tc>
          <w:tcPr>
            <w:tcW w:w="850" w:type="dxa"/>
          </w:tcPr>
          <w:p>
            <w:pPr>
              <w:pStyle w:val="0"/>
            </w:pPr>
            <w:r>
              <w:rPr>
                <w:sz w:val="20"/>
              </w:rPr>
              <w:t xml:space="preserve">2.2</w:t>
            </w:r>
          </w:p>
        </w:tc>
        <w:tc>
          <w:tcPr>
            <w:tcW w:w="8220" w:type="dxa"/>
          </w:tcPr>
          <w:p>
            <w:pPr>
              <w:pStyle w:val="0"/>
            </w:pPr>
            <w:r>
              <w:rPr>
                <w:sz w:val="20"/>
              </w:rPr>
              <w:t xml:space="preserve">Документы, подтверждающие передачу:</w:t>
            </w:r>
          </w:p>
        </w:tc>
      </w:tr>
      <w:tr>
        <w:tc>
          <w:tcPr>
            <w:tcW w:w="850" w:type="dxa"/>
          </w:tcPr>
          <w:p>
            <w:pPr>
              <w:pStyle w:val="0"/>
            </w:pPr>
            <w:r>
              <w:rPr>
                <w:sz w:val="20"/>
              </w:rPr>
              <w:t xml:space="preserve">2.2.1</w:t>
            </w:r>
          </w:p>
        </w:tc>
        <w:tc>
          <w:tcPr>
            <w:tcW w:w="8220" w:type="dxa"/>
          </w:tcPr>
          <w:p>
            <w:pPr>
              <w:pStyle w:val="0"/>
            </w:pPr>
            <w:r>
              <w:rPr>
                <w:sz w:val="20"/>
              </w:rPr>
              <w:t xml:space="preserve">Акт приема-передачи помещения. Должен соответствовать условиям договора и в обязательном порядке содержать:</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 адрес и площадь помещения;</w:t>
            </w:r>
          </w:p>
          <w:p>
            <w:pPr>
              <w:pStyle w:val="0"/>
            </w:pPr>
            <w:r>
              <w:rPr>
                <w:sz w:val="20"/>
              </w:rPr>
              <w:t xml:space="preserve">5) печати (при наличии) и подписи сторон</w:t>
            </w:r>
          </w:p>
        </w:tc>
      </w:tr>
      <w:tr>
        <w:tc>
          <w:tcPr>
            <w:tcW w:w="850" w:type="dxa"/>
          </w:tcPr>
          <w:p>
            <w:pPr>
              <w:pStyle w:val="0"/>
            </w:pPr>
            <w:r>
              <w:rPr>
                <w:sz w:val="20"/>
              </w:rPr>
              <w:t xml:space="preserve">2.2.2</w:t>
            </w:r>
          </w:p>
        </w:tc>
        <w:tc>
          <w:tcPr>
            <w:tcW w:w="8220" w:type="dxa"/>
          </w:tcPr>
          <w:p>
            <w:pPr>
              <w:pStyle w:val="0"/>
            </w:pPr>
            <w:r>
              <w:rPr>
                <w:sz w:val="20"/>
              </w:rPr>
              <w:t xml:space="preserve">Акт приема-передачи или иной документ, предусмотренный договором, подтверждающий передачу.</w:t>
            </w:r>
          </w:p>
          <w:p>
            <w:pPr>
              <w:pStyle w:val="0"/>
            </w:pPr>
            <w:r>
              <w:rPr>
                <w:sz w:val="20"/>
              </w:rPr>
              <w:t xml:space="preserve">Акт приема передачи представляется, если он предусмотрен договором. Если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в соответствии с договором осуществляется не по акту приема-передачи, то акт приема-передачи не представляется. При этом представляются установленные договором документы, подтверждающие передачу.</w:t>
            </w:r>
          </w:p>
          <w:p>
            <w:pPr>
              <w:pStyle w:val="0"/>
            </w:pPr>
            <w:r>
              <w:rPr>
                <w:sz w:val="20"/>
              </w:rPr>
              <w:t xml:space="preserve">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w:t>
            </w:r>
          </w:p>
          <w:p>
            <w:pPr>
              <w:pStyle w:val="0"/>
            </w:pPr>
            <w:r>
              <w:rPr>
                <w:sz w:val="20"/>
              </w:rPr>
              <w:t xml:space="preserve">5) печати (при наличии) и подписи сторон</w:t>
            </w:r>
          </w:p>
        </w:tc>
      </w:tr>
      <w:tr>
        <w:tc>
          <w:tcPr>
            <w:tcW w:w="850" w:type="dxa"/>
          </w:tcPr>
          <w:p>
            <w:pPr>
              <w:pStyle w:val="0"/>
            </w:pPr>
            <w:r>
              <w:rPr>
                <w:sz w:val="20"/>
              </w:rPr>
              <w:t xml:space="preserve">2.2.3</w:t>
            </w:r>
          </w:p>
        </w:tc>
        <w:tc>
          <w:tcPr>
            <w:tcW w:w="8220" w:type="dxa"/>
          </w:tcPr>
          <w:p>
            <w:pPr>
              <w:pStyle w:val="0"/>
            </w:pPr>
            <w:r>
              <w:rPr>
                <w:sz w:val="20"/>
              </w:rPr>
              <w:t xml:space="preserve">Товарная </w:t>
            </w:r>
            <w:hyperlink w:history="0" r:id="rId637"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накладная</w:t>
              </w:r>
            </w:hyperlink>
            <w:r>
              <w:rPr>
                <w:sz w:val="20"/>
              </w:rPr>
              <w:t xml:space="preserve"> по форме N ТОРГ-12 - в случае приобретения строительных материалов в организации торговли.</w:t>
            </w:r>
          </w:p>
          <w:p>
            <w:pPr>
              <w:pStyle w:val="0"/>
            </w:pPr>
            <w:r>
              <w:rPr>
                <w:sz w:val="20"/>
              </w:rPr>
              <w:t xml:space="preserve">Представляется по форме N ТОРГ-12, утвержденной постановлением Государственного комитета Российской Федерации по статистике от 25.12.1998 N 132 "Об утверждении унифицированных форм первичной учетной документации по учету торговых операций")</w:t>
            </w:r>
          </w:p>
        </w:tc>
      </w:tr>
      <w:tr>
        <w:tc>
          <w:tcPr>
            <w:tcW w:w="850" w:type="dxa"/>
          </w:tcPr>
          <w:p>
            <w:pPr>
              <w:pStyle w:val="0"/>
            </w:pPr>
            <w:r>
              <w:rPr>
                <w:sz w:val="20"/>
              </w:rPr>
              <w:t xml:space="preserve">2.2.4</w:t>
            </w:r>
          </w:p>
        </w:tc>
        <w:tc>
          <w:tcPr>
            <w:tcW w:w="8220" w:type="dxa"/>
          </w:tcPr>
          <w:p>
            <w:pPr>
              <w:pStyle w:val="0"/>
            </w:pPr>
            <w:r>
              <w:rPr>
                <w:sz w:val="20"/>
              </w:rPr>
              <w:t xml:space="preserve">Универсальный передаточный документ (УПД) - для Оборудования, приобретенного на территории Российской Федерации. Представляется плательщиками НДС</w:t>
            </w:r>
          </w:p>
        </w:tc>
      </w:tr>
      <w:tr>
        <w:tc>
          <w:tcPr>
            <w:tcW w:w="850" w:type="dxa"/>
          </w:tcPr>
          <w:p>
            <w:pPr>
              <w:pStyle w:val="0"/>
            </w:pPr>
            <w:r>
              <w:rPr>
                <w:sz w:val="20"/>
              </w:rPr>
              <w:t xml:space="preserve">2.2.5</w:t>
            </w:r>
          </w:p>
        </w:tc>
        <w:tc>
          <w:tcPr>
            <w:tcW w:w="8220" w:type="dxa"/>
          </w:tcPr>
          <w:p>
            <w:pPr>
              <w:pStyle w:val="0"/>
            </w:pPr>
            <w:r>
              <w:rPr>
                <w:sz w:val="20"/>
              </w:rPr>
              <w:t xml:space="preserve">Декларация на товары - для Оборудования, приобретенного за пределами территории Российской Федерации</w:t>
            </w:r>
          </w:p>
        </w:tc>
      </w:tr>
      <w:tr>
        <w:tc>
          <w:tcPr>
            <w:tcW w:w="850" w:type="dxa"/>
          </w:tcPr>
          <w:p>
            <w:pPr>
              <w:pStyle w:val="0"/>
            </w:pPr>
            <w:r>
              <w:rPr>
                <w:sz w:val="20"/>
              </w:rPr>
              <w:t xml:space="preserve">2.3</w:t>
            </w:r>
          </w:p>
        </w:tc>
        <w:tc>
          <w:tcPr>
            <w:tcW w:w="8220" w:type="dxa"/>
          </w:tcPr>
          <w:p>
            <w:pPr>
              <w:pStyle w:val="0"/>
            </w:pPr>
            <w:r>
              <w:rPr>
                <w:sz w:val="20"/>
              </w:rPr>
              <w:t xml:space="preserve">Акты приемки выполненных работ:</w:t>
            </w:r>
          </w:p>
        </w:tc>
      </w:tr>
      <w:tr>
        <w:tc>
          <w:tcPr>
            <w:tcW w:w="850" w:type="dxa"/>
          </w:tcPr>
          <w:p>
            <w:pPr>
              <w:pStyle w:val="0"/>
            </w:pPr>
            <w:r>
              <w:rPr>
                <w:sz w:val="20"/>
              </w:rPr>
              <w:t xml:space="preserve">2.3.1</w:t>
            </w:r>
          </w:p>
        </w:tc>
        <w:tc>
          <w:tcPr>
            <w:tcW w:w="8220" w:type="dxa"/>
          </w:tcPr>
          <w:p>
            <w:pPr>
              <w:pStyle w:val="0"/>
            </w:pPr>
            <w:r>
              <w:rPr>
                <w:sz w:val="20"/>
              </w:rPr>
              <w:t xml:space="preserve">Акт о приемке выполненных работ (форма N КС-2) - по затратам на ремонт помещения (подрядным способом).</w:t>
            </w:r>
          </w:p>
          <w:p>
            <w:pPr>
              <w:pStyle w:val="0"/>
            </w:pPr>
            <w:r>
              <w:rPr>
                <w:sz w:val="20"/>
              </w:rPr>
              <w:t xml:space="preserve">Представляется в соответствии с </w:t>
            </w:r>
            <w:hyperlink w:history="0" r:id="rId638" w:tooltip="Письмо Росстата от 31.05.2005 N 01-02-9/381 &quot;О порядке применения и заполнения унифицированных форм первичной учетной документации N КС-2, КС-3 и КС-11&quot; {КонсультантПлюс}">
              <w:r>
                <w:rPr>
                  <w:sz w:val="20"/>
                  <w:color w:val="0000ff"/>
                </w:rPr>
                <w:t xml:space="preserve">письмом</w:t>
              </w:r>
            </w:hyperlink>
            <w:r>
              <w:rPr>
                <w:sz w:val="20"/>
              </w:rPr>
              <w:t xml:space="preserve"> Росстата от 31.05.2005 N 01-02-9/381 "О порядке применения и заполнения унифицированных форм первичной учетной документации N КС-2, КС-3 и КС-11"</w:t>
            </w:r>
          </w:p>
        </w:tc>
      </w:tr>
      <w:tr>
        <w:tc>
          <w:tcPr>
            <w:tcW w:w="850" w:type="dxa"/>
          </w:tcPr>
          <w:p>
            <w:pPr>
              <w:pStyle w:val="0"/>
            </w:pPr>
            <w:r>
              <w:rPr>
                <w:sz w:val="20"/>
              </w:rPr>
              <w:t xml:space="preserve">2.3.2</w:t>
            </w:r>
          </w:p>
        </w:tc>
        <w:tc>
          <w:tcPr>
            <w:tcW w:w="8220" w:type="dxa"/>
          </w:tcPr>
          <w:p>
            <w:pPr>
              <w:pStyle w:val="0"/>
            </w:pPr>
            <w:r>
              <w:rPr>
                <w:sz w:val="20"/>
              </w:rPr>
              <w:t xml:space="preserve">Справка о стоимости выполненных работ и затрат (форма N КС-3) - по затратам на ремонт помещения (подрядным способом).</w:t>
            </w:r>
          </w:p>
          <w:p>
            <w:pPr>
              <w:pStyle w:val="0"/>
            </w:pPr>
            <w:r>
              <w:rPr>
                <w:sz w:val="20"/>
              </w:rPr>
              <w:t xml:space="preserve">Представляется в соответствии с </w:t>
            </w:r>
            <w:hyperlink w:history="0" r:id="rId639" w:tooltip="Письмо Росстата от 31.05.2005 N 01-02-9/381 &quot;О порядке применения и заполнения унифицированных форм первичной учетной документации N КС-2, КС-3 и КС-11&quot; {КонсультантПлюс}">
              <w:r>
                <w:rPr>
                  <w:sz w:val="20"/>
                  <w:color w:val="0000ff"/>
                </w:rPr>
                <w:t xml:space="preserve">письмом</w:t>
              </w:r>
            </w:hyperlink>
            <w:r>
              <w:rPr>
                <w:sz w:val="20"/>
              </w:rPr>
              <w:t xml:space="preserve"> Росстата от 31.05.2005 N 01-02-9/381 "О порядке применения и заполнения унифицированных форм первичной учетной документации N КС-2, КС-3 и КС-11"</w:t>
            </w:r>
          </w:p>
        </w:tc>
      </w:tr>
      <w:tr>
        <w:tc>
          <w:tcPr>
            <w:tcW w:w="850" w:type="dxa"/>
          </w:tcPr>
          <w:p>
            <w:pPr>
              <w:pStyle w:val="0"/>
            </w:pPr>
            <w:r>
              <w:rPr>
                <w:sz w:val="20"/>
              </w:rPr>
              <w:t xml:space="preserve">2.3.3</w:t>
            </w:r>
          </w:p>
        </w:tc>
        <w:tc>
          <w:tcPr>
            <w:tcW w:w="8220" w:type="dxa"/>
          </w:tcPr>
          <w:p>
            <w:pPr>
              <w:pStyle w:val="0"/>
            </w:pPr>
            <w:r>
              <w:rPr>
                <w:sz w:val="20"/>
              </w:rPr>
              <w:t xml:space="preserve">Акт приемки оказанных услуг (акт оказания услуг).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перечень оказанных услуг;</w:t>
            </w:r>
          </w:p>
          <w:p>
            <w:pPr>
              <w:pStyle w:val="0"/>
            </w:pPr>
            <w:r>
              <w:rPr>
                <w:sz w:val="20"/>
              </w:rPr>
              <w:t xml:space="preserve">5) печати (при наличии) и подписи сторон</w:t>
            </w:r>
          </w:p>
        </w:tc>
      </w:tr>
      <w:tr>
        <w:tc>
          <w:tcPr>
            <w:tcW w:w="850" w:type="dxa"/>
          </w:tcPr>
          <w:p>
            <w:pPr>
              <w:pStyle w:val="0"/>
            </w:pPr>
            <w:r>
              <w:rPr>
                <w:sz w:val="20"/>
              </w:rPr>
              <w:t xml:space="preserve">2.4</w:t>
            </w:r>
          </w:p>
        </w:tc>
        <w:tc>
          <w:tcPr>
            <w:tcW w:w="8220" w:type="dxa"/>
          </w:tcPr>
          <w:p>
            <w:pPr>
              <w:pStyle w:val="0"/>
            </w:pPr>
            <w:r>
              <w:rPr>
                <w:sz w:val="20"/>
              </w:rPr>
              <w:t xml:space="preserve">Счета:</w:t>
            </w:r>
          </w:p>
        </w:tc>
      </w:tr>
      <w:tr>
        <w:tc>
          <w:tcPr>
            <w:tcW w:w="850" w:type="dxa"/>
          </w:tcPr>
          <w:p>
            <w:pPr>
              <w:pStyle w:val="0"/>
            </w:pPr>
            <w:r>
              <w:rPr>
                <w:sz w:val="20"/>
              </w:rPr>
              <w:t xml:space="preserve">2.4.1</w:t>
            </w:r>
          </w:p>
        </w:tc>
        <w:tc>
          <w:tcPr>
            <w:tcW w:w="8220" w:type="dxa"/>
          </w:tcPr>
          <w:p>
            <w:pPr>
              <w:pStyle w:val="0"/>
            </w:pPr>
            <w:r>
              <w:rPr>
                <w:sz w:val="20"/>
              </w:rPr>
              <w:t xml:space="preserve">Счет на оплату. Представляется в случае отсутствия ссылки на договор в графе "Назначение платежа" платежного поручения, но имеется ссылка на счет (в таком случае ссылка на договор должна быть в счете на оплату).</w:t>
            </w:r>
          </w:p>
          <w:p>
            <w:pPr>
              <w:pStyle w:val="0"/>
            </w:pPr>
            <w:r>
              <w:rPr>
                <w:sz w:val="20"/>
              </w:rPr>
              <w:t xml:space="preserve">Счет на оплату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ссылку на номер и дату договора;</w:t>
            </w:r>
          </w:p>
          <w:p>
            <w:pPr>
              <w:pStyle w:val="0"/>
            </w:pPr>
            <w:r>
              <w:rPr>
                <w:sz w:val="20"/>
              </w:rPr>
              <w:t xml:space="preserve">2) указание на лицо, выдавшее счет (наименование юридического лица, Ф.И.О. индивидуального предпринимателя, ИНН, КПП);</w:t>
            </w:r>
          </w:p>
          <w:p>
            <w:pPr>
              <w:pStyle w:val="0"/>
            </w:pPr>
            <w:r>
              <w:rPr>
                <w:sz w:val="20"/>
              </w:rPr>
              <w:t xml:space="preserve">3) указание на плательщика (наименование юридического лица, Ф.И.О. индивидуального предпринимателя, ИНН, КПП);</w:t>
            </w:r>
          </w:p>
          <w:p>
            <w:pPr>
              <w:pStyle w:val="0"/>
            </w:pPr>
            <w:r>
              <w:rPr>
                <w:sz w:val="20"/>
              </w:rPr>
              <w:t xml:space="preserve">4) предмет договора (за что производится оплата по счету);</w:t>
            </w:r>
          </w:p>
          <w:p>
            <w:pPr>
              <w:pStyle w:val="0"/>
            </w:pPr>
            <w:r>
              <w:rPr>
                <w:sz w:val="20"/>
              </w:rPr>
              <w:t xml:space="preserve">5) сумму платежа;</w:t>
            </w:r>
          </w:p>
          <w:p>
            <w:pPr>
              <w:pStyle w:val="0"/>
            </w:pPr>
            <w:r>
              <w:rPr>
                <w:sz w:val="20"/>
              </w:rPr>
              <w:t xml:space="preserve">6) печать и подпись лица, выдавшего счет</w:t>
            </w:r>
          </w:p>
        </w:tc>
      </w:tr>
      <w:tr>
        <w:tc>
          <w:tcPr>
            <w:tcW w:w="850" w:type="dxa"/>
          </w:tcPr>
          <w:p>
            <w:pPr>
              <w:pStyle w:val="0"/>
            </w:pPr>
            <w:r>
              <w:rPr>
                <w:sz w:val="20"/>
              </w:rPr>
              <w:t xml:space="preserve">2.4.2</w:t>
            </w:r>
          </w:p>
        </w:tc>
        <w:tc>
          <w:tcPr>
            <w:tcW w:w="8220" w:type="dxa"/>
          </w:tcPr>
          <w:p>
            <w:pPr>
              <w:pStyle w:val="0"/>
            </w:pPr>
            <w:r>
              <w:rPr>
                <w:sz w:val="20"/>
              </w:rPr>
              <w:t xml:space="preserve">Инвойс на оплату. 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 (инвойс). В данном случае ссылка на договор (или контракт) должна быть в счете (инвойсе) на оплату. Счет (инвойс) на оплату должен соответствовать условиям договора (или контракта) и в обязательном порядке содержать следующие реквизиты (информацию):</w:t>
            </w:r>
          </w:p>
          <w:p>
            <w:pPr>
              <w:pStyle w:val="0"/>
            </w:pPr>
            <w:r>
              <w:rPr>
                <w:sz w:val="20"/>
              </w:rPr>
              <w:t xml:space="preserve">1) ссылку на номер и дату договора (или контракта);</w:t>
            </w:r>
          </w:p>
          <w:p>
            <w:pPr>
              <w:pStyle w:val="0"/>
            </w:pPr>
            <w:r>
              <w:rPr>
                <w:sz w:val="20"/>
              </w:rPr>
              <w:t xml:space="preserve">2) указание на лицо, выдавшее счет (инвойс) (наименование юридического лица, Ф.И.О., ИНН, КПП);</w:t>
            </w:r>
          </w:p>
          <w:p>
            <w:pPr>
              <w:pStyle w:val="0"/>
            </w:pPr>
            <w:r>
              <w:rPr>
                <w:sz w:val="20"/>
              </w:rPr>
              <w:t xml:space="preserve">3) указание на плательщика (наименование юридического лица, Ф.И.О. индивидуального предпринимателя, ИНН, КПП);</w:t>
            </w:r>
          </w:p>
          <w:p>
            <w:pPr>
              <w:pStyle w:val="0"/>
            </w:pPr>
            <w:r>
              <w:rPr>
                <w:sz w:val="20"/>
              </w:rPr>
              <w:t xml:space="preserve">4) наименование Оборудования (за что производится оплата по счету);</w:t>
            </w:r>
          </w:p>
          <w:p>
            <w:pPr>
              <w:pStyle w:val="0"/>
            </w:pPr>
            <w:r>
              <w:rPr>
                <w:sz w:val="20"/>
              </w:rPr>
              <w:t xml:space="preserve">5) сумму платежа;</w:t>
            </w:r>
          </w:p>
          <w:p>
            <w:pPr>
              <w:pStyle w:val="0"/>
            </w:pPr>
            <w:r>
              <w:rPr>
                <w:sz w:val="20"/>
              </w:rPr>
              <w:t xml:space="preserve">6) печать (при наличии) и подпись лица, выдавшего счет (инвойс)</w:t>
            </w:r>
          </w:p>
        </w:tc>
      </w:tr>
      <w:tr>
        <w:tc>
          <w:tcPr>
            <w:tcW w:w="850" w:type="dxa"/>
          </w:tcPr>
          <w:p>
            <w:pPr>
              <w:pStyle w:val="0"/>
            </w:pPr>
            <w:r>
              <w:rPr>
                <w:sz w:val="20"/>
              </w:rPr>
              <w:t xml:space="preserve">2.4.3</w:t>
            </w:r>
          </w:p>
        </w:tc>
        <w:tc>
          <w:tcPr>
            <w:tcW w:w="8220" w:type="dxa"/>
          </w:tcPr>
          <w:p>
            <w:pPr>
              <w:pStyle w:val="0"/>
            </w:pPr>
            <w:r>
              <w:rPr>
                <w:sz w:val="20"/>
              </w:rPr>
              <w:t xml:space="preserve">Счет на оплату коммунальных услуг либо расчет платы за коммунальные услуги. Представляется в случае отсутствия ссылки на договор в графе "Назначение платежа" платежного поручения. 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r>
      <w:tr>
        <w:tc>
          <w:tcPr>
            <w:tcW w:w="850" w:type="dxa"/>
          </w:tcPr>
          <w:p>
            <w:pPr>
              <w:pStyle w:val="0"/>
            </w:pPr>
            <w:r>
              <w:rPr>
                <w:sz w:val="20"/>
              </w:rPr>
              <w:t xml:space="preserve">2.5</w:t>
            </w:r>
          </w:p>
        </w:tc>
        <w:tc>
          <w:tcPr>
            <w:tcW w:w="8220" w:type="dxa"/>
          </w:tcPr>
          <w:p>
            <w:pPr>
              <w:pStyle w:val="0"/>
            </w:pPr>
            <w:r>
              <w:rPr>
                <w:sz w:val="20"/>
              </w:rPr>
              <w:t xml:space="preserve">Документы, подтверждающие оплату:</w:t>
            </w:r>
          </w:p>
        </w:tc>
      </w:tr>
      <w:tr>
        <w:tc>
          <w:tcPr>
            <w:tcW w:w="850" w:type="dxa"/>
          </w:tcPr>
          <w:p>
            <w:pPr>
              <w:pStyle w:val="0"/>
            </w:pPr>
            <w:r>
              <w:rPr>
                <w:sz w:val="20"/>
              </w:rPr>
              <w:t xml:space="preserve">2.5.1</w:t>
            </w:r>
          </w:p>
        </w:tc>
        <w:tc>
          <w:tcPr>
            <w:tcW w:w="8220" w:type="dxa"/>
          </w:tcPr>
          <w:p>
            <w:pPr>
              <w:pStyle w:val="0"/>
            </w:pPr>
            <w:r>
              <w:rPr>
                <w:sz w:val="20"/>
              </w:rPr>
              <w:t xml:space="preserve">Платежное поручение (банковский ордер).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Должно содержать отметку о списании денежных средств с указанием даты списания. В графе "Назначение платежа" платежного поручения должна быть</w:t>
            </w:r>
          </w:p>
          <w:p>
            <w:pPr>
              <w:pStyle w:val="0"/>
            </w:pPr>
            <w:r>
              <w:rPr>
                <w:sz w:val="20"/>
              </w:rPr>
              <w:t xml:space="preserve">ссылка на договор или счет на оплату, на основании которого производится платеж, для затрат на аренду и коммунальные платежи - период, за который производится оплата аренды (месяц, год)</w:t>
            </w:r>
          </w:p>
        </w:tc>
      </w:tr>
      <w:tr>
        <w:tc>
          <w:tcPr>
            <w:tcW w:w="850" w:type="dxa"/>
          </w:tcPr>
          <w:p>
            <w:pPr>
              <w:pStyle w:val="0"/>
            </w:pPr>
            <w:r>
              <w:rPr>
                <w:sz w:val="20"/>
              </w:rPr>
              <w:t xml:space="preserve">2.5.2</w:t>
            </w:r>
          </w:p>
        </w:tc>
        <w:tc>
          <w:tcPr>
            <w:tcW w:w="8220" w:type="dxa"/>
          </w:tcPr>
          <w:p>
            <w:pPr>
              <w:pStyle w:val="0"/>
            </w:pPr>
            <w:r>
              <w:rPr>
                <w:sz w:val="20"/>
              </w:rPr>
              <w:t xml:space="preserve">Заявление на перевод валюты - для Оборудования, приобретенного за пределами территории Российской Федерации.</w:t>
            </w:r>
          </w:p>
          <w:p>
            <w:pPr>
              <w:pStyle w:val="0"/>
            </w:pPr>
            <w:r>
              <w:rPr>
                <w:sz w:val="20"/>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tc>
          <w:tcPr>
            <w:tcW w:w="850" w:type="dxa"/>
          </w:tcPr>
          <w:p>
            <w:pPr>
              <w:pStyle w:val="0"/>
            </w:pPr>
            <w:r>
              <w:rPr>
                <w:sz w:val="20"/>
              </w:rPr>
              <w:t xml:space="preserve">2.5.3</w:t>
            </w:r>
          </w:p>
        </w:tc>
        <w:tc>
          <w:tcPr>
            <w:tcW w:w="8220" w:type="dxa"/>
          </w:tcPr>
          <w:p>
            <w:pPr>
              <w:pStyle w:val="0"/>
            </w:pPr>
            <w:r>
              <w:rPr>
                <w:sz w:val="20"/>
              </w:rPr>
              <w:t xml:space="preserve">Выписка банка, подтверждающая оплату по договору. Заверяется печатью банка или оригинальным оттиском штампа и подписью операциониста банка с указанием фамилии и инициалов или подписывается ЭП операциониста банка (при необходимости).</w:t>
            </w:r>
          </w:p>
          <w:p>
            <w:pPr>
              <w:pStyle w:val="0"/>
            </w:pPr>
            <w:r>
              <w:rPr>
                <w:sz w:val="20"/>
              </w:rPr>
              <w:t xml:space="preserve">Выписка банка в обязательном порядке должна содержать следующие реквизиты (информацию):</w:t>
            </w:r>
          </w:p>
          <w:p>
            <w:pPr>
              <w:pStyle w:val="0"/>
            </w:pPr>
            <w:r>
              <w:rPr>
                <w:sz w:val="20"/>
              </w:rPr>
              <w:t xml:space="preserve">1. Наименование банка.</w:t>
            </w:r>
          </w:p>
          <w:p>
            <w:pPr>
              <w:pStyle w:val="0"/>
            </w:pPr>
            <w:r>
              <w:rPr>
                <w:sz w:val="20"/>
              </w:rPr>
              <w:t xml:space="preserve">2. Полное наименование организации, Ф.И.О. индивидуального предпринимателя.</w:t>
            </w:r>
          </w:p>
          <w:p>
            <w:pPr>
              <w:pStyle w:val="0"/>
            </w:pPr>
            <w:r>
              <w:rPr>
                <w:sz w:val="20"/>
              </w:rPr>
              <w:t xml:space="preserve">3. Номер банковского счета, по которому представляется выписка.</w:t>
            </w:r>
          </w:p>
          <w:p>
            <w:pPr>
              <w:pStyle w:val="0"/>
            </w:pPr>
            <w:r>
              <w:rPr>
                <w:sz w:val="20"/>
              </w:rPr>
              <w:t xml:space="preserve">4. Период, за который представляется выписка.</w:t>
            </w:r>
          </w:p>
          <w:p>
            <w:pPr>
              <w:pStyle w:val="0"/>
            </w:pPr>
            <w:r>
              <w:rPr>
                <w:sz w:val="20"/>
              </w:rPr>
              <w:t xml:space="preserve">5. Дата совершения операции (дд.мм.гг).</w:t>
            </w:r>
          </w:p>
          <w:p>
            <w:pPr>
              <w:pStyle w:val="0"/>
            </w:pPr>
            <w:r>
              <w:rPr>
                <w:sz w:val="20"/>
              </w:rPr>
              <w:t xml:space="preserve">6. Реквизиты документа, на основании которого была совершена операция по счету (номер, дата).</w:t>
            </w:r>
          </w:p>
          <w:p>
            <w:pPr>
              <w:pStyle w:val="0"/>
            </w:pPr>
            <w:r>
              <w:rPr>
                <w:sz w:val="20"/>
              </w:rPr>
              <w:t xml:space="preserve">7. Наименование плательщика (получателя) денежных средств.</w:t>
            </w:r>
          </w:p>
          <w:p>
            <w:pPr>
              <w:pStyle w:val="0"/>
            </w:pPr>
            <w:r>
              <w:rPr>
                <w:sz w:val="20"/>
              </w:rPr>
              <w:t xml:space="preserve">8. Сумма операции по счету (дебету, кредиту).</w:t>
            </w:r>
          </w:p>
          <w:p>
            <w:pPr>
              <w:pStyle w:val="0"/>
            </w:pPr>
            <w:r>
              <w:rPr>
                <w:sz w:val="20"/>
              </w:rPr>
              <w:t xml:space="preserve">9. Назначение платежа</w:t>
            </w:r>
          </w:p>
        </w:tc>
      </w:tr>
      <w:tr>
        <w:tc>
          <w:tcPr>
            <w:tcW w:w="850" w:type="dxa"/>
          </w:tcPr>
          <w:p>
            <w:pPr>
              <w:pStyle w:val="0"/>
            </w:pPr>
            <w:r>
              <w:rPr>
                <w:sz w:val="20"/>
              </w:rPr>
              <w:t xml:space="preserve">2.5.4</w:t>
            </w:r>
          </w:p>
        </w:tc>
        <w:tc>
          <w:tcPr>
            <w:tcW w:w="8220" w:type="dxa"/>
          </w:tcPr>
          <w:p>
            <w:pPr>
              <w:pStyle w:val="0"/>
            </w:pPr>
            <w:r>
              <w:rPr>
                <w:sz w:val="20"/>
              </w:rPr>
              <w:t xml:space="preserve">Выписка из ЕГРН. Должна быть получена не позднее первого числа месяца, предшествующего месяцу представления документов, подтверждающих затраты</w:t>
            </w:r>
          </w:p>
        </w:tc>
      </w:tr>
      <w:tr>
        <w:tc>
          <w:tcPr>
            <w:tcW w:w="850" w:type="dxa"/>
          </w:tcPr>
          <w:p>
            <w:pPr>
              <w:pStyle w:val="0"/>
            </w:pPr>
            <w:r>
              <w:rPr>
                <w:sz w:val="20"/>
              </w:rPr>
              <w:t xml:space="preserve">2.6</w:t>
            </w:r>
          </w:p>
        </w:tc>
        <w:tc>
          <w:tcPr>
            <w:tcW w:w="8220" w:type="dxa"/>
          </w:tcPr>
          <w:p>
            <w:pPr>
              <w:pStyle w:val="0"/>
            </w:pPr>
            <w:r>
              <w:rPr>
                <w:sz w:val="20"/>
              </w:rPr>
              <w:t xml:space="preserve">Документы, подтверждающие объем и (или) стоимость ремонтных работ:</w:t>
            </w:r>
          </w:p>
        </w:tc>
      </w:tr>
      <w:tr>
        <w:tc>
          <w:tcPr>
            <w:tcW w:w="850" w:type="dxa"/>
          </w:tcPr>
          <w:p>
            <w:pPr>
              <w:pStyle w:val="0"/>
            </w:pPr>
            <w:r>
              <w:rPr>
                <w:sz w:val="20"/>
              </w:rPr>
              <w:t xml:space="preserve">2.6.1</w:t>
            </w:r>
          </w:p>
        </w:tc>
        <w:tc>
          <w:tcPr>
            <w:tcW w:w="8220" w:type="dxa"/>
          </w:tcPr>
          <w:p>
            <w:pPr>
              <w:pStyle w:val="0"/>
            </w:pPr>
            <w:r>
              <w:rPr>
                <w:sz w:val="20"/>
              </w:rPr>
              <w:t xml:space="preserve">Смета на проведение ремонта (при проведении капитального ремонта).</w:t>
            </w:r>
          </w:p>
          <w:p>
            <w:pPr>
              <w:pStyle w:val="0"/>
            </w:pPr>
            <w:r>
              <w:rPr>
                <w:sz w:val="20"/>
              </w:rPr>
              <w:t xml:space="preserve">Должна содержать:</w:t>
            </w:r>
          </w:p>
          <w:p>
            <w:pPr>
              <w:pStyle w:val="0"/>
            </w:pPr>
            <w:r>
              <w:rPr>
                <w:sz w:val="20"/>
              </w:rPr>
              <w:t xml:space="preserve">номер, место, дату составления бланка, подписи ответственных лиц и печати (при наличии);</w:t>
            </w:r>
          </w:p>
          <w:p>
            <w:pPr>
              <w:pStyle w:val="0"/>
            </w:pPr>
            <w:r>
              <w:rPr>
                <w:sz w:val="20"/>
              </w:rPr>
              <w:t xml:space="preserve">информацию об организациях, между которыми заключен договор на строительно-отделочные работы;</w:t>
            </w:r>
          </w:p>
          <w:p>
            <w:pPr>
              <w:pStyle w:val="0"/>
            </w:pPr>
            <w:r>
              <w:rPr>
                <w:sz w:val="20"/>
              </w:rPr>
              <w:t xml:space="preserve">дается ссылка на сам договор (указывается его номер и дата заключения);</w:t>
            </w:r>
          </w:p>
          <w:p>
            <w:pPr>
              <w:pStyle w:val="0"/>
            </w:pPr>
            <w:r>
              <w:rPr>
                <w:sz w:val="20"/>
              </w:rPr>
              <w:t xml:space="preserve">название работ;</w:t>
            </w:r>
          </w:p>
          <w:p>
            <w:pPr>
              <w:pStyle w:val="0"/>
            </w:pPr>
            <w:r>
              <w:rPr>
                <w:sz w:val="20"/>
              </w:rPr>
              <w:t xml:space="preserve">единицу измерения работ (квадратные метры, килограммы, штуки и т.п.);</w:t>
            </w:r>
          </w:p>
          <w:p>
            <w:pPr>
              <w:pStyle w:val="0"/>
            </w:pPr>
            <w:r>
              <w:rPr>
                <w:sz w:val="20"/>
              </w:rPr>
              <w:t xml:space="preserve">цену за единицу измерения;</w:t>
            </w:r>
          </w:p>
          <w:p>
            <w:pPr>
              <w:pStyle w:val="0"/>
            </w:pPr>
            <w:r>
              <w:rPr>
                <w:sz w:val="20"/>
              </w:rPr>
              <w:t xml:space="preserve">общую стоимость.</w:t>
            </w:r>
          </w:p>
          <w:p>
            <w:pPr>
              <w:pStyle w:val="0"/>
            </w:pPr>
            <w:r>
              <w:rPr>
                <w:sz w:val="20"/>
              </w:rPr>
              <w:t xml:space="preserve">Исправления, помарки, опечатки в дефектной ведомости не допускаются (в случае их наличия нужно составить новый документ на новом бланке)</w:t>
            </w:r>
          </w:p>
        </w:tc>
      </w:tr>
      <w:tr>
        <w:tc>
          <w:tcPr>
            <w:tcW w:w="850" w:type="dxa"/>
          </w:tcPr>
          <w:p>
            <w:pPr>
              <w:pStyle w:val="0"/>
            </w:pPr>
            <w:r>
              <w:rPr>
                <w:sz w:val="20"/>
              </w:rPr>
              <w:t xml:space="preserve">2.7</w:t>
            </w:r>
          </w:p>
        </w:tc>
        <w:tc>
          <w:tcPr>
            <w:tcW w:w="8220" w:type="dxa"/>
          </w:tcPr>
          <w:p>
            <w:pPr>
              <w:pStyle w:val="0"/>
            </w:pPr>
            <w:r>
              <w:rPr>
                <w:sz w:val="20"/>
              </w:rPr>
              <w:t xml:space="preserve">Для транспортных средств и самоходных машин:</w:t>
            </w:r>
          </w:p>
        </w:tc>
      </w:tr>
      <w:tr>
        <w:tc>
          <w:tcPr>
            <w:tcW w:w="850" w:type="dxa"/>
          </w:tcPr>
          <w:p>
            <w:pPr>
              <w:pStyle w:val="0"/>
            </w:pPr>
            <w:r>
              <w:rPr>
                <w:sz w:val="20"/>
              </w:rPr>
              <w:t xml:space="preserve">2.7.1</w:t>
            </w:r>
          </w:p>
        </w:tc>
        <w:tc>
          <w:tcPr>
            <w:tcW w:w="8220" w:type="dxa"/>
          </w:tcPr>
          <w:p>
            <w:pPr>
              <w:pStyle w:val="0"/>
            </w:pPr>
            <w:r>
              <w:rPr>
                <w:sz w:val="20"/>
              </w:rPr>
              <w:t xml:space="preserve">ПТС (ПСМ). Представляется при переоборудовании транспортных средств для перевозки маломобильных групп населения, в том числе инвалидов</w:t>
            </w:r>
          </w:p>
        </w:tc>
      </w:tr>
      <w:tr>
        <w:tc>
          <w:tcPr>
            <w:tcW w:w="850" w:type="dxa"/>
          </w:tcPr>
          <w:p>
            <w:pPr>
              <w:pStyle w:val="0"/>
            </w:pPr>
            <w:r>
              <w:rPr>
                <w:sz w:val="20"/>
              </w:rPr>
              <w:t xml:space="preserve">2.7.2</w:t>
            </w:r>
          </w:p>
        </w:tc>
        <w:tc>
          <w:tcPr>
            <w:tcW w:w="8220" w:type="dxa"/>
          </w:tcPr>
          <w:p>
            <w:pPr>
              <w:pStyle w:val="0"/>
            </w:pPr>
            <w:r>
              <w:rPr>
                <w:sz w:val="20"/>
              </w:rPr>
              <w:t xml:space="preserve">СТС (ССМ). Представляется по </w:t>
            </w:r>
            <w:hyperlink w:history="0" r:id="rId64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форме</w:t>
              </w:r>
            </w:hyperlink>
            <w:r>
              <w:rPr>
                <w:sz w:val="20"/>
              </w:rP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tc>
      </w:tr>
      <w:tr>
        <w:tc>
          <w:tcPr>
            <w:tcW w:w="850" w:type="dxa"/>
          </w:tcPr>
          <w:p>
            <w:pPr>
              <w:pStyle w:val="0"/>
            </w:pPr>
            <w:r>
              <w:rPr>
                <w:sz w:val="20"/>
              </w:rPr>
              <w:t xml:space="preserve">2.8</w:t>
            </w:r>
          </w:p>
        </w:tc>
        <w:tc>
          <w:tcPr>
            <w:tcW w:w="8220" w:type="dxa"/>
          </w:tcPr>
          <w:p>
            <w:pPr>
              <w:pStyle w:val="0"/>
            </w:pPr>
            <w:r>
              <w:rPr>
                <w:sz w:val="20"/>
              </w:rPr>
              <w:t xml:space="preserve">Бухгалтерские документы о постановке на баланс:</w:t>
            </w:r>
          </w:p>
        </w:tc>
      </w:tr>
      <w:tr>
        <w:tc>
          <w:tcPr>
            <w:tcW w:w="850" w:type="dxa"/>
          </w:tcPr>
          <w:p>
            <w:pPr>
              <w:pStyle w:val="0"/>
            </w:pPr>
            <w:r>
              <w:rPr>
                <w:sz w:val="20"/>
              </w:rPr>
              <w:t xml:space="preserve">2.8.1</w:t>
            </w:r>
          </w:p>
        </w:tc>
        <w:tc>
          <w:tcPr>
            <w:tcW w:w="8220" w:type="dxa"/>
          </w:tcPr>
          <w:p>
            <w:pPr>
              <w:pStyle w:val="0"/>
            </w:pPr>
            <w:r>
              <w:rPr>
                <w:sz w:val="20"/>
              </w:rPr>
              <w:t xml:space="preserve">Бухгалтерские документы о постановке на баланс Оборудования, основных средств, иных товарно-материальных ценностей.</w:t>
            </w:r>
          </w:p>
          <w:p>
            <w:pPr>
              <w:pStyle w:val="0"/>
            </w:pPr>
            <w:r>
              <w:rPr>
                <w:sz w:val="20"/>
              </w:rPr>
              <w:t xml:space="preserve">Представляются по выбору заявителя с обязательным заполнением всех разделов:</w:t>
            </w:r>
          </w:p>
          <w:p>
            <w:pPr>
              <w:pStyle w:val="0"/>
            </w:pPr>
            <w:r>
              <w:rPr>
                <w:sz w:val="20"/>
              </w:rPr>
              <w:t xml:space="preserve">1. Акт о приеме-передаче объекта основных средств (кроме зданий, сооружений) по форме N ОС-1.</w:t>
            </w:r>
          </w:p>
          <w:p>
            <w:pPr>
              <w:pStyle w:val="0"/>
            </w:pPr>
            <w:r>
              <w:rPr>
                <w:sz w:val="20"/>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pPr>
              <w:pStyle w:val="0"/>
            </w:pPr>
            <w:r>
              <w:rPr>
                <w:sz w:val="20"/>
              </w:rPr>
              <w:t xml:space="preserve">1) приказ об утверждении учетной политики субъекта МСП;</w:t>
            </w:r>
          </w:p>
          <w:p>
            <w:pPr>
              <w:pStyle w:val="0"/>
            </w:pPr>
            <w:r>
              <w:rPr>
                <w:sz w:val="20"/>
              </w:rPr>
              <w:t xml:space="preserve">2)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pPr>
              <w:pStyle w:val="0"/>
            </w:pPr>
            <w:r>
              <w:rPr>
                <w:sz w:val="20"/>
              </w:rPr>
              <w:t xml:space="preserve">наименование документа;</w:t>
            </w:r>
          </w:p>
          <w:p>
            <w:pPr>
              <w:pStyle w:val="0"/>
            </w:pPr>
            <w:r>
              <w:rPr>
                <w:sz w:val="20"/>
              </w:rPr>
              <w:t xml:space="preserve">дата составления документа;</w:t>
            </w:r>
          </w:p>
          <w:p>
            <w:pPr>
              <w:pStyle w:val="0"/>
            </w:pPr>
            <w:r>
              <w:rPr>
                <w:sz w:val="20"/>
              </w:rPr>
              <w:t xml:space="preserve">наименование экономического субъекта, составившего документ;</w:t>
            </w:r>
          </w:p>
          <w:p>
            <w:pPr>
              <w:pStyle w:val="0"/>
            </w:pPr>
            <w:r>
              <w:rPr>
                <w:sz w:val="20"/>
              </w:rPr>
              <w:t xml:space="preserve">содержание факта хозяйственной жизни;</w:t>
            </w:r>
          </w:p>
          <w:p>
            <w:pPr>
              <w:pStyle w:val="0"/>
            </w:pPr>
            <w:r>
              <w:rPr>
                <w:sz w:val="20"/>
              </w:rPr>
              <w:t xml:space="preserve">величина натурального и (или) денежного измерения факта хозяйственной жизни с указанием единиц измерения;</w:t>
            </w:r>
          </w:p>
          <w:p>
            <w:pPr>
              <w:pStyle w:val="0"/>
            </w:pPr>
            <w:r>
              <w:rPr>
                <w:sz w:val="20"/>
              </w:rPr>
              <w:t xml:space="preserve">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pPr>
              <w:pStyle w:val="0"/>
            </w:pPr>
            <w:r>
              <w:rPr>
                <w:sz w:val="20"/>
              </w:rPr>
              <w:t xml:space="preserve">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tc>
          <w:tcPr>
            <w:tcW w:w="850" w:type="dxa"/>
          </w:tcPr>
          <w:p>
            <w:pPr>
              <w:pStyle w:val="0"/>
            </w:pPr>
            <w:r>
              <w:rPr>
                <w:sz w:val="20"/>
              </w:rPr>
              <w:t xml:space="preserve">2.8.2</w:t>
            </w:r>
          </w:p>
        </w:tc>
        <w:tc>
          <w:tcPr>
            <w:tcW w:w="8220" w:type="dxa"/>
          </w:tcPr>
          <w:p>
            <w:pPr>
              <w:pStyle w:val="0"/>
            </w:pPr>
            <w:r>
              <w:rPr>
                <w:sz w:val="20"/>
              </w:rPr>
              <w:t xml:space="preserve">Фотографии объектов основных средств или Оборудования. Представляются цветные фотографии каждого объекта основных средств или Оборудования после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r>
        <w:tc>
          <w:tcPr>
            <w:tcW w:w="850" w:type="dxa"/>
          </w:tcPr>
          <w:p>
            <w:pPr>
              <w:pStyle w:val="0"/>
            </w:pPr>
            <w:r>
              <w:rPr>
                <w:sz w:val="20"/>
              </w:rPr>
              <w:t xml:space="preserve">2.8.3</w:t>
            </w:r>
          </w:p>
        </w:tc>
        <w:tc>
          <w:tcPr>
            <w:tcW w:w="8220" w:type="dxa"/>
          </w:tcPr>
          <w:p>
            <w:pPr>
              <w:pStyle w:val="0"/>
            </w:pPr>
            <w:r>
              <w:rPr>
                <w:sz w:val="20"/>
              </w:rPr>
              <w:t xml:space="preserve">Видеоматериалы со съемкой места ведения деятельности. Должны содержать съемку места ведения деятельности, включая съемку Оборудования, а также съемку входной группы и помещения, где установлено Оборудование</w:t>
            </w:r>
          </w:p>
        </w:tc>
      </w:tr>
    </w:tbl>
    <w:p>
      <w:pPr>
        <w:pStyle w:val="0"/>
        <w:jc w:val="both"/>
      </w:pPr>
      <w:r>
        <w:rPr>
          <w:sz w:val="20"/>
        </w:rPr>
      </w:r>
    </w:p>
    <w:p>
      <w:pPr>
        <w:pStyle w:val="2"/>
        <w:outlineLvl w:val="3"/>
        <w:jc w:val="center"/>
      </w:pPr>
      <w:r>
        <w:rPr>
          <w:sz w:val="20"/>
        </w:rPr>
        <w:t xml:space="preserve">7.2.3.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на возмещение части затрат, связанных с развитием</w:t>
      </w:r>
    </w:p>
    <w:p>
      <w:pPr>
        <w:pStyle w:val="2"/>
        <w:jc w:val="center"/>
      </w:pPr>
      <w:r>
        <w:rPr>
          <w:sz w:val="20"/>
        </w:rPr>
        <w:t xml:space="preserve">молодежного инновационного творчества</w:t>
      </w:r>
    </w:p>
    <w:p>
      <w:pPr>
        <w:pStyle w:val="0"/>
        <w:jc w:val="center"/>
      </w:pPr>
      <w:r>
        <w:rPr>
          <w:sz w:val="20"/>
        </w:rPr>
      </w:r>
    </w:p>
    <w:p>
      <w:pPr>
        <w:pStyle w:val="0"/>
        <w:jc w:val="center"/>
      </w:pPr>
      <w:r>
        <w:rPr>
          <w:sz w:val="20"/>
        </w:rPr>
        <w:t xml:space="preserve">(в ред. </w:t>
      </w:r>
      <w:hyperlink w:history="0" r:id="rId641"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индивидуальным предпринимателям на возмещение части затрат, связанных с развитием молодежного инновационного творчества (далее соответственно - Порядок, субсидия), в рамках </w:t>
      </w:r>
      <w:hyperlink w:history="0" w:anchor="P12713" w:tooltip="1.3">
        <w:r>
          <w:rPr>
            <w:sz w:val="20"/>
            <w:color w:val="0000ff"/>
          </w:rPr>
          <w:t xml:space="preserve">мероприятия 01.03</w:t>
        </w:r>
      </w:hyperlink>
      <w:r>
        <w:rPr>
          <w:sz w:val="20"/>
        </w:rPr>
        <w:t xml:space="preserve"> "Возмещение части затрат субъектов малого и среднего предпринимательства, связанных с развитием молодежного инновационного творчества" Подпрограммы 3 государственной программы разработан в соответствии со </w:t>
      </w:r>
      <w:hyperlink w:history="0" r:id="rId6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643"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субсидий;</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p>
      <w:pPr>
        <w:pStyle w:val="0"/>
        <w:spacing w:before="200" w:line-rule="auto"/>
        <w:ind w:firstLine="540"/>
        <w:jc w:val="both"/>
      </w:pPr>
      <w:r>
        <w:rPr>
          <w:sz w:val="20"/>
        </w:rPr>
        <w:t xml:space="preserve">1) центр молодежного инновационного творчества - объект инновационной инфраструктуры, созданный субъектом малого и среднего предпринимательства на территории Московской области (далее соответственно - Центр, субъект МСП), ориентированный на создание благоприятных условий для детей, молодежи и субъектов МСП, в целях их развития в научно-технической, инновационной и производственных сферах, включающий в себя материально-техническую, экономическую и информационную базы, позволяющие использовать технологии цифрового производства, выполнять быстрое прототипирование, изготовление опытных образцов, единичной и мелкосерийной продукции;</w:t>
      </w:r>
    </w:p>
    <w:p>
      <w:pPr>
        <w:pStyle w:val="0"/>
        <w:spacing w:before="200" w:line-rule="auto"/>
        <w:ind w:firstLine="540"/>
        <w:jc w:val="both"/>
      </w:pPr>
      <w:r>
        <w:rPr>
          <w:sz w:val="20"/>
        </w:rPr>
        <w:t xml:space="preserve">2) оборудование - высокотехнологичное оборудование, необходимое для осуществления деятельности Центра и отвечающее требованиям возможности проведения проектных работ по направлению технологического предпринимательства, безопасности для работы с детьми и молодежью, компактности и соответствия оборудования санитарно-техническим требованиям размещения и использования в помещении Центра: оборудование для проведения видеоконференций, прецизионный фрезерный станок с числовым программным управлением (далее - ЧПУ), станок лазерной резки, режущий плоттер, 3D-сканер, токарный станок с ЧПУ, оргтехника;</w:t>
      </w:r>
    </w:p>
    <w:p>
      <w:pPr>
        <w:pStyle w:val="0"/>
        <w:spacing w:before="200" w:line-rule="auto"/>
        <w:ind w:firstLine="540"/>
        <w:jc w:val="both"/>
      </w:pPr>
      <w:r>
        <w:rPr>
          <w:sz w:val="20"/>
        </w:rPr>
        <w:t xml:space="preserve">3) мероприятие - открытое и доступное для участия граждан событие (акции, соревнования, олимпиады, выставки, фестивали, мастер-классы и другие), проводимое на территории Московской области и направленное на популяризацию научно-технического творчества и вовлечение молодежи в инновационную деятельность и предпринимательство.</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Министерство) как получателя средств бюджета Московской области на цель, указанную в </w:t>
      </w:r>
      <w:hyperlink w:history="0" w:anchor="P14886" w:tooltip="5. Целью предоставления субсидии является возмещение затрат получателя субсидии, связанных с развитием молодежного инновационного творчества при реализации мероприятий:">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Министерство.</w:t>
      </w:r>
    </w:p>
    <w:p>
      <w:pPr>
        <w:pStyle w:val="0"/>
        <w:spacing w:before="200" w:line-rule="auto"/>
        <w:ind w:firstLine="540"/>
        <w:jc w:val="both"/>
      </w:pPr>
      <w:r>
        <w:rPr>
          <w:sz w:val="20"/>
        </w:rPr>
        <w:t xml:space="preserve">4. Способ предоставления субсидии - возмещение затрат.</w:t>
      </w:r>
    </w:p>
    <w:bookmarkStart w:id="14886" w:name="P14886"/>
    <w:bookmarkEnd w:id="14886"/>
    <w:p>
      <w:pPr>
        <w:pStyle w:val="0"/>
        <w:spacing w:before="200" w:line-rule="auto"/>
        <w:ind w:firstLine="540"/>
        <w:jc w:val="both"/>
      </w:pPr>
      <w:r>
        <w:rPr>
          <w:sz w:val="20"/>
        </w:rPr>
        <w:t xml:space="preserve">5. Целью предоставления субсидии является возмещение затрат получателя субсидии, связанных с развитием молодежного инновационного творчества при реализации мероприятий:</w:t>
      </w:r>
    </w:p>
    <w:bookmarkStart w:id="14887" w:name="P14887"/>
    <w:bookmarkEnd w:id="14887"/>
    <w:p>
      <w:pPr>
        <w:pStyle w:val="0"/>
        <w:spacing w:before="200" w:line-rule="auto"/>
        <w:ind w:firstLine="540"/>
        <w:jc w:val="both"/>
      </w:pPr>
      <w:r>
        <w:rPr>
          <w:sz w:val="20"/>
        </w:rPr>
        <w:t xml:space="preserve">1) создание Центра;</w:t>
      </w:r>
    </w:p>
    <w:bookmarkStart w:id="14888" w:name="P14888"/>
    <w:bookmarkEnd w:id="14888"/>
    <w:p>
      <w:pPr>
        <w:pStyle w:val="0"/>
        <w:spacing w:before="200" w:line-rule="auto"/>
        <w:ind w:firstLine="540"/>
        <w:jc w:val="both"/>
      </w:pPr>
      <w:r>
        <w:rPr>
          <w:sz w:val="20"/>
        </w:rPr>
        <w:t xml:space="preserve">2) дооснащение действующего Центра оборудованием;</w:t>
      </w:r>
    </w:p>
    <w:bookmarkStart w:id="14889" w:name="P14889"/>
    <w:bookmarkEnd w:id="14889"/>
    <w:p>
      <w:pPr>
        <w:pStyle w:val="0"/>
        <w:spacing w:before="200" w:line-rule="auto"/>
        <w:ind w:firstLine="540"/>
        <w:jc w:val="both"/>
      </w:pPr>
      <w:r>
        <w:rPr>
          <w:sz w:val="20"/>
        </w:rPr>
        <w:t xml:space="preserve">3) организация и проведение Центром мероприятий.</w:t>
      </w:r>
    </w:p>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bookmarkStart w:id="14897" w:name="P14897"/>
    <w:bookmarkEnd w:id="14897"/>
    <w:p>
      <w:pPr>
        <w:pStyle w:val="0"/>
        <w:spacing w:before="200" w:line-rule="auto"/>
        <w:ind w:firstLine="540"/>
        <w:jc w:val="both"/>
      </w:pPr>
      <w:r>
        <w:rPr>
          <w:sz w:val="20"/>
        </w:rPr>
        <w:t xml:space="preserve">9. Категория отбора: юридические лица и индивидуальные предприниматели, отнесенные к категории субъектов МСП в соответствии с Федеральным </w:t>
      </w:r>
      <w:hyperlink w:history="0" r:id="rId64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за исключением субъектов МСП, предусмотренных </w:t>
      </w:r>
      <w:hyperlink w:history="0" r:id="rId64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частями 3</w:t>
        </w:r>
      </w:hyperlink>
      <w:r>
        <w:rPr>
          <w:sz w:val="20"/>
        </w:rPr>
        <w:t xml:space="preserve"> и </w:t>
      </w:r>
      <w:hyperlink w:history="0" r:id="rId6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4 статьи 14</w:t>
        </w:r>
      </w:hyperlink>
      <w:r>
        <w:rPr>
          <w:sz w:val="20"/>
        </w:rPr>
        <w:t xml:space="preserve"> Федерального закона N 209-ФЗ, зарегистрированные и осуществляющие деятельность в качестве юридического лица или индивидуального предпринимателя на территории Московской области.</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1) осуществление основного или дополнительного вида экономической деятельности по коду </w:t>
      </w:r>
      <w:hyperlink w:history="0" r:id="rId64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72</w:t>
        </w:r>
      </w:hyperlink>
      <w:r>
        <w:rPr>
          <w:sz w:val="20"/>
        </w:rPr>
        <w:t xml:space="preserve"> ОКВЭД;</w:t>
      </w:r>
    </w:p>
    <w:p>
      <w:pPr>
        <w:pStyle w:val="0"/>
        <w:spacing w:before="200" w:line-rule="auto"/>
        <w:ind w:firstLine="540"/>
        <w:jc w:val="both"/>
      </w:pPr>
      <w:r>
        <w:rPr>
          <w:sz w:val="20"/>
        </w:rPr>
        <w:t xml:space="preserve">2) при реализации мероприятия, указанного в </w:t>
      </w:r>
      <w:hyperlink w:history="0" w:anchor="P14889" w:tooltip="3) организация и проведение Центром мероприятий.">
        <w:r>
          <w:rPr>
            <w:sz w:val="20"/>
            <w:color w:val="0000ff"/>
          </w:rPr>
          <w:t xml:space="preserve">подпункте 3 пункта 5</w:t>
        </w:r>
      </w:hyperlink>
      <w:r>
        <w:rPr>
          <w:sz w:val="20"/>
        </w:rPr>
        <w:t xml:space="preserve"> Порядка, - проведение мероприятий в период с 1 января года, в котором проводится отбор, до даты подачи заявки;</w:t>
      </w:r>
    </w:p>
    <w:bookmarkStart w:id="14901" w:name="P14901"/>
    <w:bookmarkEnd w:id="14901"/>
    <w:p>
      <w:pPr>
        <w:pStyle w:val="0"/>
        <w:spacing w:before="200" w:line-rule="auto"/>
        <w:ind w:firstLine="540"/>
        <w:jc w:val="both"/>
      </w:pPr>
      <w:r>
        <w:rPr>
          <w:sz w:val="20"/>
        </w:rPr>
        <w:t xml:space="preserve">3) наличие собственных, арендованных или переданных в безвозмездное пользование помещений площадью не менее 60 квадратных метров для размещения оборудования в Центре (при реализации мероприятий, указанных в </w:t>
      </w:r>
      <w:hyperlink w:history="0" w:anchor="P14887" w:tooltip="1) создание Центра;">
        <w:r>
          <w:rPr>
            <w:sz w:val="20"/>
            <w:color w:val="0000ff"/>
          </w:rPr>
          <w:t xml:space="preserve">подпунктах 1</w:t>
        </w:r>
      </w:hyperlink>
      <w:r>
        <w:rPr>
          <w:sz w:val="20"/>
        </w:rPr>
        <w:t xml:space="preserve"> и </w:t>
      </w:r>
      <w:hyperlink w:history="0" w:anchor="P14888" w:tooltip="2) дооснащение действующего Центра оборудованием;">
        <w:r>
          <w:rPr>
            <w:sz w:val="20"/>
            <w:color w:val="0000ff"/>
          </w:rPr>
          <w:t xml:space="preserve">2 пункта 5</w:t>
        </w:r>
      </w:hyperlink>
      <w:r>
        <w:rPr>
          <w:sz w:val="20"/>
        </w:rPr>
        <w:t xml:space="preserve"> Порядка);</w:t>
      </w:r>
    </w:p>
    <w:p>
      <w:pPr>
        <w:pStyle w:val="0"/>
        <w:spacing w:before="200" w:line-rule="auto"/>
        <w:ind w:firstLine="540"/>
        <w:jc w:val="both"/>
      </w:pPr>
      <w:r>
        <w:rPr>
          <w:sz w:val="20"/>
        </w:rPr>
        <w:t xml:space="preserve">4) наличие минимального комплекта оборудования, поставленного на баланс участника отбора (при реализации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w:t>
      </w:r>
    </w:p>
    <w:p>
      <w:pPr>
        <w:pStyle w:val="0"/>
        <w:spacing w:before="200" w:line-rule="auto"/>
        <w:ind w:firstLine="540"/>
        <w:jc w:val="both"/>
      </w:pPr>
      <w:r>
        <w:rPr>
          <w:sz w:val="20"/>
        </w:rPr>
        <w:t xml:space="preserve">оборудование для проведения видеоконференций - 1 шт.;</w:t>
      </w:r>
    </w:p>
    <w:p>
      <w:pPr>
        <w:pStyle w:val="0"/>
        <w:spacing w:before="200" w:line-rule="auto"/>
        <w:ind w:firstLine="540"/>
        <w:jc w:val="both"/>
      </w:pPr>
      <w:r>
        <w:rPr>
          <w:sz w:val="20"/>
        </w:rPr>
        <w:t xml:space="preserve">прецизионный фрезерный станок с ЧПУ - 1 шт.;</w:t>
      </w:r>
    </w:p>
    <w:p>
      <w:pPr>
        <w:pStyle w:val="0"/>
        <w:spacing w:before="200" w:line-rule="auto"/>
        <w:ind w:firstLine="540"/>
        <w:jc w:val="both"/>
      </w:pPr>
      <w:r>
        <w:rPr>
          <w:sz w:val="20"/>
        </w:rPr>
        <w:t xml:space="preserve">станок лазерной резки - 1 шт.;</w:t>
      </w:r>
    </w:p>
    <w:p>
      <w:pPr>
        <w:pStyle w:val="0"/>
        <w:spacing w:before="200" w:line-rule="auto"/>
        <w:ind w:firstLine="540"/>
        <w:jc w:val="both"/>
      </w:pPr>
      <w:r>
        <w:rPr>
          <w:sz w:val="20"/>
        </w:rPr>
        <w:t xml:space="preserve">режущий плоттер - 1 шт.;</w:t>
      </w:r>
    </w:p>
    <w:p>
      <w:pPr>
        <w:pStyle w:val="0"/>
        <w:spacing w:before="200" w:line-rule="auto"/>
        <w:ind w:firstLine="540"/>
        <w:jc w:val="both"/>
      </w:pPr>
      <w:r>
        <w:rPr>
          <w:sz w:val="20"/>
        </w:rPr>
        <w:t xml:space="preserve">3D-сканер - 1 шт.;</w:t>
      </w:r>
    </w:p>
    <w:p>
      <w:pPr>
        <w:pStyle w:val="0"/>
        <w:spacing w:before="200" w:line-rule="auto"/>
        <w:ind w:firstLine="540"/>
        <w:jc w:val="both"/>
      </w:pPr>
      <w:r>
        <w:rPr>
          <w:sz w:val="20"/>
        </w:rPr>
        <w:t xml:space="preserve">токарный станок с ЧПУ - 1 шт.;</w:t>
      </w:r>
    </w:p>
    <w:p>
      <w:pPr>
        <w:pStyle w:val="0"/>
        <w:spacing w:before="200" w:line-rule="auto"/>
        <w:ind w:firstLine="540"/>
        <w:jc w:val="both"/>
      </w:pPr>
      <w:r>
        <w:rPr>
          <w:sz w:val="20"/>
        </w:rPr>
        <w:t xml:space="preserve">оргтехника - не менее 10 шт.;</w:t>
      </w:r>
    </w:p>
    <w:p>
      <w:pPr>
        <w:pStyle w:val="0"/>
        <w:spacing w:before="200" w:line-rule="auto"/>
        <w:ind w:firstLine="540"/>
        <w:jc w:val="both"/>
      </w:pPr>
      <w:r>
        <w:rPr>
          <w:sz w:val="20"/>
        </w:rPr>
        <w:t xml:space="preserve">5) наличие в штате участника отбора не менее 2 специалистов, умеющих работать со всем оборудованием Центра;</w:t>
      </w:r>
    </w:p>
    <w:p>
      <w:pPr>
        <w:pStyle w:val="0"/>
        <w:spacing w:before="200" w:line-rule="auto"/>
        <w:ind w:firstLine="540"/>
        <w:jc w:val="both"/>
      </w:pPr>
      <w:r>
        <w:rPr>
          <w:sz w:val="20"/>
        </w:rPr>
        <w:t xml:space="preserve">6) наличие в штате участника отбора не менее 1 специалиста по работе с детьми, имеющего педагогическое образование и опыт работы с детьми;</w:t>
      </w:r>
    </w:p>
    <w:p>
      <w:pPr>
        <w:pStyle w:val="0"/>
        <w:spacing w:before="200" w:line-rule="auto"/>
        <w:ind w:firstLine="540"/>
        <w:jc w:val="both"/>
      </w:pPr>
      <w:r>
        <w:rPr>
          <w:sz w:val="20"/>
        </w:rPr>
        <w:t xml:space="preserve">7) при реализации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 создание Центра в период с 1 января года, предшествующего году, в котором проводится отбор, до даты подачи заявки, в муниципальных образованиях Московской области, в которых не имеется функционирующих Центров аналогичных направлений;</w:t>
      </w:r>
    </w:p>
    <w:p>
      <w:pPr>
        <w:pStyle w:val="0"/>
        <w:spacing w:before="200" w:line-rule="auto"/>
        <w:ind w:firstLine="540"/>
        <w:jc w:val="both"/>
      </w:pPr>
      <w:r>
        <w:rPr>
          <w:sz w:val="20"/>
        </w:rPr>
        <w:t xml:space="preserve">8) при реализации мероприятия, указанного в </w:t>
      </w:r>
      <w:hyperlink w:history="0" w:anchor="P14888" w:tooltip="2) дооснащение действующего Центра оборудованием;">
        <w:r>
          <w:rPr>
            <w:sz w:val="20"/>
            <w:color w:val="0000ff"/>
          </w:rPr>
          <w:t xml:space="preserve">подпункте 2 пункта 5</w:t>
        </w:r>
      </w:hyperlink>
      <w:r>
        <w:rPr>
          <w:sz w:val="20"/>
        </w:rPr>
        <w:t xml:space="preserve"> Порядка, - приобретение оборудования в период с 1 января года, предшествующего году, в котором проводится отбор, до даты подачи заявки.</w:t>
      </w:r>
    </w:p>
    <w:p>
      <w:pPr>
        <w:pStyle w:val="0"/>
        <w:spacing w:before="200" w:line-rule="auto"/>
        <w:ind w:firstLine="540"/>
        <w:jc w:val="both"/>
      </w:pPr>
      <w:r>
        <w:rPr>
          <w:sz w:val="20"/>
        </w:rPr>
        <w:t xml:space="preserve">10. В целях проведения отбора Министерством формируется объявление о проведении отбора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(или уполномоченного им лица), размещается на едином портале не позднее 5-го календарного дня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системы "Электронный бюджет";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bookmarkStart w:id="14928" w:name="P14928"/>
    <w:bookmarkEnd w:id="14928"/>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которые в том числе включают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на едином портале, которые не могут быть позднее 1-го рабочего дня, следующего за днем его подписания;</w:t>
      </w:r>
    </w:p>
    <w:p>
      <w:pPr>
        <w:pStyle w:val="0"/>
        <w:spacing w:before="200" w:line-rule="auto"/>
        <w:ind w:firstLine="540"/>
        <w:jc w:val="both"/>
      </w:pPr>
      <w:r>
        <w:rPr>
          <w:sz w:val="20"/>
        </w:rPr>
        <w:t xml:space="preserve">18) порядок открытия доступа и взаимодействия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 (далее - ГИС "РЭБ").</w:t>
      </w:r>
    </w:p>
    <w:bookmarkStart w:id="14934" w:name="P14934"/>
    <w:bookmarkEnd w:id="14934"/>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p>
      <w:pPr>
        <w:pStyle w:val="0"/>
        <w:spacing w:before="200" w:line-rule="auto"/>
        <w:ind w:firstLine="540"/>
        <w:jc w:val="both"/>
      </w:pPr>
      <w:r>
        <w:rPr>
          <w:sz w:val="20"/>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находится в составляемых в рамках реализации полномочий, предусмотренных </w:t>
      </w:r>
      <w:hyperlink w:history="0" r:id="rId64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участник отбора не является иностранным агентом в соответствии с Федеральным </w:t>
      </w:r>
      <w:hyperlink w:history="0" r:id="rId649"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650"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участник отбора соответствует категории и критериям отбора, установленным </w:t>
      </w:r>
      <w:hyperlink w:history="0" w:anchor="P14897" w:tooltip="9. Категория отбора: юридические лица и индивидуальные предприниматели, отнесенные к категории субъектов МСП в соответствии с Федеральным законом N 209-ФЗ, за исключением субъектов МСП, предусмотренных частями 3 и 4 статьи 14 Федерального закона N 209-ФЗ, зарегистрированные и осуществляющие деятельность в качестве юридического лица или индивидуального предпринимателя на территории Московской области.">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участником отбора представлена заявка на возмещение затрат, которые не были возмещены за счет средств бюджета Московской области в году, предшествующем году предоставления субсидии.</w:t>
      </w:r>
    </w:p>
    <w:p>
      <w:pPr>
        <w:pStyle w:val="0"/>
        <w:spacing w:before="200" w:line-rule="auto"/>
        <w:ind w:firstLine="540"/>
        <w:jc w:val="both"/>
      </w:pPr>
      <w:r>
        <w:rPr>
          <w:sz w:val="20"/>
        </w:rPr>
        <w:t xml:space="preserve">12. Представление в Министерство документов, подтверждающих соответствие участников отбора требованиям, указанным в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а также документов, подтверждающих фактически произведенные затраты, на возмещение которых предоставляется субсидия, осуществляется с использованием системы "Электронный бюджет" путем направления участниками отбора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Министерство следующие документы, подтверждающие соответствие участника отбора требованиям, установленным Порядком, а также документы, подтверждающие фактически произведенные затраты, на возмещение которых предоставляется субсидия:</w:t>
      </w:r>
    </w:p>
    <w:p>
      <w:pPr>
        <w:pStyle w:val="0"/>
        <w:spacing w:before="200" w:line-rule="auto"/>
        <w:ind w:firstLine="540"/>
        <w:jc w:val="both"/>
      </w:pPr>
      <w:r>
        <w:rPr>
          <w:sz w:val="20"/>
        </w:rPr>
        <w:t xml:space="preserve">1) справка (гарантийное письмо) о наличии в Центре одного и более специалиста по работе с детьми в соответствии с формой, утвержденной Министерством и предусмотренной объявлением о проведении отбора, подписанная руководителем участникам отбора или иным уполномоченным лицом, с приложением дипломов о профильном образовании (переподготовке и повышении квалификации), свидетельств, сертификатов, удостоверений и трудового(ых) договора(ов);</w:t>
      </w:r>
    </w:p>
    <w:p>
      <w:pPr>
        <w:pStyle w:val="0"/>
        <w:spacing w:before="200" w:line-rule="auto"/>
        <w:ind w:firstLine="540"/>
        <w:jc w:val="both"/>
      </w:pPr>
      <w:r>
        <w:rPr>
          <w:sz w:val="20"/>
        </w:rPr>
        <w:t xml:space="preserve">2) справка (гарантийное письмо) о наличии в Центре 2 и более специалистов, подтверждающих умение работать со всем спектром оборудования Центра, в соответствии с формой, утвержденной Министерством и предусмотренной объявлением о проведении отбора, с приложением дипломов об образовании по соответствующим направлениям деятельности (профильной переподготовке), свидетельств, сертификатов, удостоверений и трудовых договоров;</w:t>
      </w:r>
    </w:p>
    <w:p>
      <w:pPr>
        <w:pStyle w:val="0"/>
        <w:spacing w:before="200" w:line-rule="auto"/>
        <w:ind w:firstLine="540"/>
        <w:jc w:val="both"/>
      </w:pPr>
      <w:r>
        <w:rPr>
          <w:sz w:val="20"/>
        </w:rPr>
        <w:t xml:space="preserve">3) документы, подтверждающие соответствие критерию отбора, указанному в </w:t>
      </w:r>
      <w:hyperlink w:history="0" w:anchor="P14901" w:tooltip="3) наличие собственных, арендованных или переданных в безвозмездное пользование помещений площадью не менее 60 квадратных метров для размещения оборудования в Центре (при реализации мероприятий, указанных в подпунктах 1 и 2 пункта 5 Порядка);">
        <w:r>
          <w:rPr>
            <w:sz w:val="20"/>
            <w:color w:val="0000ff"/>
          </w:rPr>
          <w:t xml:space="preserve">подпункте 3 пункта 9</w:t>
        </w:r>
      </w:hyperlink>
      <w:r>
        <w:rPr>
          <w:sz w:val="20"/>
        </w:rPr>
        <w:t xml:space="preserve"> Порядка (договоры аренды, договоры безвозмездного пользования);</w:t>
      </w:r>
    </w:p>
    <w:p>
      <w:pPr>
        <w:pStyle w:val="0"/>
        <w:spacing w:before="200" w:line-rule="auto"/>
        <w:ind w:firstLine="540"/>
        <w:jc w:val="both"/>
      </w:pPr>
      <w:r>
        <w:rPr>
          <w:sz w:val="20"/>
        </w:rPr>
        <w:t xml:space="preserve">4) гарантийное письмо участника отбора, предусматривающее обязательство по обеспечению функционирования Центра в течение 5 лет со дня заключения Соглашения, подписанное руководителем участника отбора или иным уполномоченным лицом (при предоставлении заявки на возмещение затрат при реализации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w:t>
      </w:r>
    </w:p>
    <w:p>
      <w:pPr>
        <w:pStyle w:val="0"/>
        <w:spacing w:before="200" w:line-rule="auto"/>
        <w:ind w:firstLine="540"/>
        <w:jc w:val="both"/>
      </w:pPr>
      <w:r>
        <w:rPr>
          <w:sz w:val="20"/>
        </w:rPr>
        <w:t xml:space="preserve">5) гарантийное письмо участника отбора с информацией о приведении помещения Центра в соответствие с санитарно-техническими требованиями размещения и использования оборудования до даты подачи заявки, подписанное руководителем участника отбора или иным уполномоченным лицом (при предоставлении заявок на возмещение затрат при реализации мероприятий, указанных в </w:t>
      </w:r>
      <w:hyperlink w:history="0" w:anchor="P14887" w:tooltip="1) создание Центра;">
        <w:r>
          <w:rPr>
            <w:sz w:val="20"/>
            <w:color w:val="0000ff"/>
          </w:rPr>
          <w:t xml:space="preserve">подпунктах 1</w:t>
        </w:r>
      </w:hyperlink>
      <w:r>
        <w:rPr>
          <w:sz w:val="20"/>
        </w:rPr>
        <w:t xml:space="preserve"> и </w:t>
      </w:r>
      <w:hyperlink w:history="0" w:anchor="P14888" w:tooltip="2) дооснащение действующего Центра оборудованием;">
        <w:r>
          <w:rPr>
            <w:sz w:val="20"/>
            <w:color w:val="0000ff"/>
          </w:rPr>
          <w:t xml:space="preserve">2 пункта 5</w:t>
        </w:r>
      </w:hyperlink>
      <w:r>
        <w:rPr>
          <w:sz w:val="20"/>
        </w:rPr>
        <w:t xml:space="preserve"> Порядка);</w:t>
      </w:r>
    </w:p>
    <w:p>
      <w:pPr>
        <w:pStyle w:val="0"/>
        <w:spacing w:before="200" w:line-rule="auto"/>
        <w:ind w:firstLine="540"/>
        <w:jc w:val="both"/>
      </w:pPr>
      <w:r>
        <w:rPr>
          <w:sz w:val="20"/>
        </w:rPr>
        <w:t xml:space="preserve">6) отчет о проведенном мероприятии, содержащий цели, задачи, целевую аудиторию, количество участников, сроки проведения, фотоматериалы (при предоставлении заявки на возмещение затрат при реализации мероприятия, указанного в </w:t>
      </w:r>
      <w:hyperlink w:history="0" w:anchor="P14889" w:tooltip="3) организация и проведение Центром мероприятий.">
        <w:r>
          <w:rPr>
            <w:sz w:val="20"/>
            <w:color w:val="0000ff"/>
          </w:rPr>
          <w:t xml:space="preserve">подпункте 3 пункта 5</w:t>
        </w:r>
      </w:hyperlink>
      <w:r>
        <w:rPr>
          <w:sz w:val="20"/>
        </w:rPr>
        <w:t xml:space="preserve"> Порядка);</w:t>
      </w:r>
    </w:p>
    <w:p>
      <w:pPr>
        <w:pStyle w:val="0"/>
        <w:spacing w:before="200" w:line-rule="auto"/>
        <w:ind w:firstLine="540"/>
        <w:jc w:val="both"/>
      </w:pPr>
      <w:r>
        <w:rPr>
          <w:sz w:val="20"/>
        </w:rPr>
        <w:t xml:space="preserve">7) перечень документов, подтверждающих фактические затраты, при предоставлении заявки на возмещение затрат при реализации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w:t>
      </w:r>
    </w:p>
    <w:p>
      <w:pPr>
        <w:pStyle w:val="0"/>
        <w:spacing w:before="200" w:line-rule="auto"/>
        <w:ind w:firstLine="540"/>
        <w:jc w:val="both"/>
      </w:pPr>
      <w:r>
        <w:rPr>
          <w:sz w:val="20"/>
        </w:rPr>
        <w:t xml:space="preserve">реестр фактических затрат на создание Центра в соответствии с формой, утвержденной Министерством и предусмотренной объявлением о проведении отбора;</w:t>
      </w:r>
    </w:p>
    <w:p>
      <w:pPr>
        <w:pStyle w:val="0"/>
        <w:spacing w:before="200" w:line-rule="auto"/>
        <w:ind w:firstLine="540"/>
        <w:jc w:val="both"/>
      </w:pPr>
      <w:r>
        <w:rPr>
          <w:sz w:val="20"/>
        </w:rPr>
        <w:t xml:space="preserve">реестр на зачисление заработной платы и (или) ведомость начисления заработной платы;</w:t>
      </w:r>
    </w:p>
    <w:p>
      <w:pPr>
        <w:pStyle w:val="0"/>
        <w:spacing w:before="200" w:line-rule="auto"/>
        <w:ind w:firstLine="540"/>
        <w:jc w:val="both"/>
      </w:pPr>
      <w:r>
        <w:rPr>
          <w:sz w:val="20"/>
        </w:rPr>
        <w:t xml:space="preserve">расчетно-платежная ведомость;</w:t>
      </w:r>
    </w:p>
    <w:p>
      <w:pPr>
        <w:pStyle w:val="0"/>
        <w:spacing w:before="200" w:line-rule="auto"/>
        <w:ind w:firstLine="540"/>
        <w:jc w:val="both"/>
      </w:pPr>
      <w:r>
        <w:rPr>
          <w:sz w:val="20"/>
        </w:rPr>
        <w:t xml:space="preserve">договоры на приобретение товаров (включая оборудование), выполнение работ, оказание услуг;</w:t>
      </w:r>
    </w:p>
    <w:p>
      <w:pPr>
        <w:pStyle w:val="0"/>
        <w:spacing w:before="200" w:line-rule="auto"/>
        <w:ind w:firstLine="540"/>
        <w:jc w:val="both"/>
      </w:pPr>
      <w:r>
        <w:rPr>
          <w:sz w:val="20"/>
        </w:rPr>
        <w:t xml:space="preserve">акт приема-передачи оборудования или иной документ, предусмотренный договором на приобретение оборудования, подтверждающий передачу оборудования от продавца участнику отбора;</w:t>
      </w:r>
    </w:p>
    <w:p>
      <w:pPr>
        <w:pStyle w:val="0"/>
        <w:spacing w:before="200" w:line-rule="auto"/>
        <w:ind w:firstLine="540"/>
        <w:jc w:val="both"/>
      </w:pPr>
      <w:r>
        <w:rPr>
          <w:sz w:val="20"/>
        </w:rPr>
        <w:t xml:space="preserve">реестры платежных поручений, платежные поручения (счета-квитанции), оригиналы выписок банка, заверенные печатью банка и подписью сотрудника банка;</w:t>
      </w:r>
    </w:p>
    <w:p>
      <w:pPr>
        <w:pStyle w:val="0"/>
        <w:spacing w:before="200" w:line-rule="auto"/>
        <w:ind w:firstLine="540"/>
        <w:jc w:val="both"/>
      </w:pPr>
      <w:r>
        <w:rPr>
          <w:sz w:val="20"/>
        </w:rPr>
        <w:t xml:space="preserve">фотографии оборудования с фиксацией серийных номеров, марки и моделей;</w:t>
      </w:r>
    </w:p>
    <w:p>
      <w:pPr>
        <w:pStyle w:val="0"/>
        <w:spacing w:before="200" w:line-rule="auto"/>
        <w:ind w:firstLine="540"/>
        <w:jc w:val="both"/>
      </w:pPr>
      <w:r>
        <w:rPr>
          <w:sz w:val="20"/>
        </w:rPr>
        <w:t xml:space="preserve">бухгалтерские документы о постановке оборудования и иных основных средств на баланс (не предоставляется участниками отбора, являющимися индивидуальными предпринимателями);</w:t>
      </w:r>
    </w:p>
    <w:p>
      <w:pPr>
        <w:pStyle w:val="0"/>
        <w:spacing w:before="200" w:line-rule="auto"/>
        <w:ind w:firstLine="540"/>
        <w:jc w:val="both"/>
      </w:pPr>
      <w:r>
        <w:rPr>
          <w:sz w:val="20"/>
        </w:rPr>
        <w:t xml:space="preserve">универсальный передаточный документ (УПД) - для оборудования, приобретенного на территории Российской Федерации (представляется плательщиками НДС);</w:t>
      </w:r>
    </w:p>
    <w:p>
      <w:pPr>
        <w:pStyle w:val="0"/>
        <w:spacing w:before="200" w:line-rule="auto"/>
        <w:ind w:firstLine="540"/>
        <w:jc w:val="both"/>
      </w:pPr>
      <w:r>
        <w:rPr>
          <w:sz w:val="20"/>
        </w:rPr>
        <w:t xml:space="preserve">иные расчетные (платежные) документы;</w:t>
      </w:r>
    </w:p>
    <w:p>
      <w:pPr>
        <w:pStyle w:val="0"/>
        <w:spacing w:before="200" w:line-rule="auto"/>
        <w:ind w:firstLine="540"/>
        <w:jc w:val="both"/>
      </w:pPr>
      <w:r>
        <w:rPr>
          <w:sz w:val="20"/>
        </w:rPr>
        <w:t xml:space="preserve">8) перечень документов, подтверждающих фактические затраты, при предоставлении заявки на возмещение затрат при реализации мероприятия, указанного в </w:t>
      </w:r>
      <w:hyperlink w:history="0" w:anchor="P14888" w:tooltip="2) дооснащение действующего Центра оборудованием;">
        <w:r>
          <w:rPr>
            <w:sz w:val="20"/>
            <w:color w:val="0000ff"/>
          </w:rPr>
          <w:t xml:space="preserve">подпункте 2 пункта 5</w:t>
        </w:r>
      </w:hyperlink>
      <w:r>
        <w:rPr>
          <w:sz w:val="20"/>
        </w:rPr>
        <w:t xml:space="preserve"> Порядка:</w:t>
      </w:r>
    </w:p>
    <w:p>
      <w:pPr>
        <w:pStyle w:val="0"/>
        <w:spacing w:before="200" w:line-rule="auto"/>
        <w:ind w:firstLine="540"/>
        <w:jc w:val="both"/>
      </w:pPr>
      <w:r>
        <w:rPr>
          <w:sz w:val="20"/>
        </w:rPr>
        <w:t xml:space="preserve">договор (договоры) на приобретение оборудования;</w:t>
      </w:r>
    </w:p>
    <w:p>
      <w:pPr>
        <w:pStyle w:val="0"/>
        <w:spacing w:before="200" w:line-rule="auto"/>
        <w:ind w:firstLine="540"/>
        <w:jc w:val="both"/>
      </w:pPr>
      <w:r>
        <w:rPr>
          <w:sz w:val="20"/>
        </w:rPr>
        <w:t xml:space="preserve">акт приема-передачи оборудования или иной документ, предусмотренный договором на приобретение оборудования, подтверждающий передачу оборудования от продавца участнику отбора;</w:t>
      </w:r>
    </w:p>
    <w:p>
      <w:pPr>
        <w:pStyle w:val="0"/>
        <w:spacing w:before="200" w:line-rule="auto"/>
        <w:ind w:firstLine="540"/>
        <w:jc w:val="both"/>
      </w:pPr>
      <w:r>
        <w:rPr>
          <w:sz w:val="20"/>
        </w:rPr>
        <w:t xml:space="preserve">платежные поручения (счета-квитанции), оригиналы выписок банка, заверенные печатью банка и подписью сотрудника банка;</w:t>
      </w:r>
    </w:p>
    <w:p>
      <w:pPr>
        <w:pStyle w:val="0"/>
        <w:spacing w:before="200" w:line-rule="auto"/>
        <w:ind w:firstLine="540"/>
        <w:jc w:val="both"/>
      </w:pPr>
      <w:r>
        <w:rPr>
          <w:sz w:val="20"/>
        </w:rPr>
        <w:t xml:space="preserve">фотографии оборудования с фиксацией серийных номеров, марки и моделей;</w:t>
      </w:r>
    </w:p>
    <w:p>
      <w:pPr>
        <w:pStyle w:val="0"/>
        <w:spacing w:before="200" w:line-rule="auto"/>
        <w:ind w:firstLine="540"/>
        <w:jc w:val="both"/>
      </w:pPr>
      <w:r>
        <w:rPr>
          <w:sz w:val="20"/>
        </w:rPr>
        <w:t xml:space="preserve">бухгалтерские документы о постановке оборудования на баланс (не предоставляются участниками отбора, являющимися индивидуальными предпринимателями);</w:t>
      </w:r>
    </w:p>
    <w:p>
      <w:pPr>
        <w:pStyle w:val="0"/>
        <w:spacing w:before="200" w:line-rule="auto"/>
        <w:ind w:firstLine="540"/>
        <w:jc w:val="both"/>
      </w:pPr>
      <w:r>
        <w:rPr>
          <w:sz w:val="20"/>
        </w:rPr>
        <w:t xml:space="preserve">универсальный передаточный документ (УПД) - для оборудования, приобретенного на территории Российской Федерации, представляется плательщиками НДС;</w:t>
      </w:r>
    </w:p>
    <w:p>
      <w:pPr>
        <w:pStyle w:val="0"/>
        <w:spacing w:before="200" w:line-rule="auto"/>
        <w:ind w:firstLine="540"/>
        <w:jc w:val="both"/>
      </w:pPr>
      <w:r>
        <w:rPr>
          <w:sz w:val="20"/>
        </w:rPr>
        <w:t xml:space="preserve">9) перечень документов, подтверждающих фактические затраты, при предоставлении заявки на возмещение затрат при реализации мероприятия, указанного в </w:t>
      </w:r>
      <w:hyperlink w:history="0" w:anchor="P14889" w:tooltip="3) организация и проведение Центром мероприятий.">
        <w:r>
          <w:rPr>
            <w:sz w:val="20"/>
            <w:color w:val="0000ff"/>
          </w:rPr>
          <w:t xml:space="preserve">подпункте 3 пункта 5</w:t>
        </w:r>
      </w:hyperlink>
      <w:r>
        <w:rPr>
          <w:sz w:val="20"/>
        </w:rPr>
        <w:t xml:space="preserve"> Порядка:</w:t>
      </w:r>
    </w:p>
    <w:p>
      <w:pPr>
        <w:pStyle w:val="0"/>
        <w:spacing w:before="200" w:line-rule="auto"/>
        <w:ind w:firstLine="540"/>
        <w:jc w:val="both"/>
      </w:pPr>
      <w:r>
        <w:rPr>
          <w:sz w:val="20"/>
        </w:rPr>
        <w:t xml:space="preserve">договор на выполнение работ, оказание услуг, в целях организации и (или) проведения мероприятия;</w:t>
      </w:r>
    </w:p>
    <w:p>
      <w:pPr>
        <w:pStyle w:val="0"/>
        <w:spacing w:before="200" w:line-rule="auto"/>
        <w:ind w:firstLine="540"/>
        <w:jc w:val="both"/>
      </w:pPr>
      <w:r>
        <w:rPr>
          <w:sz w:val="20"/>
        </w:rPr>
        <w:t xml:space="preserve">реестры платежных поручений, платежные поручения (счета-квитанции), выписки банка, заверенные печатью банка и подписью сотрудника банка;</w:t>
      </w:r>
    </w:p>
    <w:p>
      <w:pPr>
        <w:pStyle w:val="0"/>
        <w:spacing w:before="200" w:line-rule="auto"/>
        <w:ind w:firstLine="540"/>
        <w:jc w:val="both"/>
      </w:pPr>
      <w:r>
        <w:rPr>
          <w:sz w:val="20"/>
        </w:rPr>
        <w:t xml:space="preserve">акты сдачи-приемки выполненных работ, оказанных услуг;</w:t>
      </w:r>
    </w:p>
    <w:p>
      <w:pPr>
        <w:pStyle w:val="0"/>
        <w:spacing w:before="200" w:line-rule="auto"/>
        <w:ind w:firstLine="540"/>
        <w:jc w:val="both"/>
      </w:pPr>
      <w:r>
        <w:rPr>
          <w:sz w:val="20"/>
        </w:rPr>
        <w:t xml:space="preserve">чеки самозанятого.</w:t>
      </w:r>
    </w:p>
    <w:bookmarkStart w:id="14977" w:name="P14977"/>
    <w:bookmarkEnd w:id="14977"/>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согласие участника отбора на осуществление в отношении него проверок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w:history="0" r:id="rId6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в случае заключения Соглашения;</w:t>
      </w:r>
    </w:p>
    <w:p>
      <w:pPr>
        <w:pStyle w:val="0"/>
        <w:spacing w:before="200" w:line-rule="auto"/>
        <w:ind w:firstLine="540"/>
        <w:jc w:val="both"/>
      </w:pPr>
      <w:r>
        <w:rPr>
          <w:sz w:val="20"/>
        </w:rPr>
        <w:t xml:space="preserve">документ, подтверждающий полномочия лица, подписавшего заявку;</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 юридического лица или уполномоченного им лица, участника отбора - индивидуального предпринимателя или уполномоченного им лица;</w:t>
      </w:r>
    </w:p>
    <w:p>
      <w:pPr>
        <w:pStyle w:val="0"/>
        <w:spacing w:before="200" w:line-rule="auto"/>
        <w:ind w:firstLine="540"/>
        <w:jc w:val="both"/>
      </w:pPr>
      <w:r>
        <w:rPr>
          <w:sz w:val="20"/>
        </w:rPr>
        <w:t xml:space="preserve">4) 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5) 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w:t>
      </w:r>
    </w:p>
    <w:p>
      <w:pPr>
        <w:pStyle w:val="0"/>
        <w:spacing w:before="200" w:line-rule="auto"/>
        <w:ind w:firstLine="540"/>
        <w:jc w:val="both"/>
      </w:pPr>
      <w:r>
        <w:rPr>
          <w:sz w:val="20"/>
        </w:rPr>
        <w:t xml:space="preserve">6)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14977"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15. Доступ Министерству к поданным участниками отбора заявкам в системе "Электронный бюджет" для их рассмотрения открывается не позднее 1-го рабочего дня, следующего за днем окончания срока подачи заявок, установленного в объявлении о проведении отбора.</w:t>
      </w:r>
    </w:p>
    <w:p>
      <w:pPr>
        <w:pStyle w:val="0"/>
        <w:spacing w:before="200" w:line-rule="auto"/>
        <w:ind w:firstLine="540"/>
        <w:jc w:val="both"/>
      </w:pPr>
      <w:r>
        <w:rPr>
          <w:sz w:val="20"/>
        </w:rPr>
        <w:t xml:space="preserve">16. 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17. Протокол вскрытия заявок автоматически формируется на едином портале и подписывается не позднее 1 рабочего дня, следующего за днем вскрытия заявок, установленного в объявлении о проведении отбора,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 или фамилия, имя, отчество (последнее -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(для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bookmarkStart w:id="15001" w:name="P15001"/>
    <w:bookmarkEnd w:id="15001"/>
    <w:p>
      <w:pPr>
        <w:pStyle w:val="0"/>
        <w:spacing w:before="200" w:line-rule="auto"/>
        <w:ind w:firstLine="540"/>
        <w:jc w:val="both"/>
      </w:pPr>
      <w:r>
        <w:rPr>
          <w:sz w:val="20"/>
        </w:rPr>
        <w:t xml:space="preserve">18. Министерство в течение срока, не превышающего 20 рабочих дней со дня получения доступа к поданным заявкам в системе "Электронный бюджет",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21. При проведении отбора предусмотрен возврат заявок участникам отбора на доработку по решению Министерства.</w:t>
      </w:r>
    </w:p>
    <w:p>
      <w:pPr>
        <w:pStyle w:val="0"/>
        <w:spacing w:before="200" w:line-rule="auto"/>
        <w:ind w:firstLine="540"/>
        <w:jc w:val="both"/>
      </w:pPr>
      <w:r>
        <w:rPr>
          <w:sz w:val="20"/>
        </w:rPr>
        <w:t xml:space="preserve">Решение о возврате заявок на доработку принимается в равной мере ко всем участникам отбора, если при рассмотрении заявок выявлены основания для их возврата на доработку, предусмотренные порядком возврата заявок на доработку, указанным в объявлении об отборе. Решения о возврате заявок на доработку доводятся до участников отбора с использованием системы "Электронный бюджет" в течение 3-х рабочих дней со дня принятия решения с указанием оснований для возврата заявки на доработку,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заявок участникам отбора на доработку является наличие технической ошибки в заявке и (или) прилагаемых к заявке документах, устранение которой не влияет на размер субсидии и не дает преимущества перед другими участниками отбора.</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осуществляет доработку заявки в срок не более 3-х рабочих дней, но не позднее даты окончания срока рассмотрения заявок.</w:t>
      </w:r>
    </w:p>
    <w:p>
      <w:pPr>
        <w:pStyle w:val="0"/>
        <w:spacing w:before="200" w:line-rule="auto"/>
        <w:ind w:firstLine="540"/>
        <w:jc w:val="both"/>
      </w:pPr>
      <w:r>
        <w:rPr>
          <w:sz w:val="20"/>
        </w:rPr>
        <w:t xml:space="preserve">22. Проверка участника отбора на соответствие требованиям, определенным в соответствии с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в соответствии с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В целях проверки соответствия участника отбора требованиям, определенным в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 Министерство в пределах срока рассмотрения заявок, установленного </w:t>
      </w:r>
      <w:hyperlink w:history="0" w:anchor="P15001" w:tooltip="18. Министерство в течение срока, не превышающего 20 рабочих дней со дня получения доступа к поданным заявкам в системе &quot;Электронный бюджет&quot;,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критериям отбора и принимает в отношении участников отбора одно из следующих решений:">
        <w:r>
          <w:rPr>
            <w:sz w:val="20"/>
            <w:color w:val="0000ff"/>
          </w:rPr>
          <w:t xml:space="preserve">пунктом 18</w:t>
        </w:r>
      </w:hyperlink>
      <w:r>
        <w:rPr>
          <w:sz w:val="20"/>
        </w:rPr>
        <w:t xml:space="preserve"> Порядка, запрашивает сведения в Федеральной налоговой службе, Росреестре.</w:t>
      </w:r>
    </w:p>
    <w:bookmarkStart w:id="15020" w:name="P15020"/>
    <w:bookmarkEnd w:id="15020"/>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Start w:id="15021" w:name="P15021"/>
    <w:bookmarkEnd w:id="15021"/>
    <w:p>
      <w:pPr>
        <w:pStyle w:val="0"/>
        <w:spacing w:before="200" w:line-rule="auto"/>
        <w:ind w:firstLine="540"/>
        <w:jc w:val="both"/>
      </w:pPr>
      <w:r>
        <w:rPr>
          <w:sz w:val="20"/>
        </w:rPr>
        <w:t xml:space="preserve">В запросе, указанном в </w:t>
      </w:r>
      <w:hyperlink w:history="0" w:anchor="P15020"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 четвертом</w:t>
        </w:r>
      </w:hyperlink>
      <w:r>
        <w:rPr>
          <w:sz w:val="20"/>
        </w:rPr>
        <w:t xml:space="preserve"> настоящего пункта,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систему "Электронный бюджет" информацию и документы, запрашиваемые в соответствии с </w:t>
      </w:r>
      <w:hyperlink w:history="0" w:anchor="P15020" w:tooltip="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стникам отбора.">
        <w:r>
          <w:rPr>
            <w:sz w:val="20"/>
            <w:color w:val="0000ff"/>
          </w:rPr>
          <w:t xml:space="preserve">абзацем четвертым</w:t>
        </w:r>
      </w:hyperlink>
      <w:r>
        <w:rPr>
          <w:sz w:val="20"/>
        </w:rPr>
        <w:t xml:space="preserve"> настоящего пункта, в сроки, установленные соответствующим запросом с учетом положений </w:t>
      </w:r>
      <w:hyperlink w:history="0" w:anchor="P15021" w:tooltip="В запросе, указанном в абзаце четвертом настоящего пункт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пятого</w:t>
        </w:r>
      </w:hyperlink>
      <w:r>
        <w:rPr>
          <w:sz w:val="20"/>
        </w:rPr>
        <w:t xml:space="preserve"> настоящего пункта.</w:t>
      </w:r>
    </w:p>
    <w:p>
      <w:pPr>
        <w:pStyle w:val="0"/>
        <w:spacing w:before="200" w:line-rule="auto"/>
        <w:ind w:firstLine="540"/>
        <w:jc w:val="both"/>
      </w:pPr>
      <w:r>
        <w:rPr>
          <w:sz w:val="20"/>
        </w:rPr>
        <w:t xml:space="preserve">23. 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24.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25. В целях завершения отбора и определения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Днем принятия решения о предоставлении субсидии является дата подписания протокола подведения итогов отбора руководителем Министерства (уполномоченным им лицом).</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history="0" w:anchor="P14928" w:tooltip="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которые в том числе включают максимальный размер субсидии, предоставляемой победителю отбора;">
        <w:r>
          <w:rPr>
            <w:sz w:val="20"/>
            <w:color w:val="0000ff"/>
          </w:rPr>
          <w:t xml:space="preserve">подпунктом 13 пункта 10</w:t>
        </w:r>
      </w:hyperlink>
      <w:r>
        <w:rPr>
          <w:sz w:val="20"/>
        </w:rPr>
        <w:t xml:space="preserve"> Порядка.</w:t>
      </w:r>
    </w:p>
    <w:p>
      <w:pPr>
        <w:pStyle w:val="0"/>
        <w:spacing w:before="200" w:line-rule="auto"/>
        <w:ind w:firstLine="540"/>
        <w:jc w:val="both"/>
      </w:pPr>
      <w:r>
        <w:rPr>
          <w:sz w:val="20"/>
        </w:rPr>
        <w:t xml:space="preserve">26. Отбор признается Министерством несостоявшимся в следующих случаях:</w:t>
      </w:r>
    </w:p>
    <w:bookmarkStart w:id="15033" w:name="P15033"/>
    <w:bookmarkEnd w:id="15033"/>
    <w:p>
      <w:pPr>
        <w:pStyle w:val="0"/>
        <w:spacing w:before="200" w:line-rule="auto"/>
        <w:ind w:firstLine="540"/>
        <w:jc w:val="both"/>
      </w:pPr>
      <w:r>
        <w:rPr>
          <w:sz w:val="20"/>
        </w:rPr>
        <w:t xml:space="preserve">1) если по окончании срока подачи заявок не подано ни одной заявки;</w:t>
      </w:r>
    </w:p>
    <w:bookmarkStart w:id="15034" w:name="P15034"/>
    <w:bookmarkEnd w:id="15034"/>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Министерства о признании отбора несостоявшимся размещается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w:t>
      </w:r>
      <w:hyperlink w:history="0" w:anchor="P15033" w:tooltip="1) если по окончании срока подачи заявок не подано ни одной заявки;">
        <w:r>
          <w:rPr>
            <w:sz w:val="20"/>
            <w:color w:val="0000ff"/>
          </w:rPr>
          <w:t xml:space="preserve">подпунктах 1</w:t>
        </w:r>
      </w:hyperlink>
      <w:r>
        <w:rPr>
          <w:sz w:val="20"/>
        </w:rPr>
        <w:t xml:space="preserve">, </w:t>
      </w:r>
      <w:hyperlink w:history="0" w:anchor="P15034" w:tooltip="2) если по результатам рассмотрения заявок отклонены все заявки.">
        <w:r>
          <w:rPr>
            <w:sz w:val="20"/>
            <w:color w:val="0000ff"/>
          </w:rPr>
          <w:t xml:space="preserve">2</w:t>
        </w:r>
      </w:hyperlink>
      <w:r>
        <w:rPr>
          <w:sz w:val="20"/>
        </w:rPr>
        <w:t xml:space="preserve"> настоящего пункта, Министерство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27. Министерство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и размещается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системе "Электронный бюджет".</w:t>
      </w:r>
    </w:p>
    <w:p>
      <w:pPr>
        <w:pStyle w:val="0"/>
        <w:spacing w:before="200" w:line-rule="auto"/>
        <w:ind w:firstLine="540"/>
        <w:jc w:val="both"/>
      </w:pPr>
      <w:r>
        <w:rPr>
          <w:sz w:val="20"/>
        </w:rPr>
        <w:t xml:space="preserve">Отбор считается отмененным со дня размещения объявления о его отмене на едином портале.</w:t>
      </w:r>
    </w:p>
    <w:bookmarkStart w:id="15043" w:name="P15043"/>
    <w:bookmarkEnd w:id="15043"/>
    <w:p>
      <w:pPr>
        <w:pStyle w:val="0"/>
        <w:spacing w:before="200" w:line-rule="auto"/>
        <w:ind w:firstLine="540"/>
        <w:jc w:val="both"/>
      </w:pPr>
      <w:r>
        <w:rPr>
          <w:sz w:val="20"/>
        </w:rPr>
        <w:t xml:space="preserve">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Министерству запросы о разъяснении положений объявления о проведении отбора путем формирования соответствующего запроса в системе "Электронный бюджет".</w:t>
      </w:r>
    </w:p>
    <w:p>
      <w:pPr>
        <w:pStyle w:val="0"/>
        <w:spacing w:before="200" w:line-rule="auto"/>
        <w:ind w:firstLine="540"/>
        <w:jc w:val="both"/>
      </w:pPr>
      <w:r>
        <w:rPr>
          <w:sz w:val="20"/>
        </w:rPr>
        <w:t xml:space="preserve">Министерство в ответ на запрос, указанный в </w:t>
      </w:r>
      <w:hyperlink w:history="0" w:anchor="P15043" w:tooltip="28. Участник отбора со дня размещения объявления о проведении отбора на едином портале, но не позднее 3 рабочего дня до даты окончания приема заявок вправе направлять Министерству запросы о разъяснении положений объявления о проведении отбора путем формирования соответствующего запроса в системе &quot;Электронный бюджет&quot;.">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системе "Электронный бюджет".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5048" w:name="P15048"/>
    <w:bookmarkEnd w:id="15048"/>
    <w:p>
      <w:pPr>
        <w:pStyle w:val="0"/>
        <w:ind w:firstLine="540"/>
        <w:jc w:val="both"/>
      </w:pPr>
      <w:r>
        <w:rPr>
          <w:sz w:val="20"/>
        </w:rPr>
        <w:t xml:space="preserve">29. Направления затрат, на возмещение которых предоставляется субсидия:</w:t>
      </w:r>
    </w:p>
    <w:p>
      <w:pPr>
        <w:pStyle w:val="0"/>
        <w:spacing w:before="200" w:line-rule="auto"/>
        <w:ind w:firstLine="540"/>
        <w:jc w:val="both"/>
      </w:pPr>
      <w:r>
        <w:rPr>
          <w:sz w:val="20"/>
        </w:rPr>
        <w:t xml:space="preserve">1) затраты, понесенные при реализации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w:t>
      </w:r>
    </w:p>
    <w:p>
      <w:pPr>
        <w:pStyle w:val="0"/>
        <w:spacing w:before="200" w:line-rule="auto"/>
        <w:ind w:firstLine="540"/>
        <w:jc w:val="both"/>
      </w:pPr>
      <w:r>
        <w:rPr>
          <w:sz w:val="20"/>
        </w:rPr>
        <w:t xml:space="preserve">приобретение оборудования, за исключением оборудования, ранее находившегося в эксплуатации и (или) срок изготовления (выпуска) которого превышает 5 лет на дату подачи заявки;</w:t>
      </w:r>
    </w:p>
    <w:p>
      <w:pPr>
        <w:pStyle w:val="0"/>
        <w:spacing w:before="200" w:line-rule="auto"/>
        <w:ind w:firstLine="540"/>
        <w:jc w:val="both"/>
      </w:pPr>
      <w:r>
        <w:rPr>
          <w:sz w:val="20"/>
        </w:rPr>
        <w:t xml:space="preserve">аренда помещения, в котором располагается Центр;</w:t>
      </w:r>
    </w:p>
    <w:p>
      <w:pPr>
        <w:pStyle w:val="0"/>
        <w:spacing w:before="200" w:line-rule="auto"/>
        <w:ind w:firstLine="540"/>
        <w:jc w:val="both"/>
      </w:pPr>
      <w:r>
        <w:rPr>
          <w:sz w:val="20"/>
        </w:rPr>
        <w:t xml:space="preserve">оплата коммунальных услуг;</w:t>
      </w:r>
    </w:p>
    <w:p>
      <w:pPr>
        <w:pStyle w:val="0"/>
        <w:spacing w:before="200" w:line-rule="auto"/>
        <w:ind w:firstLine="540"/>
        <w:jc w:val="both"/>
      </w:pPr>
      <w:r>
        <w:rPr>
          <w:sz w:val="20"/>
        </w:rPr>
        <w:t xml:space="preserve">оплата труда и начисления на выплаты по оплате труда работников Центра;</w:t>
      </w:r>
    </w:p>
    <w:p>
      <w:pPr>
        <w:pStyle w:val="0"/>
        <w:spacing w:before="200" w:line-rule="auto"/>
        <w:ind w:firstLine="540"/>
        <w:jc w:val="both"/>
      </w:pPr>
      <w:r>
        <w:rPr>
          <w:sz w:val="20"/>
        </w:rPr>
        <w:t xml:space="preserve">оплата услуг связи и Интернета;</w:t>
      </w:r>
    </w:p>
    <w:p>
      <w:pPr>
        <w:pStyle w:val="0"/>
        <w:spacing w:before="200" w:line-rule="auto"/>
        <w:ind w:firstLine="540"/>
        <w:jc w:val="both"/>
      </w:pPr>
      <w:r>
        <w:rPr>
          <w:sz w:val="20"/>
        </w:rPr>
        <w:t xml:space="preserve">содержание имущества;</w:t>
      </w:r>
    </w:p>
    <w:p>
      <w:pPr>
        <w:pStyle w:val="0"/>
        <w:spacing w:before="200" w:line-rule="auto"/>
        <w:ind w:firstLine="540"/>
        <w:jc w:val="both"/>
      </w:pPr>
      <w:r>
        <w:rPr>
          <w:sz w:val="20"/>
        </w:rPr>
        <w:t xml:space="preserve">увеличение стоимости материальных запасов, основных средств;</w:t>
      </w:r>
    </w:p>
    <w:p>
      <w:pPr>
        <w:pStyle w:val="0"/>
        <w:spacing w:before="200" w:line-rule="auto"/>
        <w:ind w:firstLine="540"/>
        <w:jc w:val="both"/>
      </w:pPr>
      <w:r>
        <w:rPr>
          <w:sz w:val="20"/>
        </w:rPr>
        <w:t xml:space="preserve">уплата налогов и сборов;</w:t>
      </w:r>
    </w:p>
    <w:p>
      <w:pPr>
        <w:pStyle w:val="0"/>
        <w:spacing w:before="200" w:line-rule="auto"/>
        <w:ind w:firstLine="540"/>
        <w:jc w:val="both"/>
      </w:pPr>
      <w:r>
        <w:rPr>
          <w:sz w:val="20"/>
        </w:rPr>
        <w:t xml:space="preserve">2) затраты, понесенные при реализации мероприятия, указанного в </w:t>
      </w:r>
      <w:hyperlink w:history="0" w:anchor="P14888" w:tooltip="2) дооснащение действующего Центра оборудованием;">
        <w:r>
          <w:rPr>
            <w:sz w:val="20"/>
            <w:color w:val="0000ff"/>
          </w:rPr>
          <w:t xml:space="preserve">подпункте 2 пункта 5</w:t>
        </w:r>
      </w:hyperlink>
      <w:r>
        <w:rPr>
          <w:sz w:val="20"/>
        </w:rPr>
        <w:t xml:space="preserve"> Порядка, - приобретение оборудования для дооснащения функционирующего Центра, за исключением оборудования, ранее находившегося в эксплуатации и (или) срок изготовления (выпуска) которого превышает 5 лет на дату подачи заявки;</w:t>
      </w:r>
    </w:p>
    <w:p>
      <w:pPr>
        <w:pStyle w:val="0"/>
        <w:spacing w:before="200" w:line-rule="auto"/>
        <w:ind w:firstLine="540"/>
        <w:jc w:val="both"/>
      </w:pPr>
      <w:r>
        <w:rPr>
          <w:sz w:val="20"/>
        </w:rPr>
        <w:t xml:space="preserve">3) затраты, понесенные при реализации мероприятия, указанного в </w:t>
      </w:r>
      <w:hyperlink w:history="0" w:anchor="P14889" w:tooltip="3) организация и проведение Центром мероприятий.">
        <w:r>
          <w:rPr>
            <w:sz w:val="20"/>
            <w:color w:val="0000ff"/>
          </w:rPr>
          <w:t xml:space="preserve">подпункте 3 пункта 5</w:t>
        </w:r>
      </w:hyperlink>
      <w:r>
        <w:rPr>
          <w:sz w:val="20"/>
        </w:rPr>
        <w:t xml:space="preserve"> Порядка, - оплата выполнения работ, оказания услуг в целях организации и (или) проведения мероприятий.</w:t>
      </w:r>
    </w:p>
    <w:p>
      <w:pPr>
        <w:pStyle w:val="0"/>
        <w:spacing w:before="200" w:line-rule="auto"/>
        <w:ind w:firstLine="540"/>
        <w:jc w:val="both"/>
      </w:pPr>
      <w:r>
        <w:rPr>
          <w:sz w:val="20"/>
        </w:rPr>
        <w:t xml:space="preserve">30. Размер субсидии определяется по следующей формуле:</w:t>
      </w:r>
    </w:p>
    <w:p>
      <w:pPr>
        <w:pStyle w:val="0"/>
        <w:jc w:val="both"/>
      </w:pPr>
      <w:r>
        <w:rPr>
          <w:sz w:val="20"/>
        </w:rPr>
      </w:r>
    </w:p>
    <w:p>
      <w:pPr>
        <w:pStyle w:val="0"/>
        <w:jc w:val="center"/>
      </w:pPr>
      <w:r>
        <w:rPr>
          <w:position w:val="-10"/>
        </w:rPr>
        <w:drawing>
          <wp:inline distT="0" distB="0" distL="0" distR="0">
            <wp:extent cx="6381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размер субсидии одному получателю субсидии, который не может превышать:</w:t>
      </w:r>
    </w:p>
    <w:p>
      <w:pPr>
        <w:pStyle w:val="0"/>
        <w:spacing w:before="200" w:line-rule="auto"/>
        <w:ind w:firstLine="540"/>
        <w:jc w:val="both"/>
      </w:pPr>
      <w:r>
        <w:rPr>
          <w:sz w:val="20"/>
        </w:rPr>
        <w:t xml:space="preserve">7000000 рублей при возмещении затрат, связанных с реализацией мероприятия, указанного в </w:t>
      </w:r>
      <w:hyperlink w:history="0" w:anchor="P14887" w:tooltip="1) создание Центра;">
        <w:r>
          <w:rPr>
            <w:sz w:val="20"/>
            <w:color w:val="0000ff"/>
          </w:rPr>
          <w:t xml:space="preserve">подпункте 1 пункта 5</w:t>
        </w:r>
      </w:hyperlink>
      <w:r>
        <w:rPr>
          <w:sz w:val="20"/>
        </w:rPr>
        <w:t xml:space="preserve"> Порядка;</w:t>
      </w:r>
    </w:p>
    <w:p>
      <w:pPr>
        <w:pStyle w:val="0"/>
        <w:spacing w:before="200" w:line-rule="auto"/>
        <w:ind w:firstLine="540"/>
        <w:jc w:val="both"/>
      </w:pPr>
      <w:r>
        <w:rPr>
          <w:sz w:val="20"/>
        </w:rPr>
        <w:t xml:space="preserve">2000000 рублей при возмещении затрат, связанных с реализацией мероприятия, указанного в </w:t>
      </w:r>
      <w:hyperlink w:history="0" w:anchor="P14888" w:tooltip="2) дооснащение действующего Центра оборудованием;">
        <w:r>
          <w:rPr>
            <w:sz w:val="20"/>
            <w:color w:val="0000ff"/>
          </w:rPr>
          <w:t xml:space="preserve">подпункте 2 пункта 5</w:t>
        </w:r>
      </w:hyperlink>
      <w:r>
        <w:rPr>
          <w:sz w:val="20"/>
        </w:rPr>
        <w:t xml:space="preserve"> Порядка;</w:t>
      </w:r>
    </w:p>
    <w:p>
      <w:pPr>
        <w:pStyle w:val="0"/>
        <w:spacing w:before="200" w:line-rule="auto"/>
        <w:ind w:firstLine="540"/>
        <w:jc w:val="both"/>
      </w:pPr>
      <w:r>
        <w:rPr>
          <w:sz w:val="20"/>
        </w:rPr>
        <w:t xml:space="preserve">1000000 рублей при возмещении затрат, связанных с реализацией мероприятия, указанного в </w:t>
      </w:r>
      <w:hyperlink w:history="0" w:anchor="P14889" w:tooltip="3) организация и проведение Центром мероприятий.">
        <w:r>
          <w:rPr>
            <w:sz w:val="20"/>
            <w:color w:val="0000ff"/>
          </w:rPr>
          <w:t xml:space="preserve">подпункте 3 пункта 5</w:t>
        </w:r>
      </w:hyperlink>
      <w:r>
        <w:rPr>
          <w:sz w:val="20"/>
        </w:rPr>
        <w:t xml:space="preserve"> Порядка;</w:t>
      </w:r>
    </w:p>
    <w:p>
      <w:pPr>
        <w:pStyle w:val="0"/>
        <w:spacing w:before="200" w:line-rule="auto"/>
        <w:ind w:firstLine="540"/>
        <w:jc w:val="both"/>
      </w:pPr>
      <w:r>
        <w:rPr>
          <w:sz w:val="20"/>
        </w:rPr>
        <w:t xml:space="preserve">Зi - фактические и подтвержденные затраты получателя субсидии из перечня направлений затрат, указанных в </w:t>
      </w:r>
      <w:hyperlink w:history="0" w:anchor="P15048" w:tooltip="29. Направления затрат, на возмещение которых предоставляется субсидия:">
        <w:r>
          <w:rPr>
            <w:sz w:val="20"/>
            <w:color w:val="0000ff"/>
          </w:rPr>
          <w:t xml:space="preserve">пункте 29</w:t>
        </w:r>
      </w:hyperlink>
      <w:r>
        <w:rPr>
          <w:sz w:val="20"/>
        </w:rPr>
        <w:t xml:space="preserve"> Порядка.</w:t>
      </w:r>
    </w:p>
    <w:p>
      <w:pPr>
        <w:pStyle w:val="0"/>
        <w:jc w:val="both"/>
      </w:pPr>
      <w:r>
        <w:rPr>
          <w:sz w:val="20"/>
        </w:rPr>
      </w:r>
    </w:p>
    <w:p>
      <w:pPr>
        <w:pStyle w:val="0"/>
        <w:ind w:firstLine="540"/>
        <w:jc w:val="both"/>
      </w:pPr>
      <w:r>
        <w:rPr>
          <w:sz w:val="20"/>
        </w:rPr>
        <w:t xml:space="preserve">Размер предоставляемых субсидий не должен превышать размер документально обоснованных затрат.</w:t>
      </w:r>
    </w:p>
    <w:p>
      <w:pPr>
        <w:pStyle w:val="0"/>
        <w:spacing w:before="200" w:line-rule="auto"/>
        <w:ind w:firstLine="540"/>
        <w:jc w:val="both"/>
      </w:pPr>
      <w:r>
        <w:rPr>
          <w:sz w:val="20"/>
        </w:rPr>
        <w:t xml:space="preserve">Распределение субсидий осуществляется в пределах средств бюджета Московской области, доведенных до Министерства, на цели, предусмотренные Порядком, в порядке очередности поступивших, рассмотренных и не отклоненных Министерством заявок.</w:t>
      </w:r>
    </w:p>
    <w:p>
      <w:pPr>
        <w:pStyle w:val="0"/>
        <w:spacing w:before="200" w:line-rule="auto"/>
        <w:ind w:firstLine="540"/>
        <w:jc w:val="both"/>
      </w:pPr>
      <w:r>
        <w:rPr>
          <w:sz w:val="20"/>
        </w:rPr>
        <w:t xml:space="preserve">Субсидия предоставляется при условии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Российской Федерации и Московской области в соответствии со </w:t>
      </w:r>
      <w:hyperlink w:history="0" r:id="rId6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5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31. По результатам отбора с победителем отбора заключается Соглашение в электронном виде с использованием ГИС "РЭБ".</w:t>
      </w:r>
    </w:p>
    <w:p>
      <w:pPr>
        <w:pStyle w:val="0"/>
        <w:spacing w:before="200" w:line-rule="auto"/>
        <w:ind w:firstLine="540"/>
        <w:jc w:val="both"/>
      </w:pPr>
      <w:r>
        <w:rPr>
          <w:sz w:val="20"/>
        </w:rPr>
        <w:t xml:space="preserve">Порядок открытия доступа и взаимодействия в системе ГИС "РЭБ" указывается Министерством в объявлении о проведении отбора.</w:t>
      </w:r>
    </w:p>
    <w:p>
      <w:pPr>
        <w:pStyle w:val="0"/>
        <w:spacing w:before="200" w:line-rule="auto"/>
        <w:ind w:firstLine="540"/>
        <w:jc w:val="both"/>
      </w:pPr>
      <w:r>
        <w:rPr>
          <w:sz w:val="20"/>
        </w:rPr>
        <w:t xml:space="preserve">Соглашение заключается с победителем отбора в течение 7 рабочих дней со дня размещения на едином портале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участника отбора (получателя субсидии) требованиям, установленным </w:t>
      </w:r>
      <w:hyperlink w:history="0" w:anchor="P14934"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Министерством и победителем отбора по типовой форме, утвержденной распоряжением Министерства экономики и финансов Московской области.</w:t>
      </w:r>
    </w:p>
    <w:bookmarkStart w:id="15081" w:name="P15081"/>
    <w:bookmarkEnd w:id="15081"/>
    <w:p>
      <w:pPr>
        <w:pStyle w:val="0"/>
        <w:spacing w:before="200" w:line-rule="auto"/>
        <w:ind w:firstLine="540"/>
        <w:jc w:val="both"/>
      </w:pPr>
      <w:r>
        <w:rPr>
          <w:sz w:val="20"/>
        </w:rPr>
        <w:t xml:space="preserve">32. Министерство не позднее 2-х рабочих дней, следующих за днем принятия решения о предоставлении субсидии, формирует Соглашение в форме электронного документа в системе ГИС "РЭБ".</w:t>
      </w:r>
    </w:p>
    <w:bookmarkStart w:id="15082" w:name="P15082"/>
    <w:bookmarkEnd w:id="15082"/>
    <w:p>
      <w:pPr>
        <w:pStyle w:val="0"/>
        <w:spacing w:before="200" w:line-rule="auto"/>
        <w:ind w:firstLine="540"/>
        <w:jc w:val="both"/>
      </w:pPr>
      <w:r>
        <w:rPr>
          <w:sz w:val="20"/>
        </w:rPr>
        <w:t xml:space="preserve">Получатели субсидий не позднее 2-х рабочих дней, следующих за днем формирования Соглашения в системе ГИС "РЭБ", подписывают Соглашения в системе ГИС "РЭБ" усиленной квалифицированной электронной подписью лица, имеющего право действовать от имени получателя субсидии.</w:t>
      </w:r>
    </w:p>
    <w:p>
      <w:pPr>
        <w:pStyle w:val="0"/>
        <w:spacing w:before="200" w:line-rule="auto"/>
        <w:ind w:firstLine="540"/>
        <w:jc w:val="both"/>
      </w:pPr>
      <w:r>
        <w:rPr>
          <w:sz w:val="20"/>
        </w:rPr>
        <w:t xml:space="preserve">В случае неподписания получателем субсидии Соглашения в системе ГИС "РЭБ" в срок, установленный </w:t>
      </w:r>
      <w:hyperlink w:history="0" w:anchor="P15082"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получатель субсидии признается уклонившимся от заключения Соглашения и субсидия не предоставляется, о чем получатель субсидии уведомляется Министерством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В случае подписания получателем субсидии Соглашения в системе ГИС "РЭБ" в срок, установленный </w:t>
      </w:r>
      <w:hyperlink w:history="0" w:anchor="P15082" w:tooltip="Получатели субсидий не позднее 2-х рабочих дней, следующих за днем формирования Соглашения в системе ГИС &quot;РЭБ&quot;, подписывают Соглашения в системе ГИС &quot;РЭБ&quot; усиленной квалифицированной электронной подписью лица, имеющего право действовать от имени получателя субсидии.">
        <w:r>
          <w:rPr>
            <w:sz w:val="20"/>
            <w:color w:val="0000ff"/>
          </w:rPr>
          <w:t xml:space="preserve">абзацем вторым</w:t>
        </w:r>
      </w:hyperlink>
      <w:r>
        <w:rPr>
          <w:sz w:val="20"/>
        </w:rPr>
        <w:t xml:space="preserve"> настоящего пункта, Соглашение подписывается Министерством в течение 1-го рабочего дня, следующего за днем формирования Соглашения в системе ГИС "РЭБ".</w:t>
      </w:r>
    </w:p>
    <w:p>
      <w:pPr>
        <w:pStyle w:val="0"/>
        <w:spacing w:before="200" w:line-rule="auto"/>
        <w:ind w:firstLine="540"/>
        <w:jc w:val="both"/>
      </w:pPr>
      <w:r>
        <w:rPr>
          <w:sz w:val="20"/>
        </w:rPr>
        <w:t xml:space="preserve">33.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6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5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Основания для отказа получателю субсидии в предоставлении субсидии:</w:t>
      </w:r>
    </w:p>
    <w:p>
      <w:pPr>
        <w:pStyle w:val="0"/>
        <w:spacing w:before="200" w:line-rule="auto"/>
        <w:ind w:firstLine="540"/>
        <w:jc w:val="both"/>
      </w:pPr>
      <w:r>
        <w:rPr>
          <w:sz w:val="20"/>
        </w:rPr>
        <w:t xml:space="preserve">несоответствие документов, представленных получателем субсидии, требованиям, установленным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36. Результатом предоставления субсидии является количество посетителей Центра, обучающихся по направлениям деятельности Центра, за год предоставления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37. Перечисление субсидии осуществляется не позднее 10-го рабочего дня, следующего за днем принятия Министерством по результатам рассмотрения и проверки им документов, подтверждающих фактически произведенные затраты, решения о предоставлении субсидии.</w:t>
      </w:r>
    </w:p>
    <w:p>
      <w:pPr>
        <w:pStyle w:val="0"/>
        <w:spacing w:before="200" w:line-rule="auto"/>
        <w:ind w:firstLine="540"/>
        <w:jc w:val="both"/>
      </w:pPr>
      <w:r>
        <w:rPr>
          <w:sz w:val="20"/>
        </w:rPr>
        <w:t xml:space="preserve">38. Субсидия подлежит перечислению в срок на расчетный счет, открытый получателю субсидии в кредитной организации, указанный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39. Отчеты о достижении значений результата предоставления субсидии представляются в Министерство ежеквартально до 10-го рабочего дня месяца, следующего за отчетным кварталом, а по результатам года - не позднее 20 числа месяца, следующего за отчетным годом.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40. Проверка и принятие отчетности, представляемой в соответствии с настоящим разделом, осуществляется Министерством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Министерство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Министерство в течение 5 рабочих дней направляет получателю субсидии уведомление об исправлении представленных отчетов и повторном их направлении в Министерство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Министерством в том числе является основанием для осуществления Министерством проверки соблюдения получателем субсидии порядка и условий предоставления субсидии в соответствии с </w:t>
      </w:r>
      <w:hyperlink w:history="0" w:anchor="P15110" w:tooltip="41. Министерство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41</w:t>
        </w:r>
      </w:hyperlink>
      <w:r>
        <w:rPr>
          <w:sz w:val="20"/>
        </w:rPr>
        <w:t xml:space="preserve"> Порядка.</w:t>
      </w:r>
    </w:p>
    <w:p>
      <w:pPr>
        <w:pStyle w:val="0"/>
        <w:jc w:val="both"/>
      </w:pPr>
      <w:r>
        <w:rPr>
          <w:sz w:val="20"/>
        </w:rPr>
      </w:r>
    </w:p>
    <w:p>
      <w:pPr>
        <w:pStyle w:val="2"/>
        <w:outlineLvl w:val="4"/>
        <w:jc w:val="center"/>
      </w:pPr>
      <w:r>
        <w:rPr>
          <w:sz w:val="20"/>
        </w:rPr>
        <w:t xml:space="preserve">V. Контроль за соблюдением условий и порядка предоставления</w:t>
      </w:r>
    </w:p>
    <w:p>
      <w:pPr>
        <w:pStyle w:val="2"/>
        <w:jc w:val="center"/>
      </w:pPr>
      <w:r>
        <w:rPr>
          <w:sz w:val="20"/>
        </w:rPr>
        <w:t xml:space="preserve">субсидии и ответственность за их нарушение</w:t>
      </w:r>
    </w:p>
    <w:p>
      <w:pPr>
        <w:pStyle w:val="0"/>
        <w:jc w:val="both"/>
      </w:pPr>
      <w:r>
        <w:rPr>
          <w:sz w:val="20"/>
        </w:rPr>
      </w:r>
    </w:p>
    <w:bookmarkStart w:id="15110" w:name="P15110"/>
    <w:bookmarkEnd w:id="15110"/>
    <w:p>
      <w:pPr>
        <w:pStyle w:val="0"/>
        <w:ind w:firstLine="540"/>
        <w:jc w:val="both"/>
      </w:pPr>
      <w:r>
        <w:rPr>
          <w:sz w:val="20"/>
        </w:rPr>
        <w:t xml:space="preserve">41. Министерство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65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5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10 календарных дней со дня получения от Министерства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43. В случае недостижения значений результата предоставления субсидии получатель субсидии обеспечивает возврат средств субсидии в бюджет Московской области в течение 10 рабочих дней со дня получения от Министерства соответствующего требования о возврате средств субсидии или в срок, указанный в акте органа государственного финансового контроля, в объеме, рассчитанном пропорционально недостигнутому результату предоставления субсидии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подлежащий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jc w:val="both"/>
      </w:pPr>
      <w:r>
        <w:rPr>
          <w:sz w:val="20"/>
        </w:rPr>
      </w:r>
    </w:p>
    <w:p>
      <w:pPr>
        <w:pStyle w:val="0"/>
        <w:ind w:firstLine="540"/>
        <w:jc w:val="both"/>
      </w:pPr>
      <w:r>
        <w:rPr>
          <w:sz w:val="20"/>
        </w:rPr>
        <w:t xml:space="preserve">Коэффициент возврата субсидии (k) определяется по формуле:</w:t>
      </w:r>
    </w:p>
    <w:p>
      <w:pPr>
        <w:pStyle w:val="0"/>
        <w:jc w:val="both"/>
      </w:pPr>
      <w:r>
        <w:rPr>
          <w:sz w:val="20"/>
        </w:rPr>
      </w:r>
    </w:p>
    <w:p>
      <w:pPr>
        <w:pStyle w:val="0"/>
        <w:ind w:firstLine="540"/>
        <w:jc w:val="both"/>
      </w:pPr>
      <w:r>
        <w:rPr>
          <w:sz w:val="20"/>
        </w:rPr>
        <w:t xml:space="preserve">k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44. В случае неисполнения получателем субсидии требования о возврате средств субсидии Министерство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45.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от заключения соглашения, неподписания победителем отбора Соглашения в срок, определенный объявлением о проведении отбора получателей субсидии в соответствии с </w:t>
      </w:r>
      <w:hyperlink w:history="0" w:anchor="P15081" w:tooltip="32. Министерство не позднее 2-х рабочих дней, следующих за днем принятия решения о предоставлении субсидии, формирует Соглашение в форме электронного документа в системе ГИС &quot;РЭБ&quot;.">
        <w:r>
          <w:rPr>
            <w:sz w:val="20"/>
            <w:color w:val="0000ff"/>
          </w:rPr>
          <w:t xml:space="preserve">пунктом 32</w:t>
        </w:r>
      </w:hyperlink>
      <w:r>
        <w:rPr>
          <w:sz w:val="20"/>
        </w:rPr>
        <w:t xml:space="preserve"> Порядка,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Министерство принимает решение о предоставлении субсидии без повторного проведения отбора с учетом присвоенного ранее заявке участника отбора номера в рейтинге.</w:t>
      </w:r>
    </w:p>
    <w:p>
      <w:pPr>
        <w:pStyle w:val="0"/>
        <w:jc w:val="both"/>
      </w:pPr>
      <w:r>
        <w:rPr>
          <w:sz w:val="20"/>
        </w:rPr>
      </w:r>
    </w:p>
    <w:p>
      <w:pPr>
        <w:pStyle w:val="2"/>
        <w:outlineLvl w:val="3"/>
        <w:jc w:val="center"/>
      </w:pPr>
      <w:r>
        <w:rPr>
          <w:sz w:val="20"/>
        </w:rPr>
        <w:t xml:space="preserve">7.2.4.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и физическим лицам на возмещение части затрат субъектов</w:t>
      </w:r>
    </w:p>
    <w:p>
      <w:pPr>
        <w:pStyle w:val="2"/>
        <w:jc w:val="center"/>
      </w:pPr>
      <w:r>
        <w:rPr>
          <w:sz w:val="20"/>
        </w:rPr>
        <w:t xml:space="preserve">малого и среднего предпринимательства и физических лиц,</w:t>
      </w:r>
    </w:p>
    <w:p>
      <w:pPr>
        <w:pStyle w:val="2"/>
        <w:jc w:val="center"/>
      </w:pPr>
      <w:r>
        <w:rPr>
          <w:sz w:val="20"/>
        </w:rPr>
        <w:t xml:space="preserve">не являющихся индивидуальными предпринимателями</w:t>
      </w:r>
    </w:p>
    <w:p>
      <w:pPr>
        <w:pStyle w:val="2"/>
        <w:jc w:val="center"/>
      </w:pPr>
      <w:r>
        <w:rPr>
          <w:sz w:val="20"/>
        </w:rPr>
        <w:t xml:space="preserve">и применяющих специальный налоговый режим "Налог</w:t>
      </w:r>
    </w:p>
    <w:p>
      <w:pPr>
        <w:pStyle w:val="2"/>
        <w:jc w:val="center"/>
      </w:pPr>
      <w:r>
        <w:rPr>
          <w:sz w:val="20"/>
        </w:rPr>
        <w:t xml:space="preserve">на профессиональный доход", связанных с оплатой услуг</w:t>
      </w:r>
    </w:p>
    <w:p>
      <w:pPr>
        <w:pStyle w:val="2"/>
        <w:jc w:val="center"/>
      </w:pPr>
      <w:r>
        <w:rPr>
          <w:sz w:val="20"/>
        </w:rPr>
        <w:t xml:space="preserve">торговых площадок по продажам товаров, работ и услуг</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в рамках реализации мероприятия 01.04 "Возмещение части</w:t>
      </w:r>
    </w:p>
    <w:p>
      <w:pPr>
        <w:pStyle w:val="2"/>
        <w:jc w:val="center"/>
      </w:pPr>
      <w:r>
        <w:rPr>
          <w:sz w:val="20"/>
        </w:rPr>
        <w:t xml:space="preserve">затрат субъектов малого и среднего предпринимательства</w:t>
      </w:r>
    </w:p>
    <w:p>
      <w:pPr>
        <w:pStyle w:val="2"/>
        <w:jc w:val="center"/>
      </w:pPr>
      <w:r>
        <w:rPr>
          <w:sz w:val="20"/>
        </w:rPr>
        <w:t xml:space="preserve">и физических лиц, не являющихся индивидуальными</w:t>
      </w:r>
    </w:p>
    <w:p>
      <w:pPr>
        <w:pStyle w:val="2"/>
        <w:jc w:val="center"/>
      </w:pPr>
      <w:r>
        <w:rPr>
          <w:sz w:val="20"/>
        </w:rPr>
        <w:t xml:space="preserve">предпринимателями и применяющих специальный налоговый режим</w:t>
      </w:r>
    </w:p>
    <w:p>
      <w:pPr>
        <w:pStyle w:val="2"/>
        <w:jc w:val="center"/>
      </w:pPr>
      <w:r>
        <w:rPr>
          <w:sz w:val="20"/>
        </w:rPr>
        <w:t xml:space="preserve">"Налог на профессиональный доход", связанных с оплатой услуг</w:t>
      </w:r>
    </w:p>
    <w:p>
      <w:pPr>
        <w:pStyle w:val="2"/>
        <w:jc w:val="center"/>
      </w:pPr>
      <w:r>
        <w:rPr>
          <w:sz w:val="20"/>
        </w:rPr>
        <w:t xml:space="preserve">торговых площадок по продажам товаров, работ и услуг</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Подпрограммы 3 государственной программы</w:t>
      </w:r>
    </w:p>
    <w:p>
      <w:pPr>
        <w:pStyle w:val="0"/>
        <w:jc w:val="center"/>
      </w:pPr>
      <w:r>
        <w:rPr>
          <w:sz w:val="20"/>
        </w:rPr>
      </w:r>
    </w:p>
    <w:p>
      <w:pPr>
        <w:pStyle w:val="0"/>
        <w:jc w:val="center"/>
      </w:pPr>
      <w:r>
        <w:rPr>
          <w:sz w:val="20"/>
        </w:rPr>
        <w:t xml:space="preserve">(в ред. </w:t>
      </w:r>
      <w:hyperlink w:history="0" r:id="rId66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индивидуальным предпринимателям и физическим лицам на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 (далее соответственно - Порядок, субсидия) в рамках реализации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мероприятия 01.04</w:t>
        </w:r>
      </w:hyperlink>
      <w:r>
        <w:rPr>
          <w:sz w:val="20"/>
        </w:rPr>
        <w:t xml:space="preserve">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 Подпрограммы 3 государственной программы разработан в соответствии со </w:t>
      </w:r>
      <w:hyperlink w:history="0" r:id="rId66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66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Мининвеста Московской области как получателя средств бюджета Московской области на цель, указанную в </w:t>
      </w:r>
      <w:hyperlink w:history="0" w:anchor="P15168" w:tooltip="5. Целью предоставления субсидии является возмещение части затрат, связанных с:">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15168" w:name="P15168"/>
    <w:bookmarkEnd w:id="15168"/>
    <w:p>
      <w:pPr>
        <w:pStyle w:val="0"/>
        <w:spacing w:before="200" w:line-rule="auto"/>
        <w:ind w:firstLine="540"/>
        <w:jc w:val="both"/>
      </w:pPr>
      <w:r>
        <w:rPr>
          <w:sz w:val="20"/>
        </w:rPr>
        <w:t xml:space="preserve">5. Целью предоставления субсидии является возмещение части затрат, связанных с:</w:t>
      </w:r>
    </w:p>
    <w:p>
      <w:pPr>
        <w:pStyle w:val="0"/>
        <w:spacing w:before="200" w:line-rule="auto"/>
        <w:ind w:firstLine="540"/>
        <w:jc w:val="both"/>
      </w:pPr>
      <w:r>
        <w:rPr>
          <w:sz w:val="20"/>
        </w:rPr>
        <w:t xml:space="preserve">предоставлением вознаграждения и (или) комиссии и (или) оплатой комиссионных услуг торговым онлайн-площадкам за услуги, связанные с реализацией товаров и (или) предоставлением продуктов питания и напитков, в том числе размещением предложений лиц об их реализации;</w:t>
      </w:r>
    </w:p>
    <w:p>
      <w:pPr>
        <w:pStyle w:val="0"/>
        <w:spacing w:before="200" w:line-rule="auto"/>
        <w:ind w:firstLine="540"/>
        <w:jc w:val="both"/>
      </w:pPr>
      <w:r>
        <w:rPr>
          <w:sz w:val="20"/>
        </w:rPr>
        <w:t xml:space="preserve">размещением и (или) продвижением (рекламой) товаров и (или) услуг по предоставлению продуктов питания и напитков на торговых онлайн-площадках;</w:t>
      </w:r>
    </w:p>
    <w:p>
      <w:pPr>
        <w:pStyle w:val="0"/>
        <w:spacing w:before="200" w:line-rule="auto"/>
        <w:ind w:firstLine="540"/>
        <w:jc w:val="both"/>
      </w:pPr>
      <w:r>
        <w:rPr>
          <w:sz w:val="20"/>
        </w:rPr>
        <w:t xml:space="preserve">оплатой услуг торговых онлайн-площадок за доставку товаров и (или) продуктов питания и напитков.</w:t>
      </w:r>
    </w:p>
    <w:p>
      <w:pPr>
        <w:pStyle w:val="0"/>
        <w:spacing w:before="200" w:line-rule="auto"/>
        <w:ind w:firstLine="540"/>
        <w:jc w:val="both"/>
      </w:pPr>
      <w:r>
        <w:rPr>
          <w:sz w:val="20"/>
        </w:rPr>
        <w:t xml:space="preserve">Мининвест Московской области ведет реестр торговых онлайн-площадок, затраты на услуги которых подлежат возмещению за счет средств субсидии, в соответствии с порядком, утверждаемым Мининвестом Московской области.</w:t>
      </w:r>
    </w:p>
    <w:bookmarkStart w:id="15173" w:name="P15173"/>
    <w:bookmarkEnd w:id="15173"/>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субсидии</w:t>
      </w:r>
    </w:p>
    <w:p>
      <w:pPr>
        <w:pStyle w:val="0"/>
        <w:jc w:val="both"/>
      </w:pPr>
      <w:r>
        <w:rPr>
          <w:sz w:val="20"/>
        </w:rPr>
      </w:r>
    </w:p>
    <w:p>
      <w:pPr>
        <w:pStyle w:val="0"/>
        <w:ind w:firstLine="540"/>
        <w:jc w:val="both"/>
      </w:pPr>
      <w:r>
        <w:rPr>
          <w:sz w:val="20"/>
        </w:rPr>
        <w:t xml:space="preserve">7. Отбор получателей субсидий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получателей субсидий - запрос предложений (далее - отбор), проводимый Мининвестом Московской области с участием АНО "АИР".</w:t>
      </w:r>
    </w:p>
    <w:p>
      <w:pPr>
        <w:pStyle w:val="0"/>
        <w:spacing w:before="200" w:line-rule="auto"/>
        <w:ind w:firstLine="540"/>
        <w:jc w:val="both"/>
      </w:pPr>
      <w:r>
        <w:rPr>
          <w:sz w:val="20"/>
        </w:rPr>
        <w:t xml:space="preserve">Получатели субсидии определяются по результатам отбора исходя из соответствия участника отбора категории и критериям отбора и очередности поступления заявок на участие в отборе получателей субсидий (далее - заявки).</w:t>
      </w:r>
    </w:p>
    <w:bookmarkStart w:id="15181" w:name="P15181"/>
    <w:bookmarkEnd w:id="15181"/>
    <w:p>
      <w:pPr>
        <w:pStyle w:val="0"/>
        <w:spacing w:before="200" w:line-rule="auto"/>
        <w:ind w:firstLine="540"/>
        <w:jc w:val="both"/>
      </w:pPr>
      <w:r>
        <w:rPr>
          <w:sz w:val="20"/>
        </w:rPr>
        <w:t xml:space="preserve">9. Категории отбора: юридические лица, индивидуальные предприниматели, являющиеся субъектами МСП в соответствии с Федеральным </w:t>
      </w:r>
      <w:hyperlink w:history="0" r:id="rId66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и состоящие в реестре субъектов МСП, за исключением категории субъектов МСП, указанной в </w:t>
      </w:r>
      <w:hyperlink w:history="0" r:id="rId66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пункте 4 части 5 статьи 14</w:t>
        </w:r>
      </w:hyperlink>
      <w:r>
        <w:rPr>
          <w:sz w:val="20"/>
        </w:rPr>
        <w:t xml:space="preserve"> Федерального закона N 209-ФЗ, и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граждане), зарегистрированные и осуществляющие деятельность на территории Московской области.</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участник отбора осуществляет на территории Московской области один или несколько видов деятельности в соответствии с разделами "A", "C", классом 56 </w:t>
      </w:r>
      <w:hyperlink w:history="0" r:id="rId66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или участник отбора реализует товары собственного бренда (под своим товарным знаком);</w:t>
      </w:r>
    </w:p>
    <w:p>
      <w:pPr>
        <w:pStyle w:val="0"/>
        <w:spacing w:before="200" w:line-rule="auto"/>
        <w:ind w:firstLine="540"/>
        <w:jc w:val="both"/>
      </w:pPr>
      <w:r>
        <w:rPr>
          <w:sz w:val="20"/>
        </w:rPr>
        <w:t xml:space="preserve">участник отбора достиг значений результатов предоставления субсидии по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мероприятию 01.04</w:t>
        </w:r>
      </w:hyperlink>
      <w:r>
        <w:rPr>
          <w:sz w:val="20"/>
        </w:rPr>
        <w:t xml:space="preserve">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оплатой услуг торговых площадок по продажам товаров, работ и услуг в информационно-телекоммуникационной сети "Интернет" Подпрограммы 3 государственной программы (в случае, если участник отбора являлся получателем субсидии в году, предшествующем году проведения отбора) (далее - мероприятие 01.04);</w:t>
      </w:r>
    </w:p>
    <w:p>
      <w:pPr>
        <w:pStyle w:val="0"/>
        <w:spacing w:before="200" w:line-rule="auto"/>
        <w:ind w:firstLine="540"/>
        <w:jc w:val="both"/>
      </w:pPr>
      <w:r>
        <w:rPr>
          <w:sz w:val="20"/>
        </w:rPr>
        <w:t xml:space="preserve">участник отбора является действующим поставщиком торговой онлайн-площадки.</w:t>
      </w:r>
    </w:p>
    <w:p>
      <w:pPr>
        <w:pStyle w:val="0"/>
        <w:spacing w:before="200" w:line-rule="auto"/>
        <w:ind w:firstLine="540"/>
        <w:jc w:val="both"/>
      </w:pPr>
      <w:r>
        <w:rPr>
          <w:sz w:val="20"/>
        </w:rPr>
        <w:t xml:space="preserve">10. В целях проведения отбора Мининвест Московской области издает приказ об объявлении приема заявок, в котором устанавливается:</w:t>
      </w:r>
    </w:p>
    <w:p>
      <w:pPr>
        <w:pStyle w:val="0"/>
        <w:spacing w:before="200" w:line-rule="auto"/>
        <w:ind w:firstLine="540"/>
        <w:jc w:val="both"/>
      </w:pPr>
      <w:r>
        <w:rPr>
          <w:sz w:val="20"/>
        </w:rPr>
        <w:t xml:space="preserve">дата и время начала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отбора;</w:t>
      </w:r>
    </w:p>
    <w:p>
      <w:pPr>
        <w:pStyle w:val="0"/>
        <w:spacing w:before="200" w:line-rule="auto"/>
        <w:ind w:firstLine="540"/>
        <w:jc w:val="both"/>
      </w:pPr>
      <w:r>
        <w:rPr>
          <w:sz w:val="20"/>
        </w:rPr>
        <w:t xml:space="preserve">период возмещения затрат.</w:t>
      </w:r>
    </w:p>
    <w:p>
      <w:pPr>
        <w:pStyle w:val="0"/>
        <w:spacing w:before="200" w:line-rule="auto"/>
        <w:ind w:firstLine="540"/>
        <w:jc w:val="both"/>
      </w:pPr>
      <w:r>
        <w:rPr>
          <w:sz w:val="20"/>
        </w:rPr>
        <w:t xml:space="preserve">11. В целях проведения отбора Мининвестом Московской области размещается объявление о проведении отбора в электронной форме в Информационной системе, подписанное усиленной квалифицированной электронной подписью руководителя Мининвеста Московской области (или уполномоченного им лица). Объявление размещается в Информационной системе не ранее размещения информации о субсидии в соответствии с </w:t>
      </w:r>
      <w:hyperlink w:history="0" w:anchor="P15173"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1 рабочего дня до наступления даты начала приема заявок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дата начала подачи и окончания приема заявок, при этом дата окончания приема заявок не может быть ранее 10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 и АНО "АИР";</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категории получателей субсидий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которые в том числе включают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представления участникам отбора разъяснений положений объявления о проведении отбора, даты начала и окончания срока такого представления;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заключаемое с Мининвестом Московской области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в Информационной системе и на официальном сайте Мининвеста Московской области (</w:t>
      </w:r>
      <w:hyperlink w:history="0" r:id="rId666">
        <w:r>
          <w:rPr>
            <w:sz w:val="20"/>
            <w:color w:val="0000ff"/>
          </w:rPr>
          <w:t xml:space="preserve">https://mii.mosreg.ru</w:t>
        </w:r>
      </w:hyperlink>
      <w:r>
        <w:rPr>
          <w:sz w:val="20"/>
        </w:rPr>
        <w:t xml:space="preserve">), которые не могут быть позднее 14 календарного дня, следующего за днем определения победителя отбора.</w:t>
      </w:r>
    </w:p>
    <w:p>
      <w:pPr>
        <w:pStyle w:val="0"/>
        <w:spacing w:before="200" w:line-rule="auto"/>
        <w:ind w:firstLine="540"/>
        <w:jc w:val="both"/>
      </w:pPr>
      <w:r>
        <w:rPr>
          <w:sz w:val="20"/>
        </w:rPr>
        <w:t xml:space="preserve">Информация о странице сайта, на котором размещается объявление о проведении отбора, о его отмене, информация о ходе и результатах отбора, публикуется на едином портале.</w:t>
      </w:r>
    </w:p>
    <w:bookmarkStart w:id="15210" w:name="P15210"/>
    <w:bookmarkEnd w:id="15210"/>
    <w:p>
      <w:pPr>
        <w:pStyle w:val="0"/>
        <w:spacing w:before="200" w:line-rule="auto"/>
        <w:ind w:firstLine="540"/>
        <w:jc w:val="both"/>
      </w:pPr>
      <w:r>
        <w:rPr>
          <w:sz w:val="20"/>
        </w:rPr>
        <w:t xml:space="preserve">12. Требования к участникам отбора, которым они должны соответствовать на даты подачи заявки и заключения Соглашения:</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66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668"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отбора на едином налоговом счете отсутствует или не превышает размер, определенный </w:t>
      </w:r>
      <w:hyperlink w:history="0" r:id="rId669"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10) участник отбора в полном объеме произвел затраты, на возмещение которых предоставляется субсидия;</w:t>
      </w:r>
    </w:p>
    <w:p>
      <w:pPr>
        <w:pStyle w:val="0"/>
        <w:spacing w:before="200" w:line-rule="auto"/>
        <w:ind w:firstLine="540"/>
        <w:jc w:val="both"/>
      </w:pPr>
      <w:r>
        <w:rPr>
          <w:sz w:val="20"/>
        </w:rPr>
        <w:t xml:space="preserve">11) участник отбора представил документы согласно </w:t>
      </w:r>
      <w:hyperlink w:history="0" w:anchor="P15428" w:tooltip="ПЕРЕЧЕНЬ ДОКУМЕНТОВ, ПРЕДСТАВЛЯЕМЫХ УЧАСТНИКАМИ ОТБОРА">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12) участник отбора соответствует категории и критериям отбора.</w:t>
      </w:r>
    </w:p>
    <w:p>
      <w:pPr>
        <w:pStyle w:val="0"/>
        <w:spacing w:before="200" w:line-rule="auto"/>
        <w:ind w:firstLine="540"/>
        <w:jc w:val="both"/>
      </w:pPr>
      <w:r>
        <w:rPr>
          <w:sz w:val="20"/>
        </w:rPr>
        <w:t xml:space="preserve">13. Представление в Мининвест Московской области заявки и документов, подтверждающих соответствие участников отбора требованиям, установленным Порядком осуществляется путем заполнения соответствующих экранных форм веб-интерфейса и представления в Информационную систему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bookmarkStart w:id="15224" w:name="P15224"/>
    <w:bookmarkEnd w:id="15224"/>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и формируется участниками отбора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 согласно </w:t>
      </w:r>
      <w:hyperlink w:history="0" w:anchor="P15428" w:tooltip="ПЕРЕЧЕНЬ ДОКУМЕНТОВ, ПРЕДСТАВЛЯЕМЫХ УЧАСТНИКАМИ ОТБОРА">
        <w:r>
          <w:rPr>
            <w:sz w:val="20"/>
            <w:color w:val="0000ff"/>
          </w:rPr>
          <w:t xml:space="preserve">таблице 1</w:t>
        </w:r>
      </w:hyperlink>
      <w:r>
        <w:rPr>
          <w:sz w:val="20"/>
        </w:rPr>
        <w:t xml:space="preserve"> к Порядку (далее - документы);</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информацию о торговой онлайн-площадке, на которой произведены затраты;</w:t>
      </w:r>
    </w:p>
    <w:p>
      <w:pPr>
        <w:pStyle w:val="0"/>
        <w:spacing w:before="200" w:line-rule="auto"/>
        <w:ind w:firstLine="540"/>
        <w:jc w:val="both"/>
      </w:pPr>
      <w:r>
        <w:rPr>
          <w:sz w:val="20"/>
        </w:rPr>
        <w:t xml:space="preserve">3) для представления заявки участник отбора авторизуется в Информационной системе, заполняет интерактивные поля заявки, ставит отметку о согласии участника отбора:</w:t>
      </w:r>
    </w:p>
    <w:p>
      <w:pPr>
        <w:pStyle w:val="0"/>
        <w:spacing w:before="200" w:line-rule="auto"/>
        <w:ind w:firstLine="540"/>
        <w:jc w:val="both"/>
      </w:pPr>
      <w:r>
        <w:rPr>
          <w:sz w:val="20"/>
        </w:rPr>
        <w:t xml:space="preserve">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отбора;</w:t>
      </w:r>
    </w:p>
    <w:p>
      <w:pPr>
        <w:pStyle w:val="0"/>
        <w:spacing w:before="200" w:line-rule="auto"/>
        <w:ind w:firstLine="540"/>
        <w:jc w:val="both"/>
      </w:pPr>
      <w:r>
        <w:rPr>
          <w:sz w:val="20"/>
        </w:rPr>
        <w:t xml:space="preserve">на осуществление в отношении него проверок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w:history="0" r:id="rId6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заявка подписывается: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 юридического лица (уполномоченного им лица) или индивидуального предпринимателя;</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00" w:line-rule="auto"/>
        <w:ind w:firstLine="540"/>
        <w:jc w:val="both"/>
      </w:pPr>
      <w:r>
        <w:rPr>
          <w:sz w:val="20"/>
        </w:rPr>
        <w:t xml:space="preserve">5) в случае если от имени участника отбора действует иное лицо, заявка должна содержать доверенность представителя на осуществление действий от имени участника отбора,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6) доверенность представителя участника отбора - юридического лица должна быть подписана руководителем участника отбора или иным уполномоченным лицом и заверена печатью участника отбора (при наличии);</w:t>
      </w:r>
    </w:p>
    <w:p>
      <w:pPr>
        <w:pStyle w:val="0"/>
        <w:spacing w:before="200" w:line-rule="auto"/>
        <w:ind w:firstLine="540"/>
        <w:jc w:val="both"/>
      </w:pPr>
      <w:r>
        <w:rPr>
          <w:sz w:val="20"/>
        </w:rPr>
        <w:t xml:space="preserve">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p>
      <w:pPr>
        <w:pStyle w:val="0"/>
        <w:spacing w:before="200" w:line-rule="auto"/>
        <w:ind w:firstLine="540"/>
        <w:jc w:val="both"/>
      </w:pPr>
      <w:r>
        <w:rPr>
          <w:sz w:val="20"/>
        </w:rPr>
        <w:t xml:space="preserve">8) требования к документам, представляемым в составе заявки в соответствии с </w:t>
      </w:r>
      <w:hyperlink w:history="0" w:anchor="P15428" w:tooltip="ПЕРЕЧЕНЬ ДОКУМЕНТОВ, ПРЕДСТАВЛЯЕМЫХ УЧАСТНИКАМИ ОТБОРА">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участника отбора и печатью (при наличии печати);</w:t>
      </w:r>
    </w:p>
    <w:p>
      <w:pPr>
        <w:pStyle w:val="0"/>
        <w:spacing w:before="200" w:line-rule="auto"/>
        <w:ind w:firstLine="540"/>
        <w:jc w:val="both"/>
      </w:pPr>
      <w:r>
        <w:rPr>
          <w:sz w:val="20"/>
        </w:rPr>
        <w:t xml:space="preserve">электронные образы документов подписываются ЭП;</w:t>
      </w:r>
    </w:p>
    <w:p>
      <w:pPr>
        <w:pStyle w:val="0"/>
        <w:spacing w:before="200" w:line-rule="auto"/>
        <w:ind w:firstLine="540"/>
        <w:jc w:val="both"/>
      </w:pPr>
      <w:r>
        <w:rPr>
          <w:sz w:val="20"/>
        </w:rPr>
        <w:t xml:space="preserve">9)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10) допускается формирование электронного документа путем сканирования непосредственно с оригинала документа, которое осуществляется с сохранением ориентации оригинала документа в разрешении 300-500 dpi (масштаб 1:1)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11) ответственность за полноту и достоверность информации, представленной в заявке и прилагаемых к ней документах,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12)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отбора участником отбора может быть подана одна заявка.</w:t>
      </w:r>
    </w:p>
    <w:p>
      <w:pPr>
        <w:pStyle w:val="0"/>
        <w:spacing w:before="200" w:line-rule="auto"/>
        <w:ind w:firstLine="540"/>
        <w:jc w:val="both"/>
      </w:pPr>
      <w:r>
        <w:rPr>
          <w:sz w:val="20"/>
        </w:rPr>
        <w:t xml:space="preserve">15. Участник отбора вправе отозвать представленную заявку путем формирования участником отбора уведомления об отзыве заявки в электронной форме в Информационной системе и направления такого уведомления в Мининвест Московской области.</w:t>
      </w:r>
    </w:p>
    <w:p>
      <w:pPr>
        <w:pStyle w:val="0"/>
        <w:spacing w:before="200" w:line-rule="auto"/>
        <w:ind w:firstLine="540"/>
        <w:jc w:val="both"/>
      </w:pPr>
      <w:r>
        <w:rPr>
          <w:sz w:val="20"/>
        </w:rPr>
        <w:t xml:space="preserve">Участник отбора вправе в случае отзыва заявки повторно представить заявку в сроки, установленные объявлением о проведении отбора.</w:t>
      </w:r>
    </w:p>
    <w:p>
      <w:pPr>
        <w:pStyle w:val="0"/>
        <w:spacing w:before="200" w:line-rule="auto"/>
        <w:ind w:firstLine="540"/>
        <w:jc w:val="both"/>
      </w:pPr>
      <w:r>
        <w:rPr>
          <w:sz w:val="20"/>
        </w:rPr>
        <w:t xml:space="preserve">16. В рамках проведения отбора АНО АИР осуществляет следующие полномочия, за исключением полномочий по размещению объявления о проведении отбора и утверждению протокола подведения итогов отбора:</w:t>
      </w:r>
    </w:p>
    <w:p>
      <w:pPr>
        <w:pStyle w:val="0"/>
        <w:spacing w:before="200" w:line-rule="auto"/>
        <w:ind w:firstLine="540"/>
        <w:jc w:val="both"/>
      </w:pPr>
      <w:r>
        <w:rPr>
          <w:sz w:val="20"/>
        </w:rPr>
        <w:t xml:space="preserve">рассмотрение заявки на соответствие требованиям, установленным </w:t>
      </w:r>
      <w:hyperlink w:history="0" w:anchor="P15224" w:tooltip="14. Требования, предъявляемые к форме и содержанию заявок, представляемых участниками отбор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проверка соответствия участника отбора категории и критериям получателей субсидии, установленных </w:t>
      </w:r>
      <w:hyperlink w:history="0" w:anchor="P15181" w:tooltip="9. Категории отбора: юридические лица,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и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самозанятые граждане), зарегистрированные и осуществляющие деятельно...">
        <w:r>
          <w:rPr>
            <w:sz w:val="20"/>
            <w:color w:val="0000ff"/>
          </w:rPr>
          <w:t xml:space="preserve">пунктом 9</w:t>
        </w:r>
      </w:hyperlink>
      <w:r>
        <w:rPr>
          <w:sz w:val="20"/>
        </w:rPr>
        <w:t xml:space="preserve"> Порядка, и требованиям, установленным в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проверка достоверности сведений, содержащихся в заявке участника отбора, в соответствии с </w:t>
      </w:r>
      <w:hyperlink w:history="0" w:anchor="P15294" w:tooltip="21. АНО &quot;АИР&quot; со дня получения доступа к поданным заявкам в Информационной системе и не позднее 6 рабочих дней со дня окончания срока приема заявок рассматривает заявки на предмет соответствия участников отбора требованиям, установленным пунктом 12 Порядка, соблюдения требований к форме и содержанию заявки, установленных Порядком, и соответствия затрат, произведенных участником отбора, цели предоставления субсидии и направлениям затрат, установленным пунктом 33 Порядка.">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составление заключений в соответствии с </w:t>
      </w:r>
      <w:hyperlink w:history="0" w:anchor="P15303" w:tooltip="22. По результатам рассмотрения заявки, не позднее 8 рабочих дней со дня окончания срока приема заявок, АНО &quot;АИР&quot; составляет и направляет в Мининвест Московской области заключения по форме, установленной Мининвестом (далее - Заключение &quot;АНО &quot;АИР&quot;):">
        <w:r>
          <w:rPr>
            <w:sz w:val="20"/>
            <w:color w:val="0000ff"/>
          </w:rPr>
          <w:t xml:space="preserve">пунктами 22</w:t>
        </w:r>
      </w:hyperlink>
      <w:r>
        <w:rPr>
          <w:sz w:val="20"/>
        </w:rPr>
        <w:t xml:space="preserve"> Порядка;</w:t>
      </w:r>
    </w:p>
    <w:p>
      <w:pPr>
        <w:pStyle w:val="0"/>
        <w:spacing w:before="200" w:line-rule="auto"/>
        <w:ind w:firstLine="540"/>
        <w:jc w:val="both"/>
      </w:pPr>
      <w:r>
        <w:rPr>
          <w:sz w:val="20"/>
        </w:rPr>
        <w:t xml:space="preserve">разъяснение положений объявления о проведении отбора при поступлении соответствующих запросов от участников отбора в соответствии с </w:t>
      </w:r>
      <w:hyperlink w:history="0" w:anchor="P15352" w:tooltip="32. Размер субсидии составляет 50 процентов произведенных и подтвержденных затрат за весь период реализации мероприятия 01.04 и мероприятия 02.10 &quot;Частичная компенсация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quot;Налог на профессиональный доход&quot;, затрат, связанных с оплатой услуг торговых онлайн-площадок по продажам товаров, работ и услуг в информационно-телекоммуникационной сети &quot;Интернет&quot; ...">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запрос сведений в ФНС России в порядке межведомственного электронного информационного взаимодействия (далее - Межведомственный запрос)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запрос сведений у торговой онлайн-площадки в соответствии с соглашением о порядке взаимодействия.</w:t>
      </w:r>
    </w:p>
    <w:p>
      <w:pPr>
        <w:pStyle w:val="0"/>
        <w:spacing w:before="200" w:line-rule="auto"/>
        <w:ind w:firstLine="540"/>
        <w:jc w:val="both"/>
      </w:pPr>
      <w:r>
        <w:rPr>
          <w:sz w:val="20"/>
        </w:rPr>
        <w:t xml:space="preserve">17. Взаимодействие Мининвеста Московской области и АНО "АИР" с участниками отбора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18. При проведении отбора предусмотрен возврат заявок на доработку по решению Мининвеста Московской области или АНО "АИР". Решение о возврате принимается в равной мере ко всем участникам отбора, если при рассмотрении заявок выявлены основания для их возврата на доработку. Решения о возврате заявок на доработку доводятся до участников отбора в Информационной системе.</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некорректное заполнение обязательных полей заявления в Информационной системе (отсутствие заполнения, недостоверное, неполное или неправильное, не соответствующее требованиям, установленным Порядком);</w:t>
      </w:r>
    </w:p>
    <w:p>
      <w:pPr>
        <w:pStyle w:val="0"/>
        <w:spacing w:before="200" w:line-rule="auto"/>
        <w:ind w:firstLine="540"/>
        <w:jc w:val="both"/>
      </w:pPr>
      <w:r>
        <w:rPr>
          <w:sz w:val="20"/>
        </w:rPr>
        <w:t xml:space="preserve">2) представление электронных образов документов посредством Информационной системы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3) наличие нечитаемых исправлений в представленных документах.</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history="0" w:anchor="P15224" w:tooltip="14. Требования, предъявляемые к форме и содержанию заявок, представляемых участниками отбор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В случае принятия решения о возврате заявки на доработку АНО "АИР" направляет участнику отбора уведомление о доработке заявки (далее - Уведомление о доработке), в электронном виде через личный кабинет посредством использования Информационной системы. Уведомление о доработке может быть направлено участнику отбора в пределах установленного срока рассмотрения заявок.</w:t>
      </w:r>
    </w:p>
    <w:p>
      <w:pPr>
        <w:pStyle w:val="0"/>
        <w:spacing w:before="200" w:line-rule="auto"/>
        <w:ind w:firstLine="540"/>
        <w:jc w:val="both"/>
      </w:pPr>
      <w:r>
        <w:rPr>
          <w:sz w:val="20"/>
        </w:rPr>
        <w:t xml:space="preserve">Участник отбора представляет документы и заявку, в срок не более 4 рабочих дней со дня направления Уведомления о доработке.</w:t>
      </w:r>
    </w:p>
    <w:p>
      <w:pPr>
        <w:pStyle w:val="0"/>
        <w:spacing w:before="200" w:line-rule="auto"/>
        <w:ind w:firstLine="540"/>
        <w:jc w:val="both"/>
      </w:pPr>
      <w:r>
        <w:rPr>
          <w:sz w:val="20"/>
        </w:rPr>
        <w:t xml:space="preserve">В случае выявления технических ошибок в заявке участника отбора, устранение которых не влияет на размер субсидии и не дает преимущества перед другими участниками отбора, АНО "АИР" направляет участнику отбора уведомление о необходимости устранения технических ошибок, касающихся сведений и данных (далее - Уведомление о необходимости устранения технических ошибок), в электронном виде через личный кабинет посредством использования Информационной системы. Уведомление о необходимости устранения технических ошибок может быть направлено участнику отбора повторно неограниченное количество раз в пределах установленного срока рассмотрения.</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19. Доступ Мининвесту Московской области и АНО "АИР" к поданным участниками отбора заявкам в Информационной системе для их рассмотрения открывается в день регистрации заявок.</w:t>
      </w:r>
    </w:p>
    <w:p>
      <w:pPr>
        <w:pStyle w:val="0"/>
        <w:spacing w:before="200" w:line-rule="auto"/>
        <w:ind w:firstLine="540"/>
        <w:jc w:val="both"/>
      </w:pPr>
      <w:r>
        <w:rPr>
          <w:sz w:val="20"/>
        </w:rPr>
        <w:t xml:space="preserve">Протокол вскрытия заявок размещается в Информационной системе не позднее 1 рабочего дня, следующего за днем вскрытия заявок, установленного в объявлении о проведении отбора, подписанный усиленной квалифицированной электронной подписью руководителя Мининвеста Московской области (уполномоченного им лица) в Информационной системе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регистрационный номер заявки;</w:t>
      </w:r>
    </w:p>
    <w:p>
      <w:pPr>
        <w:pStyle w:val="0"/>
        <w:spacing w:before="200" w:line-rule="auto"/>
        <w:ind w:firstLine="540"/>
        <w:jc w:val="both"/>
      </w:pPr>
      <w:r>
        <w:rPr>
          <w:sz w:val="20"/>
        </w:rPr>
        <w:t xml:space="preserve">дату и время поступления заявки;</w:t>
      </w:r>
    </w:p>
    <w:p>
      <w:pPr>
        <w:pStyle w:val="0"/>
        <w:spacing w:before="200" w:line-rule="auto"/>
        <w:ind w:firstLine="540"/>
        <w:jc w:val="both"/>
      </w:pPr>
      <w:r>
        <w:rPr>
          <w:sz w:val="20"/>
        </w:rPr>
        <w:t xml:space="preserve">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адрес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запрашиваемый участником отбора размер субсидии.</w:t>
      </w:r>
    </w:p>
    <w:p>
      <w:pPr>
        <w:pStyle w:val="0"/>
        <w:spacing w:before="200" w:line-rule="auto"/>
        <w:ind w:firstLine="540"/>
        <w:jc w:val="both"/>
      </w:pPr>
      <w:r>
        <w:rPr>
          <w:sz w:val="20"/>
        </w:rPr>
        <w:t xml:space="preserve">АНО "АИР"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1) запрашивает у ФНС России в порядке межведомственного запроса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сведения из ЕГРЮЛ (ЕГРИП);</w:t>
      </w:r>
    </w:p>
    <w:p>
      <w:pPr>
        <w:pStyle w:val="0"/>
        <w:spacing w:before="200" w:line-rule="auto"/>
        <w:ind w:firstLine="540"/>
        <w:jc w:val="both"/>
      </w:pPr>
      <w:r>
        <w:rPr>
          <w:sz w:val="20"/>
        </w:rPr>
        <w:t xml:space="preserve">сведения из Единого реестра субъектов МСП;</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из налоговых деклараций, представленных индивидуальными предпринимателями, применяющими специальные налоговые режимы;</w:t>
      </w:r>
    </w:p>
    <w:p>
      <w:pPr>
        <w:pStyle w:val="0"/>
        <w:spacing w:before="200" w:line-rule="auto"/>
        <w:ind w:firstLine="540"/>
        <w:jc w:val="both"/>
      </w:pPr>
      <w:r>
        <w:rPr>
          <w:sz w:val="20"/>
        </w:rPr>
        <w:t xml:space="preserve">сведения о сумме фактически уплаченных налогов в бюджеты всех уровней за финансовый год, предшествующий году подачи заявки (при наличии технической возможности);</w:t>
      </w:r>
    </w:p>
    <w:p>
      <w:pPr>
        <w:pStyle w:val="0"/>
        <w:spacing w:before="200" w:line-rule="auto"/>
        <w:ind w:firstLine="540"/>
        <w:jc w:val="both"/>
      </w:pPr>
      <w:r>
        <w:rPr>
          <w:sz w:val="20"/>
        </w:rPr>
        <w:t xml:space="preserve">сведения о распределении единого налогового платежа;</w:t>
      </w:r>
    </w:p>
    <w:p>
      <w:pPr>
        <w:pStyle w:val="0"/>
        <w:spacing w:before="200" w:line-rule="auto"/>
        <w:ind w:firstLine="540"/>
        <w:jc w:val="both"/>
      </w:pPr>
      <w:r>
        <w:rPr>
          <w:sz w:val="20"/>
        </w:rPr>
        <w:t xml:space="preserve">2) запрашивает у торговой онлайн-площадки информацию и документы, подтверждающие фактически произведенные затраты, согласно </w:t>
      </w:r>
      <w:hyperlink w:history="0" w:anchor="P15472" w:tooltip="ИНФОРМАЦИЯ И ДОКУМЕНТЫ, ПОДТВЕРЖДАЮЩИЕ ФАКТИЧЕСКИ">
        <w:r>
          <w:rPr>
            <w:sz w:val="20"/>
            <w:color w:val="0000ff"/>
          </w:rPr>
          <w:t xml:space="preserve">таблице 2</w:t>
        </w:r>
      </w:hyperlink>
      <w:r>
        <w:rPr>
          <w:sz w:val="20"/>
        </w:rPr>
        <w:t xml:space="preserve"> к Порядку в соответствии с соглашением о порядке взаимодействия.</w:t>
      </w:r>
    </w:p>
    <w:p>
      <w:pPr>
        <w:pStyle w:val="0"/>
        <w:spacing w:before="200" w:line-rule="auto"/>
        <w:ind w:firstLine="540"/>
        <w:jc w:val="both"/>
      </w:pPr>
      <w:r>
        <w:rPr>
          <w:sz w:val="20"/>
        </w:rPr>
        <w:t xml:space="preserve">20. Мининвест Московской области и АНО "АИР"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и критериям, определенным в </w:t>
      </w:r>
      <w:hyperlink w:history="0" w:anchor="P15181" w:tooltip="9. Категории отбора: юридические лица,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и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самозанятые граждане), зарегистрированные и осуществляющие деятельно...">
        <w:r>
          <w:rPr>
            <w:sz w:val="20"/>
            <w:color w:val="0000ff"/>
          </w:rPr>
          <w:t xml:space="preserve">пункте 9</w:t>
        </w:r>
      </w:hyperlink>
      <w:r>
        <w:rPr>
          <w:sz w:val="20"/>
        </w:rPr>
        <w:t xml:space="preserve">,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bookmarkStart w:id="15294" w:name="P15294"/>
    <w:bookmarkEnd w:id="15294"/>
    <w:p>
      <w:pPr>
        <w:pStyle w:val="0"/>
        <w:spacing w:before="200" w:line-rule="auto"/>
        <w:ind w:firstLine="540"/>
        <w:jc w:val="both"/>
      </w:pPr>
      <w:r>
        <w:rPr>
          <w:sz w:val="20"/>
        </w:rPr>
        <w:t xml:space="preserve">21. АНО "АИР" со дня получения доступа к поданным заявкам в Информационной системе и не позднее 6 рабочих дней со дня окончания срока приема заявок рассматривает заявки на предмет соответствия участников отбора требованиям, установленным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соблюдения требований к форме и содержанию заявки, установленных Порядком, и соответствия затрат, произведенных участником отбора, цели предоставления субсидии и направлениям затрат, установленным </w:t>
      </w:r>
      <w:hyperlink w:history="0" w:anchor="P15353" w:tooltip="33. По результатам отбора с победителем отбора заключается Соглашение в соответствии с положениями пункта 29.1 Порядка разработки и реализации государственных программ.">
        <w:r>
          <w:rPr>
            <w:sz w:val="20"/>
            <w:color w:val="0000ff"/>
          </w:rPr>
          <w:t xml:space="preserve">пунктом 33</w:t>
        </w:r>
      </w:hyperlink>
      <w:r>
        <w:rPr>
          <w:sz w:val="20"/>
        </w:rPr>
        <w:t xml:space="preserve"> Порядка.</w:t>
      </w:r>
    </w:p>
    <w:p>
      <w:pPr>
        <w:pStyle w:val="0"/>
        <w:spacing w:before="200" w:line-rule="auto"/>
        <w:ind w:firstLine="540"/>
        <w:jc w:val="both"/>
      </w:pPr>
      <w:r>
        <w:rPr>
          <w:sz w:val="20"/>
        </w:rPr>
        <w:t xml:space="preserve">АНО "АИР" направляет участнику отбора в Информационной системе уведомление о планируемых значениях результата предоставления субсидии, которые будут включены в Соглашение в случае признания участника отбора победителем и принятия решения о предоставлении ему субсидии, по форме, утвержденной Мининвестом Московской области, которое также содержит:</w:t>
      </w:r>
    </w:p>
    <w:p>
      <w:pPr>
        <w:pStyle w:val="0"/>
        <w:spacing w:before="200" w:line-rule="auto"/>
        <w:ind w:firstLine="540"/>
        <w:jc w:val="both"/>
      </w:pPr>
      <w:r>
        <w:rPr>
          <w:sz w:val="20"/>
        </w:rPr>
        <w:t xml:space="preserve">значения налоговых отчислений за финансовый год, предшествующий году подачи заявки;</w:t>
      </w:r>
    </w:p>
    <w:p>
      <w:pPr>
        <w:pStyle w:val="0"/>
        <w:spacing w:before="200" w:line-rule="auto"/>
        <w:ind w:firstLine="540"/>
        <w:jc w:val="both"/>
      </w:pPr>
      <w:r>
        <w:rPr>
          <w:sz w:val="20"/>
        </w:rPr>
        <w:t xml:space="preserve">планируемые значения налоговых отчислений по итогам года получения субсидии.</w:t>
      </w:r>
    </w:p>
    <w:p>
      <w:pPr>
        <w:pStyle w:val="0"/>
        <w:spacing w:before="200" w:line-rule="auto"/>
        <w:ind w:firstLine="540"/>
        <w:jc w:val="both"/>
      </w:pPr>
      <w:r>
        <w:rPr>
          <w:sz w:val="20"/>
        </w:rPr>
        <w:t xml:space="preserve">АНО "АИР" проводит проверку достоверности сведений, содержащихся в заявке участника отбора,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отбора,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заявок и проверку сведений в заявках на достоверность.</w:t>
      </w:r>
    </w:p>
    <w:p>
      <w:pPr>
        <w:pStyle w:val="0"/>
        <w:spacing w:before="200" w:line-rule="auto"/>
        <w:ind w:firstLine="540"/>
        <w:jc w:val="both"/>
      </w:pPr>
      <w:r>
        <w:rPr>
          <w:sz w:val="20"/>
        </w:rPr>
        <w:t xml:space="preserve">АНО "АИР" вправе запросить у участника отбора разъяснения, касающиеся сведений и данных, указанных в заявке,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отбора.</w:t>
      </w:r>
    </w:p>
    <w:bookmarkStart w:id="15303" w:name="P15303"/>
    <w:bookmarkEnd w:id="15303"/>
    <w:p>
      <w:pPr>
        <w:pStyle w:val="0"/>
        <w:spacing w:before="200" w:line-rule="auto"/>
        <w:ind w:firstLine="540"/>
        <w:jc w:val="both"/>
      </w:pPr>
      <w:r>
        <w:rPr>
          <w:sz w:val="20"/>
        </w:rPr>
        <w:t xml:space="preserve">22. По результатам рассмотрения заявки, не позднее 8 рабочих дней со дня окончания срока приема заявок, АНО "АИР" составляет и направляет в Мининвест Московской области заключения по форме, установленной Мининвестом (далее - Заключение "АНО "АИР"):</w:t>
      </w:r>
    </w:p>
    <w:p>
      <w:pPr>
        <w:pStyle w:val="0"/>
        <w:spacing w:before="200" w:line-rule="auto"/>
        <w:ind w:firstLine="540"/>
        <w:jc w:val="both"/>
      </w:pPr>
      <w:r>
        <w:rPr>
          <w:sz w:val="20"/>
        </w:rPr>
        <w:t xml:space="preserve">о признании участника отбора допущенным к отбору;</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23. Основаниями для составления заключения об отклонении заявки по результатам рассмотрения заявок АНО "АИР"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несоответствие затрат, произведенных участником отбора,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подача участником отбора заявки после даты и времени, определенных для приема заявок.</w:t>
      </w:r>
    </w:p>
    <w:p>
      <w:pPr>
        <w:pStyle w:val="0"/>
        <w:spacing w:before="200" w:line-rule="auto"/>
        <w:ind w:firstLine="540"/>
        <w:jc w:val="both"/>
      </w:pPr>
      <w:r>
        <w:rPr>
          <w:sz w:val="20"/>
        </w:rPr>
        <w:t xml:space="preserve">24. Участник отбора признается допущенным к отбору в случае, если в отношении него составлено Заключение АНО "АИР" о признании участника отбора допущенным к отбору.</w:t>
      </w:r>
    </w:p>
    <w:p>
      <w:pPr>
        <w:pStyle w:val="0"/>
        <w:spacing w:before="200" w:line-rule="auto"/>
        <w:ind w:firstLine="540"/>
        <w:jc w:val="both"/>
      </w:pPr>
      <w:r>
        <w:rPr>
          <w:sz w:val="20"/>
        </w:rPr>
        <w:t xml:space="preserve">25. По результатам проверки заявки участника отбора, на основании Заключений АНО "АИР" Мининвест Московской области в течение 5 рабочих дней формирует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не позднее 14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наименования участников отбора, признанных победителями отбора, с которыми заключается Соглашение (далее - получатели субсидии), и размер предоставляемых им субсидий.</w:t>
      </w:r>
    </w:p>
    <w:bookmarkStart w:id="15320" w:name="P15320"/>
    <w:bookmarkEnd w:id="15320"/>
    <w:p>
      <w:pPr>
        <w:pStyle w:val="0"/>
        <w:spacing w:before="200" w:line-rule="auto"/>
        <w:ind w:firstLine="540"/>
        <w:jc w:val="both"/>
      </w:pPr>
      <w:r>
        <w:rPr>
          <w:sz w:val="20"/>
        </w:rPr>
        <w:t xml:space="preserve">26. Мининвест Московской области в срок не более 1 рабочего дня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w:t>
      </w:r>
    </w:p>
    <w:p>
      <w:pPr>
        <w:pStyle w:val="0"/>
        <w:spacing w:before="200" w:line-rule="auto"/>
        <w:ind w:firstLine="540"/>
        <w:jc w:val="both"/>
      </w:pPr>
      <w:r>
        <w:rPr>
          <w:sz w:val="20"/>
        </w:rPr>
        <w:t xml:space="preserve">АНО "АИР" в срок не позднее 1 рабочего дня со дня подписания протокола подведения итогов отбора на основании приказа Мининвеста Московской области направляет в личный кабинет участникам отбора в Информационной системе уведомления о предоставлении субсидии и об отказе в предоставлении субсидии с указанием оснований для отказа в предоставлении субсидии соответственно.</w:t>
      </w:r>
    </w:p>
    <w:p>
      <w:pPr>
        <w:pStyle w:val="0"/>
        <w:spacing w:before="200" w:line-rule="auto"/>
        <w:ind w:firstLine="540"/>
        <w:jc w:val="both"/>
      </w:pPr>
      <w:r>
        <w:rPr>
          <w:sz w:val="20"/>
        </w:rPr>
        <w:t xml:space="preserve">27. Отбор признается Мининвестом Московской области несостоявшимся в следующих случаях:</w:t>
      </w:r>
    </w:p>
    <w:bookmarkStart w:id="15323" w:name="P15323"/>
    <w:bookmarkEnd w:id="15323"/>
    <w:p>
      <w:pPr>
        <w:pStyle w:val="0"/>
        <w:spacing w:before="200" w:line-rule="auto"/>
        <w:ind w:firstLine="540"/>
        <w:jc w:val="both"/>
      </w:pPr>
      <w:r>
        <w:rPr>
          <w:sz w:val="20"/>
        </w:rPr>
        <w:t xml:space="preserve">1) если по окончании срока подачи заявок не подано ни одной заявки;</w:t>
      </w:r>
    </w:p>
    <w:bookmarkStart w:id="15324" w:name="P15324"/>
    <w:bookmarkEnd w:id="15324"/>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Мининвеста Московской области о признании отбора несостоявшимся, содержащее информацию о причинах признания отбора несостоявшимся, размещается в Информационной системе и на официальном сайте Мининвеста Московской области (</w:t>
      </w:r>
      <w:hyperlink w:history="0" r:id="rId672">
        <w:r>
          <w:rPr>
            <w:sz w:val="20"/>
            <w:color w:val="0000ff"/>
          </w:rPr>
          <w:t xml:space="preserve">https://mii.mosreg.ru</w:t>
        </w:r>
      </w:hyperlink>
      <w:r>
        <w:rPr>
          <w:sz w:val="20"/>
        </w:rPr>
        <w:t xml:space="preserve">),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w:t>
      </w:r>
      <w:hyperlink w:history="0" w:anchor="P15323" w:tooltip="1) если по окончании срока подачи заявок не подано ни одной заявки;">
        <w:r>
          <w:rPr>
            <w:sz w:val="20"/>
            <w:color w:val="0000ff"/>
          </w:rPr>
          <w:t xml:space="preserve">подпунктах 1</w:t>
        </w:r>
      </w:hyperlink>
      <w:r>
        <w:rPr>
          <w:sz w:val="20"/>
        </w:rPr>
        <w:t xml:space="preserve"> и </w:t>
      </w:r>
      <w:hyperlink w:history="0" w:anchor="P15324" w:tooltip="2) если по результатам рассмотрения заявок отклонены все заявки.">
        <w:r>
          <w:rPr>
            <w:sz w:val="20"/>
            <w:color w:val="0000ff"/>
          </w:rPr>
          <w:t xml:space="preserve">2</w:t>
        </w:r>
      </w:hyperlink>
      <w:r>
        <w:rPr>
          <w:sz w:val="20"/>
        </w:rPr>
        <w:t xml:space="preserve"> настоящего пункта, Мининвест Московской области в течение 20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28.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и на официальном сайте Мининвеста Московской области (</w:t>
      </w:r>
      <w:hyperlink w:history="0" r:id="rId673">
        <w:r>
          <w:rPr>
            <w:sz w:val="20"/>
            <w:color w:val="0000ff"/>
          </w:rPr>
          <w:t xml:space="preserve">https://mii.mosreg.ru</w:t>
        </w:r>
      </w:hyperlink>
      <w:r>
        <w:rPr>
          <w:sz w:val="20"/>
        </w:rPr>
        <w:t xml:space="preserve">)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Информационной системе.</w:t>
      </w:r>
    </w:p>
    <w:p>
      <w:pPr>
        <w:pStyle w:val="0"/>
        <w:spacing w:before="200" w:line-rule="auto"/>
        <w:ind w:firstLine="540"/>
        <w:jc w:val="both"/>
      </w:pPr>
      <w:r>
        <w:rPr>
          <w:sz w:val="20"/>
        </w:rPr>
        <w:t xml:space="preserve">Отбор считается отмененным со дня размещения объявления о его отмене в Информационной системе.</w:t>
      </w:r>
    </w:p>
    <w:bookmarkStart w:id="15333" w:name="P15333"/>
    <w:bookmarkEnd w:id="15333"/>
    <w:p>
      <w:pPr>
        <w:pStyle w:val="0"/>
        <w:spacing w:before="200" w:line-rule="auto"/>
        <w:ind w:firstLine="540"/>
        <w:jc w:val="both"/>
      </w:pPr>
      <w:r>
        <w:rPr>
          <w:sz w:val="20"/>
        </w:rPr>
        <w:t xml:space="preserve">29.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направить в АНО "АИР" запрос о разъяснении положений объявления о проведении отбора путем формирования соответствующего запроса.</w:t>
      </w:r>
    </w:p>
    <w:p>
      <w:pPr>
        <w:pStyle w:val="0"/>
        <w:spacing w:before="200" w:line-rule="auto"/>
        <w:ind w:firstLine="540"/>
        <w:jc w:val="both"/>
      </w:pPr>
      <w:r>
        <w:rPr>
          <w:sz w:val="20"/>
        </w:rPr>
        <w:t xml:space="preserve">АНО "АИР" в ответ на запрос, указанный в </w:t>
      </w:r>
      <w:hyperlink w:history="0" w:anchor="P15333" w:tooltip="29.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отбора путем формирования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направления ответа в личный кабинет участника отбора в Информационной системе.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отбора.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5339" w:name="P15339"/>
    <w:bookmarkEnd w:id="15339"/>
    <w:p>
      <w:pPr>
        <w:pStyle w:val="0"/>
        <w:ind w:firstLine="540"/>
        <w:jc w:val="both"/>
      </w:pPr>
      <w:r>
        <w:rPr>
          <w:sz w:val="20"/>
        </w:rPr>
        <w:t xml:space="preserve">30. Направления затрат, на возмещение которых предоставляется субсидия:</w:t>
      </w:r>
    </w:p>
    <w:p>
      <w:pPr>
        <w:pStyle w:val="0"/>
        <w:spacing w:before="200" w:line-rule="auto"/>
        <w:ind w:firstLine="540"/>
        <w:jc w:val="both"/>
      </w:pPr>
      <w:r>
        <w:rPr>
          <w:sz w:val="20"/>
        </w:rPr>
        <w:t xml:space="preserve">затраты на вознаграждение и (или) комиссию и (или) оплату комиссионных услуг торговым онлайн-площадкам за услуги, связанные с реализацией товаров и (или) предоставлением продуктов питания и напитков, в том числе размещением предложений лиц об их реализации;</w:t>
      </w:r>
    </w:p>
    <w:p>
      <w:pPr>
        <w:pStyle w:val="0"/>
        <w:spacing w:before="200" w:line-rule="auto"/>
        <w:ind w:firstLine="540"/>
        <w:jc w:val="both"/>
      </w:pPr>
      <w:r>
        <w:rPr>
          <w:sz w:val="20"/>
        </w:rPr>
        <w:t xml:space="preserve">затраты на размещение и (или) продвижение (рекламу) товаров и (или) услуг по предоставлению продуктов питания и напитков на торговых онлайн-площадках;</w:t>
      </w:r>
    </w:p>
    <w:p>
      <w:pPr>
        <w:pStyle w:val="0"/>
        <w:spacing w:before="200" w:line-rule="auto"/>
        <w:ind w:firstLine="540"/>
        <w:jc w:val="both"/>
      </w:pPr>
      <w:r>
        <w:rPr>
          <w:sz w:val="20"/>
        </w:rPr>
        <w:t xml:space="preserve">затраты на услуги торговых онлайн-площадок, соответствующих требованиям, предусмотренным </w:t>
      </w:r>
      <w:hyperlink w:history="0" w:anchor="P15355" w:tooltip="3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
        <w:r>
          <w:rPr>
            <w:sz w:val="20"/>
            <w:color w:val="0000ff"/>
          </w:rPr>
          <w:t xml:space="preserve">пунктом 34</w:t>
        </w:r>
      </w:hyperlink>
      <w:r>
        <w:rPr>
          <w:sz w:val="20"/>
        </w:rPr>
        <w:t xml:space="preserve"> Порядка, за доставку товаров и (или) продуктов питания и напитков.</w:t>
      </w:r>
    </w:p>
    <w:p>
      <w:pPr>
        <w:pStyle w:val="0"/>
        <w:spacing w:before="200" w:line-rule="auto"/>
        <w:ind w:firstLine="540"/>
        <w:jc w:val="both"/>
      </w:pPr>
      <w:r>
        <w:rPr>
          <w:sz w:val="20"/>
        </w:rPr>
        <w:t xml:space="preserve">Мининвест Московской области ведет реестр торговых онлайн-площадок, затраты на услуги которых подлежат возмещению за счет средств субсидии, в соответствии с порядком, утверждаемым Мининвестом Московской области.</w:t>
      </w:r>
    </w:p>
    <w:p>
      <w:pPr>
        <w:pStyle w:val="0"/>
        <w:spacing w:before="200" w:line-rule="auto"/>
        <w:ind w:firstLine="540"/>
        <w:jc w:val="both"/>
      </w:pPr>
      <w:r>
        <w:rPr>
          <w:sz w:val="20"/>
        </w:rPr>
        <w:t xml:space="preserve">Возмещению подлежат подтвержденные затраты, понесенные участником отбора не ранее дня, следующего за последним днем приема заявок на участие в отборе, проведенном в предшествующем календарном году по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мероприятию 01.04</w:t>
        </w:r>
      </w:hyperlink>
      <w:r>
        <w:rPr>
          <w:sz w:val="20"/>
        </w:rPr>
        <w:t xml:space="preserve"> по дату подачи заявки.</w:t>
      </w:r>
    </w:p>
    <w:p>
      <w:pPr>
        <w:pStyle w:val="0"/>
        <w:spacing w:before="200" w:line-rule="auto"/>
        <w:ind w:firstLine="540"/>
        <w:jc w:val="both"/>
      </w:pPr>
      <w:r>
        <w:rPr>
          <w:sz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pPr>
        <w:pStyle w:val="0"/>
        <w:spacing w:before="200" w:line-rule="auto"/>
        <w:ind w:firstLine="540"/>
        <w:jc w:val="both"/>
      </w:pPr>
      <w:r>
        <w:rPr>
          <w:sz w:val="20"/>
        </w:rPr>
        <w:t xml:space="preserve">31. Затраты, указанные в </w:t>
      </w:r>
      <w:hyperlink w:history="0" w:anchor="P15339" w:tooltip="30. Направления затрат, на возмещение которых предоставляется субсидия:">
        <w:r>
          <w:rPr>
            <w:sz w:val="20"/>
            <w:color w:val="0000ff"/>
          </w:rPr>
          <w:t xml:space="preserve">пункте 30</w:t>
        </w:r>
      </w:hyperlink>
      <w:r>
        <w:rPr>
          <w:sz w:val="20"/>
        </w:rPr>
        <w:t xml:space="preserve"> Порядка, возмещаются в случае соответствия торговой онлайн-площадки следующим критериям:</w:t>
      </w:r>
    </w:p>
    <w:p>
      <w:pPr>
        <w:pStyle w:val="0"/>
        <w:spacing w:before="200" w:line-rule="auto"/>
        <w:ind w:firstLine="540"/>
        <w:jc w:val="both"/>
      </w:pPr>
      <w:r>
        <w:rPr>
          <w:sz w:val="20"/>
        </w:rPr>
        <w:t xml:space="preserve">комиссия за реализацию товаров (не распространяется на сервисы доставки товаров) - не более 30%;</w:t>
      </w:r>
    </w:p>
    <w:p>
      <w:pPr>
        <w:pStyle w:val="0"/>
        <w:spacing w:before="200" w:line-rule="auto"/>
        <w:ind w:firstLine="540"/>
        <w:jc w:val="both"/>
      </w:pPr>
      <w:r>
        <w:rPr>
          <w:sz w:val="20"/>
        </w:rPr>
        <w:t xml:space="preserve">комиссия за услуги по предоставлению продуктов питания и напитков (для сервисов (товарных агрегаторов), позволяющих оформить заказ продуктов питания и напитков с доставкой) - не более 35%;</w:t>
      </w:r>
    </w:p>
    <w:p>
      <w:pPr>
        <w:pStyle w:val="0"/>
        <w:spacing w:before="200" w:line-rule="auto"/>
        <w:ind w:firstLine="540"/>
        <w:jc w:val="both"/>
      </w:pPr>
      <w:r>
        <w:rPr>
          <w:sz w:val="20"/>
        </w:rPr>
        <w:t xml:space="preserve">количество поставщиков - не менее 500;</w:t>
      </w:r>
    </w:p>
    <w:p>
      <w:pPr>
        <w:pStyle w:val="0"/>
        <w:spacing w:before="200" w:line-rule="auto"/>
        <w:ind w:firstLine="540"/>
        <w:jc w:val="both"/>
      </w:pPr>
      <w:r>
        <w:rPr>
          <w:sz w:val="20"/>
        </w:rPr>
        <w:t xml:space="preserve">наличие собственной или привлеченной службы доставки;</w:t>
      </w:r>
    </w:p>
    <w:p>
      <w:pPr>
        <w:pStyle w:val="0"/>
        <w:spacing w:before="200" w:line-rule="auto"/>
        <w:ind w:firstLine="540"/>
        <w:jc w:val="both"/>
      </w:pPr>
      <w:r>
        <w:rPr>
          <w:sz w:val="20"/>
        </w:rPr>
        <w:t xml:space="preserve">заключение с Мининвестом Московской области соглашения о порядке взаимодействия по подтверждению затрат лиц по форме, установленной Мининвестом Московской области.</w:t>
      </w:r>
    </w:p>
    <w:bookmarkStart w:id="15352" w:name="P15352"/>
    <w:bookmarkEnd w:id="15352"/>
    <w:p>
      <w:pPr>
        <w:pStyle w:val="0"/>
        <w:spacing w:before="200" w:line-rule="auto"/>
        <w:ind w:firstLine="540"/>
        <w:jc w:val="both"/>
      </w:pPr>
      <w:r>
        <w:rPr>
          <w:sz w:val="20"/>
        </w:rPr>
        <w:t xml:space="preserve">32. Размер субсидии составляет 50 процентов произведенных и подтвержденных затрат за весь период реализации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мероприятия 01.04</w:t>
        </w:r>
      </w:hyperlink>
      <w:r>
        <w:rPr>
          <w:sz w:val="20"/>
        </w:rPr>
        <w:t xml:space="preserve"> и мероприятия 02.10 "Частичная компенсация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затрат, связанных с оплатой услуг торговых онлайн-площадок по продажам товаров, работ и услуг в информационно-телекоммуникационной сети "Интернет" </w:t>
      </w:r>
      <w:hyperlink w:history="0" r:id="rId674" w:tooltip="Постановление Правительства МО от 25.10.2016 N 788/39 (ред. от 13.12.2022) &quot;Об утверждении государственной программы Московской области &quot;Предпринимательство Подмосковья&quot; на 2017-2024 годы&quot; ------------ Утратил силу или отменен {КонсультантПлюс}">
        <w:r>
          <w:rPr>
            <w:sz w:val="20"/>
            <w:color w:val="0000ff"/>
          </w:rPr>
          <w:t xml:space="preserve">Подпрограммы III</w:t>
        </w:r>
      </w:hyperlink>
      <w:r>
        <w:rPr>
          <w:sz w:val="20"/>
        </w:rPr>
        <w:t xml:space="preserve"> "Развитие малого и среднего предпринимательства в Московской области" государственной программы Московской области "Предпринимательство Подмосковья" на 2017-2024 годы, утвержденной постановлением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 начиная с 2021 года, в размере не более 500 тыс. рублей на одного получателя субсидии.</w:t>
      </w:r>
    </w:p>
    <w:bookmarkStart w:id="15353" w:name="P15353"/>
    <w:bookmarkEnd w:id="15353"/>
    <w:p>
      <w:pPr>
        <w:pStyle w:val="0"/>
        <w:spacing w:before="200" w:line-rule="auto"/>
        <w:ind w:firstLine="540"/>
        <w:jc w:val="both"/>
      </w:pPr>
      <w:r>
        <w:rPr>
          <w:sz w:val="20"/>
        </w:rPr>
        <w:t xml:space="preserve">33. По результатам отбора с победителем отбора заключается Соглашение в соответствии с положениями </w:t>
      </w:r>
      <w:hyperlink w:history="0" r:id="rId675"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 29.1</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Порядок открытия доступа и взаимодействия в информационной системе, в которой заключается Соглашение, указывается Мининвестом Московской области в объявлении о проведении отбора.</w:t>
      </w:r>
    </w:p>
    <w:bookmarkStart w:id="15355" w:name="P15355"/>
    <w:bookmarkEnd w:id="15355"/>
    <w:p>
      <w:pPr>
        <w:pStyle w:val="0"/>
        <w:spacing w:before="200" w:line-rule="auto"/>
        <w:ind w:firstLine="540"/>
        <w:jc w:val="both"/>
      </w:pPr>
      <w:r>
        <w:rPr>
          <w:sz w:val="20"/>
        </w:rPr>
        <w:t xml:space="preserve">34.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w:t>
      </w:r>
    </w:p>
    <w:p>
      <w:pPr>
        <w:pStyle w:val="0"/>
        <w:spacing w:before="200" w:line-rule="auto"/>
        <w:ind w:firstLine="540"/>
        <w:jc w:val="both"/>
      </w:pPr>
      <w:r>
        <w:rPr>
          <w:sz w:val="20"/>
        </w:rPr>
        <w:t xml:space="preserve">35. Соглашение заключается с победителем отбора в течение 4 рабочих дней со дня принятия Мининвестом Московской области Решения в соответствии с </w:t>
      </w:r>
      <w:hyperlink w:history="0" w:anchor="P15320" w:tooltip="26. Мининвест Московской области в срок не более 1 рабочего дня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
        <w:r>
          <w:rPr>
            <w:sz w:val="20"/>
            <w:color w:val="0000ff"/>
          </w:rPr>
          <w:t xml:space="preserve">пунктом 26</w:t>
        </w:r>
      </w:hyperlink>
      <w:r>
        <w:rPr>
          <w:sz w:val="20"/>
        </w:rPr>
        <w:t xml:space="preserve"> Порядка, в следующем порядке:</w:t>
      </w:r>
    </w:p>
    <w:p>
      <w:pPr>
        <w:pStyle w:val="0"/>
        <w:spacing w:before="200" w:line-rule="auto"/>
        <w:ind w:firstLine="540"/>
        <w:jc w:val="both"/>
      </w:pPr>
      <w:r>
        <w:rPr>
          <w:sz w:val="20"/>
        </w:rPr>
        <w:t xml:space="preserve">в течение 2 рабочих дней со дня принятия Решения Мининвест Московской области направляет победителю отбора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победителя отбора в Информационной системе;</w:t>
      </w:r>
    </w:p>
    <w:bookmarkStart w:id="15358" w:name="P15358"/>
    <w:bookmarkEnd w:id="15358"/>
    <w:p>
      <w:pPr>
        <w:pStyle w:val="0"/>
        <w:spacing w:before="200" w:line-rule="auto"/>
        <w:ind w:firstLine="540"/>
        <w:jc w:val="both"/>
      </w:pPr>
      <w:r>
        <w:rPr>
          <w:sz w:val="20"/>
        </w:rPr>
        <w:t xml:space="preserve">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w:t>
      </w:r>
    </w:p>
    <w:p>
      <w:pPr>
        <w:pStyle w:val="0"/>
        <w:spacing w:before="200" w:line-rule="auto"/>
        <w:ind w:firstLine="540"/>
        <w:jc w:val="both"/>
      </w:pPr>
      <w:r>
        <w:rPr>
          <w:sz w:val="20"/>
        </w:rPr>
        <w:t xml:space="preserve">Победитель отбора вправе отказаться от получения субсидии, направив в Мининвест Московской области соответствующий запрос в Информационной системе.</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победителя отбора требованиям, установленным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36.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Порядок заключения дополнительного Соглашения устанавливается распоряжением Мининвеста Московской области.</w:t>
      </w:r>
    </w:p>
    <w:p>
      <w:pPr>
        <w:pStyle w:val="0"/>
        <w:spacing w:before="200" w:line-rule="auto"/>
        <w:ind w:firstLine="540"/>
        <w:jc w:val="both"/>
      </w:pPr>
      <w:r>
        <w:rPr>
          <w:sz w:val="20"/>
        </w:rPr>
        <w:t xml:space="preserve">37. Основаниями для отказа Мининвестом Московской области в предоставлении субсидии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5210"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несоответствие затрат, произведенных участником отбора,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наличие иной принятой и зарегистрированной заявки участника отбора, которая не была им отозвана на дату рассмотрения заявки.</w:t>
      </w:r>
    </w:p>
    <w:p>
      <w:pPr>
        <w:pStyle w:val="0"/>
        <w:spacing w:before="200" w:line-rule="auto"/>
        <w:ind w:firstLine="540"/>
        <w:jc w:val="both"/>
      </w:pPr>
      <w:r>
        <w:rPr>
          <w:sz w:val="20"/>
        </w:rPr>
        <w:t xml:space="preserve">38. В случае неподписания победителем отбора Соглашения в срок, установленный </w:t>
      </w:r>
      <w:hyperlink w:history="0" w:anchor="P15358" w:tooltip="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
        <w:r>
          <w:rPr>
            <w:sz w:val="20"/>
            <w:color w:val="0000ff"/>
          </w:rPr>
          <w:t xml:space="preserve">абзацем третьим пункта 35</w:t>
        </w:r>
      </w:hyperlink>
      <w:r>
        <w:rPr>
          <w:sz w:val="20"/>
        </w:rPr>
        <w:t xml:space="preserve"> Порядка, победитель отбора признается уклонившимся от заключения Соглашения и субсидия не предоставляется, о чем победитель отбора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третьим пункта 35 Порядка.</w:t>
      </w:r>
    </w:p>
    <w:p>
      <w:pPr>
        <w:pStyle w:val="0"/>
        <w:spacing w:before="200" w:line-rule="auto"/>
        <w:ind w:firstLine="540"/>
        <w:jc w:val="both"/>
      </w:pPr>
      <w:r>
        <w:rPr>
          <w:sz w:val="20"/>
        </w:rPr>
        <w:t xml:space="preserve">В случае подписания получателем субсидии Соглашения в Информационной системе в срок, установленный </w:t>
      </w:r>
      <w:hyperlink w:history="0" w:anchor="P15358" w:tooltip="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
        <w:r>
          <w:rPr>
            <w:sz w:val="20"/>
            <w:color w:val="0000ff"/>
          </w:rPr>
          <w:t xml:space="preserve">абзацем третьим пункта 35</w:t>
        </w:r>
      </w:hyperlink>
      <w:r>
        <w:rPr>
          <w:sz w:val="20"/>
        </w:rPr>
        <w:t xml:space="preserve"> Порядка, Соглашение подписывается Мининвестом Московской области в течение 1 рабочего дня, следующего за днем подписания получателем субсидии Соглашения в Информационной системе.</w:t>
      </w:r>
    </w:p>
    <w:p>
      <w:pPr>
        <w:pStyle w:val="0"/>
        <w:spacing w:before="200" w:line-rule="auto"/>
        <w:ind w:firstLine="540"/>
        <w:jc w:val="both"/>
      </w:pPr>
      <w:r>
        <w:rPr>
          <w:sz w:val="20"/>
        </w:rPr>
        <w:t xml:space="preserve">39.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6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результата предоставления субсидии, установленные в соответствии с заявкой (в случае, если в связи с недостаточностью бюджетных ассигнований на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мероприятие 01.04</w:t>
        </w:r>
      </w:hyperlink>
      <w:r>
        <w:rPr>
          <w:sz w:val="20"/>
        </w:rPr>
        <w:t xml:space="preserve"> размер предоставленной субсидии меньше размера, указанного получателем субсидии в заявке, результаты предоставления субсидии снижаются пропорционально уменьшению размера предоставляемой субсидии).</w:t>
      </w:r>
    </w:p>
    <w:p>
      <w:pPr>
        <w:pStyle w:val="0"/>
        <w:spacing w:before="200" w:line-rule="auto"/>
        <w:ind w:firstLine="540"/>
        <w:jc w:val="both"/>
      </w:pPr>
      <w:r>
        <w:rPr>
          <w:sz w:val="20"/>
        </w:rPr>
        <w:t xml:space="preserve">40. Перечисление субсидии осуществляется не позднее 10 рабочего дня, следующего за днем принятия Мининвестом Московской области решения о предоставлении субсидии, предусмотренного </w:t>
      </w:r>
      <w:hyperlink w:history="0" w:anchor="P15320" w:tooltip="26. Мининвест Московской области в срок не более 1 рабочего дня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Субсидии подлежат перечислению на расчетные счета получателей субсидий, открытые в кредитных организациях, указанные в Соглашениях.</w:t>
      </w:r>
    </w:p>
    <w:p>
      <w:pPr>
        <w:pStyle w:val="0"/>
        <w:spacing w:before="200" w:line-rule="auto"/>
        <w:ind w:firstLine="540"/>
        <w:jc w:val="both"/>
      </w:pPr>
      <w:r>
        <w:rPr>
          <w:sz w:val="20"/>
        </w:rPr>
        <w:t xml:space="preserve">41.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7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 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680"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42. Результатом предоставления субсидии является прирост налоговых отчислений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Значение результата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43. Получатели субсидии представляют Мининвест Московской области отчет о достижении значений результата предоставления субсидии по форме, установленной Соглашением (далее - Отчет), в электронной форме посредством личного кабинета в Информационной системе</w:t>
      </w:r>
    </w:p>
    <w:p>
      <w:pPr>
        <w:pStyle w:val="0"/>
        <w:spacing w:before="200" w:line-rule="auto"/>
        <w:ind w:firstLine="540"/>
        <w:jc w:val="both"/>
      </w:pPr>
      <w:r>
        <w:rPr>
          <w:sz w:val="20"/>
        </w:rPr>
        <w:t xml:space="preserve">Отчетным периодом является год получения субсидии.</w:t>
      </w:r>
    </w:p>
    <w:p>
      <w:pPr>
        <w:pStyle w:val="0"/>
        <w:spacing w:before="200" w:line-rule="auto"/>
        <w:ind w:firstLine="540"/>
        <w:jc w:val="both"/>
      </w:pPr>
      <w:r>
        <w:rPr>
          <w:sz w:val="20"/>
        </w:rPr>
        <w:t xml:space="preserve">Отчет представляется ежеквартально в срок не позднее 15 рабочего дня месяца, следующего за отчетным кварталом, а по итогам отчетного периода - в срок до 15 апреля года, следующего за отчетным периодом.</w:t>
      </w:r>
    </w:p>
    <w:p>
      <w:pPr>
        <w:pStyle w:val="0"/>
        <w:spacing w:before="200" w:line-rule="auto"/>
        <w:ind w:firstLine="540"/>
        <w:jc w:val="both"/>
      </w:pPr>
      <w:r>
        <w:rPr>
          <w:sz w:val="20"/>
        </w:rPr>
        <w:t xml:space="preserve">Форма Отчета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При представлении отчетных документов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Проверка и принятие отчетности, представляемой в соответствии с настоящим разделом, осуществляется Мининвестом Московской в течение 30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Порядка Мининвест Московской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дней с даты направления уведомления, указанного в абзаце девятом настоящего пункта,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5410" w:tooltip="4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
        <w:r>
          <w:rPr>
            <w:sz w:val="20"/>
            <w:color w:val="0000ff"/>
          </w:rPr>
          <w:t xml:space="preserve">пунктом 46</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Отчета в установленные сроки приравнивается к недостижению значения результата предоставления субсидии.</w:t>
      </w:r>
    </w:p>
    <w:p>
      <w:pPr>
        <w:pStyle w:val="0"/>
        <w:spacing w:before="200" w:line-rule="auto"/>
        <w:ind w:firstLine="540"/>
        <w:jc w:val="both"/>
      </w:pPr>
      <w:r>
        <w:rPr>
          <w:sz w:val="20"/>
        </w:rPr>
        <w:t xml:space="preserve">Получатель субсидии вправе по собственной инициативе в срок 25 мая года, следующего за отчетным периодом, сдать уточненный Отчет при обнаружении некорректных данных в ранее представленном Отчете. Уточненный Отчет представляется в электронной форме посредством личного кабинета в Информационной системе с приложением документов, подтверждающих внесенные в Отчет изменения.</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p>
      <w:pPr>
        <w:pStyle w:val="0"/>
        <w:ind w:firstLine="540"/>
        <w:jc w:val="both"/>
      </w:pPr>
      <w:r>
        <w:rPr>
          <w:sz w:val="20"/>
        </w:rPr>
        <w:t xml:space="preserve">44.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6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8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45.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30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bookmarkStart w:id="15410" w:name="P15410"/>
    <w:bookmarkEnd w:id="15410"/>
    <w:p>
      <w:pPr>
        <w:pStyle w:val="0"/>
        <w:spacing w:before="200" w:line-rule="auto"/>
        <w:ind w:firstLine="540"/>
        <w:jc w:val="both"/>
      </w:pPr>
      <w:r>
        <w:rPr>
          <w:sz w:val="20"/>
        </w:rPr>
        <w:t xml:space="preserve">46.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w:t>
      </w:r>
    </w:p>
    <w:p>
      <w:pPr>
        <w:pStyle w:val="0"/>
        <w:spacing w:before="200" w:line-rule="auto"/>
        <w:ind w:firstLine="540"/>
        <w:jc w:val="both"/>
      </w:pPr>
      <w:r>
        <w:rPr>
          <w:sz w:val="20"/>
        </w:rPr>
        <w:t xml:space="preserve">При недостижении значения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значению результата предоставления субсидии, установленным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jc w:val="both"/>
      </w:pPr>
      <w:r>
        <w:rPr>
          <w:sz w:val="20"/>
        </w:rPr>
      </w:r>
    </w:p>
    <w:p>
      <w:pPr>
        <w:pStyle w:val="0"/>
        <w:ind w:firstLine="540"/>
        <w:jc w:val="both"/>
      </w:pPr>
      <w:r>
        <w:rPr>
          <w:sz w:val="20"/>
        </w:rPr>
        <w:t xml:space="preserve">При непредставлении Отчета в установленные сроки, субсидия подлежит возврату в полном объеме.</w:t>
      </w:r>
    </w:p>
    <w:p>
      <w:pPr>
        <w:pStyle w:val="0"/>
        <w:spacing w:before="200" w:line-rule="auto"/>
        <w:ind w:firstLine="540"/>
        <w:jc w:val="both"/>
      </w:pPr>
      <w:r>
        <w:rPr>
          <w:sz w:val="20"/>
        </w:rPr>
        <w:t xml:space="preserve">47. В случае неисполнения получателем субсидии требования о возврате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5428" w:name="P15428"/>
    <w:bookmarkEnd w:id="15428"/>
    <w:p>
      <w:pPr>
        <w:pStyle w:val="2"/>
        <w:jc w:val="center"/>
      </w:pPr>
      <w:r>
        <w:rPr>
          <w:sz w:val="20"/>
        </w:rPr>
        <w:t xml:space="preserve">ПЕРЕЧЕНЬ ДОКУМЕНТОВ, ПРЕДСТАВЛЯЕМЫХ УЧАСТНИКАМИ ОТБОРА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документам</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Документ, удостоверяющий личность (для индивидуальных предпринимателей)</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индивидуального предпринимателя, и страница с действующей регистрацией);</w:t>
            </w:r>
          </w:p>
          <w:p>
            <w:pPr>
              <w:pStyle w:val="0"/>
            </w:pPr>
            <w:r>
              <w:rPr>
                <w:sz w:val="20"/>
              </w:rPr>
              <w:t xml:space="preserve">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(страницы, подтверждающие личность индивидуального предпринимателя, а также содержащие сведения о месте жительства)</w:t>
            </w:r>
          </w:p>
        </w:tc>
      </w:tr>
      <w:tr>
        <w:tc>
          <w:tcPr>
            <w:tcW w:w="850" w:type="dxa"/>
          </w:tcPr>
          <w:p>
            <w:pPr>
              <w:pStyle w:val="0"/>
            </w:pPr>
            <w:r>
              <w:rPr>
                <w:sz w:val="20"/>
              </w:rPr>
              <w:t xml:space="preserve">2</w:t>
            </w:r>
          </w:p>
        </w:tc>
        <w:tc>
          <w:tcPr>
            <w:gridSpan w:val="2"/>
            <w:tcW w:w="8220" w:type="dxa"/>
          </w:tcPr>
          <w:p>
            <w:pPr>
              <w:pStyle w:val="0"/>
            </w:pPr>
            <w:r>
              <w:rPr>
                <w:sz w:val="20"/>
              </w:rPr>
              <w:t xml:space="preserve">Документы, представляемые в случае подачи заявки уполномоченным руководителем юридического лица или индивидуального предпринимателя лицом:</w:t>
            </w:r>
          </w:p>
        </w:tc>
      </w:tr>
      <w:tr>
        <w:tc>
          <w:tcPr>
            <w:tcW w:w="850" w:type="dxa"/>
          </w:tcPr>
          <w:p>
            <w:pPr>
              <w:pStyle w:val="0"/>
            </w:pPr>
            <w:r>
              <w:rPr>
                <w:sz w:val="20"/>
              </w:rPr>
              <w:t xml:space="preserve">2.1</w:t>
            </w:r>
          </w:p>
        </w:tc>
        <w:tc>
          <w:tcPr>
            <w:tcW w:w="3118" w:type="dxa"/>
          </w:tcPr>
          <w:p>
            <w:pPr>
              <w:pStyle w:val="0"/>
            </w:pPr>
            <w:r>
              <w:rPr>
                <w:sz w:val="20"/>
              </w:rPr>
              <w:t xml:space="preserve">Доверенность, подтверждающая полномочия представителя участника отбора</w:t>
            </w:r>
          </w:p>
        </w:tc>
        <w:tc>
          <w:tcPr>
            <w:tcW w:w="5102" w:type="dxa"/>
          </w:tcPr>
          <w:p>
            <w:pPr>
              <w:pStyle w:val="0"/>
            </w:pPr>
            <w:r>
              <w:rPr>
                <w:sz w:val="20"/>
              </w:rPr>
              <w:t xml:space="preserve">В соответствии с требованиями, установленными </w:t>
            </w:r>
            <w:hyperlink w:history="0" r:id="rId6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850" w:type="dxa"/>
          </w:tcPr>
          <w:p>
            <w:pPr>
              <w:pStyle w:val="0"/>
            </w:pPr>
            <w:r>
              <w:rPr>
                <w:sz w:val="20"/>
              </w:rPr>
              <w:t xml:space="preserve">2.2</w:t>
            </w:r>
          </w:p>
        </w:tc>
        <w:tc>
          <w:tcPr>
            <w:tcW w:w="3118" w:type="dxa"/>
          </w:tcPr>
          <w:p>
            <w:pPr>
              <w:pStyle w:val="0"/>
            </w:pPr>
            <w:r>
              <w:rPr>
                <w:sz w:val="20"/>
              </w:rPr>
              <w:t xml:space="preserve">Документ, удостоверяющий личность представителя участника отбора</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представителя участника отбора)</w:t>
            </w:r>
          </w:p>
        </w:tc>
      </w:tr>
      <w:tr>
        <w:tc>
          <w:tcPr>
            <w:tcW w:w="850" w:type="dxa"/>
          </w:tcPr>
          <w:p>
            <w:pPr>
              <w:pStyle w:val="0"/>
            </w:pPr>
            <w:r>
              <w:rPr>
                <w:sz w:val="20"/>
              </w:rPr>
              <w:t xml:space="preserve">3</w:t>
            </w:r>
          </w:p>
        </w:tc>
        <w:tc>
          <w:tcPr>
            <w:tcW w:w="3118" w:type="dxa"/>
          </w:tcPr>
          <w:p>
            <w:pPr>
              <w:pStyle w:val="0"/>
            </w:pPr>
            <w:r>
              <w:rPr>
                <w:sz w:val="20"/>
              </w:rPr>
              <w:t xml:space="preserve">Акт сверки по налогам, содержащий информацию о сумме уплаченных налогов за предшествующий календарный год, заверенный налоговым органом (представляется по инициативе участника отбора)</w:t>
            </w:r>
          </w:p>
        </w:tc>
        <w:tc>
          <w:tcPr>
            <w:tcW w:w="5102" w:type="dxa"/>
          </w:tcPr>
          <w:p>
            <w:pPr>
              <w:pStyle w:val="0"/>
            </w:pPr>
            <w:r>
              <w:rPr>
                <w:sz w:val="20"/>
              </w:rPr>
              <w:t xml:space="preserve">По форме Федеральной налоговой службы</w:t>
            </w:r>
          </w:p>
        </w:tc>
      </w:tr>
      <w:tr>
        <w:tc>
          <w:tcPr>
            <w:tcW w:w="850" w:type="dxa"/>
          </w:tcPr>
          <w:p>
            <w:pPr>
              <w:pStyle w:val="0"/>
            </w:pPr>
            <w:r>
              <w:rPr>
                <w:sz w:val="20"/>
              </w:rPr>
              <w:t xml:space="preserve">4</w:t>
            </w:r>
          </w:p>
        </w:tc>
        <w:tc>
          <w:tcPr>
            <w:tcW w:w="3118" w:type="dxa"/>
          </w:tcPr>
          <w:p>
            <w:pPr>
              <w:pStyle w:val="0"/>
            </w:pPr>
            <w:r>
              <w:rPr>
                <w:sz w:val="20"/>
              </w:rPr>
              <w:t xml:space="preserve">Справка о состоянии расчетов (доходов) по налогу на профессиональный доход (для самозанятых граждан)</w:t>
            </w:r>
          </w:p>
        </w:tc>
        <w:tc>
          <w:tcPr>
            <w:tcW w:w="5102" w:type="dxa"/>
          </w:tcPr>
          <w:p>
            <w:pPr>
              <w:pStyle w:val="0"/>
            </w:pPr>
            <w:r>
              <w:rPr>
                <w:sz w:val="20"/>
              </w:rPr>
              <w:t xml:space="preserve">По форме Федеральной налоговой службы</w:t>
            </w:r>
          </w:p>
        </w:tc>
      </w:tr>
      <w:tr>
        <w:tc>
          <w:tcPr>
            <w:tcW w:w="850" w:type="dxa"/>
          </w:tcPr>
          <w:p>
            <w:pPr>
              <w:pStyle w:val="0"/>
            </w:pPr>
            <w:r>
              <w:rPr>
                <w:sz w:val="20"/>
              </w:rPr>
              <w:t xml:space="preserve">5</w:t>
            </w:r>
          </w:p>
        </w:tc>
        <w:tc>
          <w:tcPr>
            <w:gridSpan w:val="2"/>
            <w:tcW w:w="8220" w:type="dxa"/>
          </w:tcPr>
          <w:p>
            <w:pPr>
              <w:pStyle w:val="0"/>
            </w:pPr>
            <w:r>
              <w:rPr>
                <w:sz w:val="20"/>
              </w:rPr>
              <w:t xml:space="preserve">Документы, представляемые участниками отбора, реализующими товары собственного бренда (под своим товарным знаком) и не осуществляющими один или несколько видов деятельности в соответствии с разделами "A", "C", классом 56 </w:t>
            </w:r>
            <w:hyperlink w:history="0" r:id="rId68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tc>
      </w:tr>
      <w:tr>
        <w:tc>
          <w:tcPr>
            <w:tcW w:w="850" w:type="dxa"/>
          </w:tcPr>
          <w:p>
            <w:pPr>
              <w:pStyle w:val="0"/>
            </w:pPr>
            <w:r>
              <w:rPr>
                <w:sz w:val="20"/>
              </w:rPr>
              <w:t xml:space="preserve">5.1</w:t>
            </w:r>
          </w:p>
        </w:tc>
        <w:tc>
          <w:tcPr>
            <w:tcW w:w="3118" w:type="dxa"/>
          </w:tcPr>
          <w:p>
            <w:pPr>
              <w:pStyle w:val="0"/>
            </w:pPr>
            <w:r>
              <w:rPr>
                <w:sz w:val="20"/>
              </w:rPr>
              <w:t xml:space="preserve">Документы, подтверждающие регистрацию участником отбора собственного бренда (товарного знака)</w:t>
            </w:r>
          </w:p>
        </w:tc>
        <w:tc>
          <w:tcPr>
            <w:tcW w:w="5102" w:type="dxa"/>
          </w:tcPr>
          <w:p>
            <w:pPr>
              <w:pStyle w:val="0"/>
            </w:pPr>
            <w:r>
              <w:rPr>
                <w:sz w:val="20"/>
              </w:rPr>
              <w:t xml:space="preserve">Свидетельство о регистрации товарного знака</w:t>
            </w:r>
          </w:p>
        </w:tc>
      </w:tr>
      <w:tr>
        <w:tc>
          <w:tcPr>
            <w:tcW w:w="850" w:type="dxa"/>
          </w:tcPr>
          <w:p>
            <w:pPr>
              <w:pStyle w:val="0"/>
            </w:pPr>
            <w:r>
              <w:rPr>
                <w:sz w:val="20"/>
              </w:rPr>
              <w:t xml:space="preserve">5.2</w:t>
            </w:r>
          </w:p>
        </w:tc>
        <w:tc>
          <w:tcPr>
            <w:tcW w:w="3118" w:type="dxa"/>
          </w:tcPr>
          <w:p>
            <w:pPr>
              <w:pStyle w:val="0"/>
            </w:pPr>
            <w:r>
              <w:rPr>
                <w:sz w:val="20"/>
              </w:rPr>
              <w:t xml:space="preserve">Договор, подтверждающий производство сторонними организациями товаров для участника отбора под брендом (товарным знаком) участника отбора</w:t>
            </w:r>
          </w:p>
        </w:tc>
        <w:tc>
          <w:tcPr>
            <w:tcW w:w="5102" w:type="dxa"/>
          </w:tcPr>
          <w:p>
            <w:pPr>
              <w:pStyle w:val="0"/>
            </w:pPr>
            <w:r>
              <w:rPr>
                <w:sz w:val="20"/>
              </w:rPr>
              <w:t xml:space="preserve">Договор должен содержать:</w:t>
            </w:r>
          </w:p>
          <w:p>
            <w:pPr>
              <w:pStyle w:val="0"/>
            </w:pPr>
            <w:r>
              <w:rPr>
                <w:sz w:val="20"/>
              </w:rPr>
              <w:t xml:space="preserve">1) дату заключения договора;</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w:t>
            </w:r>
          </w:p>
          <w:p>
            <w:pPr>
              <w:pStyle w:val="0"/>
            </w:pPr>
            <w:r>
              <w:rPr>
                <w:sz w:val="20"/>
              </w:rPr>
              <w:t xml:space="preserve">5) идентификационные данные сторон договора: наименование юридического лица (Ф.И.О. индивидуального предпринимателя), организационно-правовую форму, ИНН;</w:t>
            </w:r>
          </w:p>
          <w:p>
            <w:pPr>
              <w:pStyle w:val="0"/>
            </w:pPr>
            <w:r>
              <w:rPr>
                <w:sz w:val="20"/>
              </w:rPr>
              <w:t xml:space="preserve">6) подписи сторон, печати (при наличии).</w:t>
            </w:r>
          </w:p>
          <w:p>
            <w:pPr>
              <w:pStyle w:val="0"/>
            </w:pPr>
            <w:r>
              <w:rPr>
                <w:sz w:val="20"/>
              </w:rPr>
              <w:t xml:space="preserve">Договор представляется со всеми приложениями, спецификациями и дополнительными соглашениями. В случае если договор составлен на языке, отличном от русского, к договору прилагается его нотариально заверенный перевод на русский язык</w:t>
            </w:r>
          </w:p>
        </w:tc>
      </w:tr>
    </w:tbl>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15472" w:name="P15472"/>
    <w:bookmarkEnd w:id="15472"/>
    <w:p>
      <w:pPr>
        <w:pStyle w:val="2"/>
        <w:jc w:val="center"/>
      </w:pPr>
      <w:r>
        <w:rPr>
          <w:sz w:val="20"/>
        </w:rPr>
        <w:t xml:space="preserve">ИНФОРМАЦИЯ И ДОКУМЕНТЫ, ПОДТВЕРЖДАЮЩИЕ ФАКТИЧЕСКИ</w:t>
      </w:r>
    </w:p>
    <w:p>
      <w:pPr>
        <w:pStyle w:val="2"/>
        <w:jc w:val="center"/>
      </w:pPr>
      <w:r>
        <w:rPr>
          <w:sz w:val="20"/>
        </w:rPr>
        <w:t xml:space="preserve">ПРОИЗВЕДЕННЫЕ ЗАТРАТЫ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Информация и документы представляются торговой онлайн-площадкой с соблюдением следующих требований:</w:t>
      </w:r>
    </w:p>
    <w:p>
      <w:pPr>
        <w:pStyle w:val="0"/>
        <w:spacing w:before="200" w:line-rule="auto"/>
        <w:ind w:firstLine="540"/>
        <w:jc w:val="both"/>
      </w:pPr>
      <w:r>
        <w:rPr>
          <w:sz w:val="20"/>
        </w:rPr>
        <w:t xml:space="preserve">1) срок представления документов составляет не более 10 календарных дней со дня направления запроса АНО "АИР";</w:t>
      </w:r>
    </w:p>
    <w:p>
      <w:pPr>
        <w:pStyle w:val="0"/>
        <w:spacing w:before="200" w:line-rule="auto"/>
        <w:ind w:firstLine="540"/>
        <w:jc w:val="both"/>
      </w:pPr>
      <w:r>
        <w:rPr>
          <w:sz w:val="20"/>
        </w:rPr>
        <w:t xml:space="preserve">2) форма представления информации и документа устанавливается соглашением о порядке взаимодействия и передаются по электронным каналам связи в порядке, установленном соглашением о порядке взаимодействия;</w:t>
      </w:r>
    </w:p>
    <w:p>
      <w:pPr>
        <w:pStyle w:val="0"/>
        <w:spacing w:before="200" w:line-rule="auto"/>
        <w:ind w:firstLine="540"/>
        <w:jc w:val="both"/>
      </w:pPr>
      <w:r>
        <w:rPr>
          <w:sz w:val="20"/>
        </w:rPr>
        <w:t xml:space="preserve">3) в соглашении о взаимодействии указывается один из вариантов подтверждения (представления) онлайн торговой площадки информации о своих поставщиках и произведенных ими затратах: с использованием информационной системы, указанной в соглашении о взаимодействии, либо с использованием интеграции информационной системы, используемой АНО "АИР" и Мининвестом Московской области, с информационной системой, используемой торговой онлайн-площадкой.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8220"/>
      </w:tblGrid>
      <w:tr>
        <w:tc>
          <w:tcPr>
            <w:tcW w:w="850" w:type="dxa"/>
          </w:tcPr>
          <w:p>
            <w:pPr>
              <w:pStyle w:val="0"/>
              <w:jc w:val="center"/>
            </w:pPr>
            <w:r>
              <w:rPr>
                <w:sz w:val="20"/>
              </w:rPr>
              <w:t xml:space="preserve">N п/п</w:t>
            </w:r>
          </w:p>
        </w:tc>
        <w:tc>
          <w:tcPr>
            <w:tcW w:w="8220" w:type="dxa"/>
          </w:tcPr>
          <w:p>
            <w:pPr>
              <w:pStyle w:val="0"/>
              <w:jc w:val="center"/>
            </w:pPr>
            <w:r>
              <w:rPr>
                <w:sz w:val="20"/>
              </w:rPr>
              <w:t xml:space="preserve">Информация и документы, подтверждающие фактически произведенные затраты</w:t>
            </w:r>
          </w:p>
        </w:tc>
      </w:tr>
      <w:tr>
        <w:tc>
          <w:tcPr>
            <w:tcW w:w="850" w:type="dxa"/>
          </w:tcPr>
          <w:p>
            <w:pPr>
              <w:pStyle w:val="0"/>
              <w:jc w:val="center"/>
            </w:pPr>
            <w:r>
              <w:rPr>
                <w:sz w:val="20"/>
              </w:rPr>
              <w:t xml:space="preserve">1</w:t>
            </w:r>
          </w:p>
        </w:tc>
        <w:tc>
          <w:tcPr>
            <w:tcW w:w="8220" w:type="dxa"/>
          </w:tcPr>
          <w:p>
            <w:pPr>
              <w:pStyle w:val="0"/>
              <w:jc w:val="center"/>
            </w:pPr>
            <w:r>
              <w:rPr>
                <w:sz w:val="20"/>
              </w:rPr>
              <w:t xml:space="preserve">2</w:t>
            </w:r>
          </w:p>
        </w:tc>
      </w:tr>
      <w:tr>
        <w:tc>
          <w:tcPr>
            <w:tcW w:w="850" w:type="dxa"/>
          </w:tcPr>
          <w:p>
            <w:pPr>
              <w:pStyle w:val="0"/>
            </w:pPr>
            <w:r>
              <w:rPr>
                <w:sz w:val="20"/>
              </w:rPr>
              <w:t xml:space="preserve">1</w:t>
            </w:r>
          </w:p>
        </w:tc>
        <w:tc>
          <w:tcPr>
            <w:tcW w:w="8220" w:type="dxa"/>
          </w:tcPr>
          <w:p>
            <w:pPr>
              <w:pStyle w:val="0"/>
            </w:pPr>
            <w:r>
              <w:rPr>
                <w:sz w:val="20"/>
              </w:rPr>
              <w:t xml:space="preserve">Подтверждение с использованием информационной системы, указанной в соглашении о взаимодействии, и в порядке, установленном в соглашении о взаимодействии, следующей информации:</w:t>
            </w:r>
          </w:p>
          <w:p>
            <w:pPr>
              <w:pStyle w:val="0"/>
            </w:pPr>
            <w:r>
              <w:rPr>
                <w:sz w:val="20"/>
              </w:rPr>
              <w:t xml:space="preserve">1) сведения о поставщике (для юридических лиц - организационная правовая форма, наименование, ИНН, местонахождение; для индивидуальных предпринимателей и самозанятых граждан - ФИО, ИНН, место жительства);</w:t>
            </w:r>
          </w:p>
          <w:p>
            <w:pPr>
              <w:pStyle w:val="0"/>
            </w:pPr>
            <w:r>
              <w:rPr>
                <w:sz w:val="20"/>
              </w:rPr>
              <w:t xml:space="preserve">2) дата договора, по которому производится возмещение затрат (подтверждение акцепта);</w:t>
            </w:r>
          </w:p>
          <w:p>
            <w:pPr>
              <w:pStyle w:val="0"/>
            </w:pPr>
            <w:r>
              <w:rPr>
                <w:sz w:val="20"/>
              </w:rPr>
              <w:t xml:space="preserve">год первой отгрузки товара или представления продуктов питания и напитков на торговой онлайн-площадке;</w:t>
            </w:r>
          </w:p>
          <w:p>
            <w:pPr>
              <w:pStyle w:val="0"/>
            </w:pPr>
            <w:r>
              <w:rPr>
                <w:sz w:val="20"/>
              </w:rPr>
              <w:t xml:space="preserve">3) информация о том, что поставщик является действующим поставщиком торговой онлайн-площадки на дату подтверждения информации</w:t>
            </w:r>
          </w:p>
        </w:tc>
      </w:tr>
      <w:tr>
        <w:tc>
          <w:tcPr>
            <w:tcW w:w="850" w:type="dxa"/>
          </w:tcPr>
          <w:p>
            <w:pPr>
              <w:pStyle w:val="0"/>
            </w:pPr>
            <w:r>
              <w:rPr>
                <w:sz w:val="20"/>
              </w:rPr>
              <w:t xml:space="preserve">2</w:t>
            </w:r>
          </w:p>
        </w:tc>
        <w:tc>
          <w:tcPr>
            <w:tcW w:w="8220" w:type="dxa"/>
          </w:tcPr>
          <w:p>
            <w:pPr>
              <w:pStyle w:val="0"/>
            </w:pPr>
            <w:r>
              <w:rPr>
                <w:sz w:val="20"/>
              </w:rPr>
              <w:t xml:space="preserve">Представление с использованием информационной системы, указанной в соглашении о взаимодействии, и в порядке, установленном в соглашении о взаимодействии, следующей информации:</w:t>
            </w:r>
          </w:p>
          <w:p>
            <w:pPr>
              <w:pStyle w:val="0"/>
            </w:pPr>
            <w:r>
              <w:rPr>
                <w:sz w:val="20"/>
              </w:rPr>
              <w:t xml:space="preserve">1) размер представленного вознаграждения и (или) комиссии и (или) оплаты комиссионных услуг торговым онлайн-площадкам за услуги, связанные с реализацией товаров и (или) представлением продуктов питания и напитков, в том числе размещением предложений лиц об их реализации;</w:t>
            </w:r>
          </w:p>
          <w:p>
            <w:pPr>
              <w:pStyle w:val="0"/>
            </w:pPr>
            <w:r>
              <w:rPr>
                <w:sz w:val="20"/>
              </w:rPr>
              <w:t xml:space="preserve">2) период, за который произведены затраты на представление вознаграждения и (или) комиссии и (или) оплату комиссионных услуг торговым онлайн-площадкам за услуги, связанные с реализацией товаров и (или) представлением продуктов питания и напитков, в том числе размещением предложений лиц об их реализации;</w:t>
            </w:r>
          </w:p>
          <w:p>
            <w:pPr>
              <w:pStyle w:val="0"/>
            </w:pPr>
            <w:r>
              <w:rPr>
                <w:sz w:val="20"/>
              </w:rPr>
              <w:t xml:space="preserve">3) размер произведенных затрат на размещение и (или) продвижение (рекламу) товаров и (или) услуг по представлению продуктов питания и напитков на торговых онлайн-площадках;</w:t>
            </w:r>
          </w:p>
          <w:p>
            <w:pPr>
              <w:pStyle w:val="0"/>
            </w:pPr>
            <w:r>
              <w:rPr>
                <w:sz w:val="20"/>
              </w:rPr>
              <w:t xml:space="preserve">4) период, за который произведены затраты на размещение и (или) продвижение (рекламу) товаров и (или) услуг по представлению продуктов питания и напитков;</w:t>
            </w:r>
          </w:p>
          <w:p>
            <w:pPr>
              <w:pStyle w:val="0"/>
            </w:pPr>
            <w:r>
              <w:rPr>
                <w:sz w:val="20"/>
              </w:rPr>
              <w:t xml:space="preserve">5) размер произведенных затрат на оплату услуг торговых онлайн-площадок за доставку товаров и (или) продуктов питания и напитков;</w:t>
            </w:r>
          </w:p>
          <w:p>
            <w:pPr>
              <w:pStyle w:val="0"/>
            </w:pPr>
            <w:r>
              <w:rPr>
                <w:sz w:val="20"/>
              </w:rPr>
              <w:t xml:space="preserve">6) период, за который произведены затраты на оплату услуг торговых онлайн-площадок за доставку товаров и (или) продуктов питания и напитков</w:t>
            </w:r>
          </w:p>
        </w:tc>
      </w:tr>
      <w:tr>
        <w:tc>
          <w:tcPr>
            <w:tcW w:w="850" w:type="dxa"/>
          </w:tcPr>
          <w:p>
            <w:pPr>
              <w:pStyle w:val="0"/>
            </w:pPr>
            <w:r>
              <w:rPr>
                <w:sz w:val="20"/>
              </w:rPr>
              <w:t xml:space="preserve">3</w:t>
            </w:r>
          </w:p>
        </w:tc>
        <w:tc>
          <w:tcPr>
            <w:tcW w:w="8220" w:type="dxa"/>
          </w:tcPr>
          <w:p>
            <w:pPr>
              <w:pStyle w:val="0"/>
            </w:pPr>
            <w:r>
              <w:rPr>
                <w:sz w:val="20"/>
              </w:rPr>
              <w:t xml:space="preserve">Отчет о понесенных затратах участником отбора, содержащий следующую информацию:</w:t>
            </w:r>
          </w:p>
          <w:p>
            <w:pPr>
              <w:pStyle w:val="0"/>
            </w:pPr>
            <w:r>
              <w:rPr>
                <w:sz w:val="20"/>
              </w:rPr>
              <w:t xml:space="preserve">1) размер представленного вознаграждения и (или) комиссии и (или) оплаты комиссионных услуг торговым онлайн-площадкам за услуги, связанные с реализацией товаров и (или) представлением продуктов питания и напитков, в том числе размещением предложений лиц об их реализации;</w:t>
            </w:r>
          </w:p>
          <w:p>
            <w:pPr>
              <w:pStyle w:val="0"/>
            </w:pPr>
            <w:r>
              <w:rPr>
                <w:sz w:val="20"/>
              </w:rPr>
              <w:t xml:space="preserve">2) период, за который произведены затраты на представление вознаграждения и (или) комиссии и (или) оплату комиссионных услуг торговым онлайн-площадкам за услуги, связанные с реализацией товаров и (или) представлением продуктов питания и напитков, в том числе размещением предложений лиц об их реализации;</w:t>
            </w:r>
          </w:p>
          <w:p>
            <w:pPr>
              <w:pStyle w:val="0"/>
            </w:pPr>
            <w:r>
              <w:rPr>
                <w:sz w:val="20"/>
              </w:rPr>
              <w:t xml:space="preserve">3) размер произведенных затрат на размещение и (или) продвижение (рекламу) товаров и (или) услуг по представлению продуктов питания и напитков на торговых онлайн-площадках;</w:t>
            </w:r>
          </w:p>
          <w:p>
            <w:pPr>
              <w:pStyle w:val="0"/>
            </w:pPr>
            <w:r>
              <w:rPr>
                <w:sz w:val="20"/>
              </w:rPr>
              <w:t xml:space="preserve">4) период, за который произведены затраты на размещение и (или) продвижение (рекламу) товаров и (или) услуг по представлению продуктов питания и напитков;</w:t>
            </w:r>
          </w:p>
          <w:p>
            <w:pPr>
              <w:pStyle w:val="0"/>
            </w:pPr>
            <w:r>
              <w:rPr>
                <w:sz w:val="20"/>
              </w:rPr>
              <w:t xml:space="preserve">5) размер произведенных затрат на оплату услуг торговых онлайн-площадок за доставку товаров и (или) продуктов питания и напитков;</w:t>
            </w:r>
          </w:p>
          <w:p>
            <w:pPr>
              <w:pStyle w:val="0"/>
            </w:pPr>
            <w:r>
              <w:rPr>
                <w:sz w:val="20"/>
              </w:rPr>
              <w:t xml:space="preserve">6) период, за который произведены затраты на оплату услуг торговых онлайн-площадок за доставку товаров и (или) продуктов питания и напитков</w:t>
            </w:r>
          </w:p>
        </w:tc>
      </w:tr>
    </w:tbl>
    <w:p>
      <w:pPr>
        <w:pStyle w:val="0"/>
        <w:jc w:val="both"/>
      </w:pPr>
      <w:r>
        <w:rPr>
          <w:sz w:val="20"/>
        </w:rPr>
      </w:r>
    </w:p>
    <w:p>
      <w:pPr>
        <w:pStyle w:val="2"/>
        <w:outlineLvl w:val="3"/>
        <w:jc w:val="center"/>
      </w:pPr>
      <w:r>
        <w:rPr>
          <w:sz w:val="20"/>
        </w:rPr>
        <w:t xml:space="preserve">7.2.5. Порядок предоставления из бюджета Московской области</w:t>
      </w:r>
    </w:p>
    <w:p>
      <w:pPr>
        <w:pStyle w:val="2"/>
        <w:jc w:val="center"/>
      </w:pPr>
      <w:r>
        <w:rPr>
          <w:sz w:val="20"/>
        </w:rPr>
        <w:t xml:space="preserve">субсидии юридическим лицам на возмещение недополученных</w:t>
      </w:r>
    </w:p>
    <w:p>
      <w:pPr>
        <w:pStyle w:val="2"/>
        <w:jc w:val="center"/>
      </w:pPr>
      <w:r>
        <w:rPr>
          <w:sz w:val="20"/>
        </w:rPr>
        <w:t xml:space="preserve">доходов кредитным организациям, предоставляющим кредиты</w:t>
      </w:r>
    </w:p>
    <w:p>
      <w:pPr>
        <w:pStyle w:val="2"/>
        <w:jc w:val="center"/>
      </w:pPr>
      <w:r>
        <w:rPr>
          <w:sz w:val="20"/>
        </w:rPr>
        <w:t xml:space="preserve">по льготной процентной ставке субъектам малого и среднего</w:t>
      </w:r>
    </w:p>
    <w:p>
      <w:pPr>
        <w:pStyle w:val="2"/>
        <w:jc w:val="center"/>
      </w:pPr>
      <w:r>
        <w:rPr>
          <w:sz w:val="20"/>
        </w:rPr>
        <w:t xml:space="preserve">предпринимательства, в рамках реализации мероприятия 01.05</w:t>
      </w:r>
    </w:p>
    <w:p>
      <w:pPr>
        <w:pStyle w:val="2"/>
        <w:jc w:val="center"/>
      </w:pPr>
      <w:r>
        <w:rPr>
          <w:sz w:val="20"/>
        </w:rPr>
        <w:t xml:space="preserve">"Возмещение недополученных доходов кредитным организациям,</w:t>
      </w:r>
    </w:p>
    <w:p>
      <w:pPr>
        <w:pStyle w:val="2"/>
        <w:jc w:val="center"/>
      </w:pPr>
      <w:r>
        <w:rPr>
          <w:sz w:val="20"/>
        </w:rPr>
        <w:t xml:space="preserve">предоставляющим кредиты по льготной процентной ставке</w:t>
      </w:r>
    </w:p>
    <w:p>
      <w:pPr>
        <w:pStyle w:val="2"/>
        <w:jc w:val="center"/>
      </w:pPr>
      <w:r>
        <w:rPr>
          <w:sz w:val="20"/>
        </w:rPr>
        <w:t xml:space="preserve">субъектам малого и среднего предпринимательства"</w:t>
      </w:r>
    </w:p>
    <w:p>
      <w:pPr>
        <w:pStyle w:val="2"/>
        <w:jc w:val="center"/>
      </w:pPr>
      <w:r>
        <w:rPr>
          <w:sz w:val="20"/>
        </w:rPr>
        <w:t xml:space="preserve">Подпрограммы 3 государственной программы</w:t>
      </w:r>
    </w:p>
    <w:p>
      <w:pPr>
        <w:pStyle w:val="0"/>
        <w:jc w:val="center"/>
      </w:pPr>
      <w:r>
        <w:rPr>
          <w:sz w:val="20"/>
        </w:rPr>
      </w:r>
    </w:p>
    <w:p>
      <w:pPr>
        <w:pStyle w:val="0"/>
        <w:jc w:val="center"/>
      </w:pPr>
      <w:r>
        <w:rPr>
          <w:sz w:val="20"/>
        </w:rPr>
        <w:t xml:space="preserve">(в ред. </w:t>
      </w:r>
      <w:hyperlink w:history="0" r:id="rId685"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юридическим лицам на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(далее соответственно - Порядок, субсидия), в рамках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Подпрограммы 3 государственной программы разработан в соответствии со </w:t>
      </w:r>
      <w:hyperlink w:history="0" r:id="rId68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687"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субсидии, в том числе грантов в форме субсидии"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результаты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для целей Порядка:</w:t>
      </w:r>
    </w:p>
    <w:bookmarkStart w:id="15529" w:name="P15529"/>
    <w:bookmarkEnd w:id="15529"/>
    <w:p>
      <w:pPr>
        <w:pStyle w:val="0"/>
        <w:spacing w:before="200" w:line-rule="auto"/>
        <w:ind w:firstLine="540"/>
        <w:jc w:val="both"/>
      </w:pPr>
      <w:r>
        <w:rPr>
          <w:sz w:val="20"/>
        </w:rPr>
        <w:t xml:space="preserve">1)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w:t>
      </w:r>
      <w:hyperlink w:history="0" r:id="rId688" w:tooltip="Федеральный закон от 02.12.1990 N 395-1 (ред. от 28.12.2024) &quot;О банках и банковской деятельности&quot; {КонсультантПлюс}">
        <w:r>
          <w:rPr>
            <w:sz w:val="20"/>
            <w:color w:val="0000ff"/>
          </w:rPr>
          <w:t xml:space="preserve">законом</w:t>
        </w:r>
      </w:hyperlink>
      <w:r>
        <w:rPr>
          <w:sz w:val="20"/>
        </w:rPr>
        <w:t xml:space="preserve"> от 02.12.1990 N 395-1 "О банках и банковской деятельности";</w:t>
      </w:r>
    </w:p>
    <w:p>
      <w:pPr>
        <w:pStyle w:val="0"/>
        <w:spacing w:before="200" w:line-rule="auto"/>
        <w:ind w:firstLine="540"/>
        <w:jc w:val="both"/>
      </w:pPr>
      <w:r>
        <w:rPr>
          <w:sz w:val="20"/>
        </w:rPr>
        <w:t xml:space="preserve">2) кредитный договор - кредитный договор (соглашение), соответствующий требованиям, установленным в </w:t>
      </w:r>
      <w:hyperlink w:history="0" w:anchor="P15900" w:tooltip="61. Требования к кредитным договорам:">
        <w:r>
          <w:rPr>
            <w:sz w:val="20"/>
            <w:color w:val="0000ff"/>
          </w:rPr>
          <w:t xml:space="preserve">пункте 61</w:t>
        </w:r>
      </w:hyperlink>
      <w:r>
        <w:rPr>
          <w:sz w:val="20"/>
        </w:rPr>
        <w:t xml:space="preserve"> Порядка;</w:t>
      </w:r>
    </w:p>
    <w:p>
      <w:pPr>
        <w:pStyle w:val="0"/>
        <w:spacing w:before="200" w:line-rule="auto"/>
        <w:ind w:firstLine="540"/>
        <w:jc w:val="both"/>
      </w:pPr>
      <w:r>
        <w:rPr>
          <w:sz w:val="20"/>
        </w:rPr>
        <w:t xml:space="preserve">3) заемщики - субъекты МСП, соответствующие требованиям, установленным </w:t>
      </w:r>
      <w:hyperlink w:history="0" w:anchor="P15931" w:tooltip="62. Требования к заемщикам:">
        <w:r>
          <w:rPr>
            <w:sz w:val="20"/>
            <w:color w:val="0000ff"/>
          </w:rPr>
          <w:t xml:space="preserve">пунктом 62</w:t>
        </w:r>
      </w:hyperlink>
      <w:r>
        <w:rPr>
          <w:sz w:val="20"/>
        </w:rPr>
        <w:t xml:space="preserve"> Порядка, заключившие кредитные договоры с получателем субсидии;</w:t>
      </w:r>
    </w:p>
    <w:p>
      <w:pPr>
        <w:pStyle w:val="0"/>
        <w:spacing w:before="200" w:line-rule="auto"/>
        <w:ind w:firstLine="540"/>
        <w:jc w:val="both"/>
      </w:pPr>
      <w:r>
        <w:rPr>
          <w:sz w:val="20"/>
        </w:rPr>
        <w:t xml:space="preserve">4) действующие кредитные договоры - кредитные договоры, заключенные получателями субсидии с субъектами МСП по льготной процентной ставке в соответствии с Порядком;</w:t>
      </w:r>
    </w:p>
    <w:p>
      <w:pPr>
        <w:pStyle w:val="0"/>
        <w:spacing w:before="200" w:line-rule="auto"/>
        <w:ind w:firstLine="540"/>
        <w:jc w:val="both"/>
      </w:pPr>
      <w:r>
        <w:rPr>
          <w:sz w:val="20"/>
        </w:rPr>
        <w:t xml:space="preserve">5) обслуживание действующих кредитных договоров - предоставление субсидии получателям субсидии в отношении действующих кредитных договоров.</w:t>
      </w:r>
    </w:p>
    <w:p>
      <w:pPr>
        <w:pStyle w:val="0"/>
        <w:spacing w:before="200" w:line-rule="auto"/>
        <w:ind w:firstLine="540"/>
        <w:jc w:val="both"/>
      </w:pPr>
      <w:r>
        <w:rPr>
          <w:sz w:val="20"/>
        </w:rPr>
        <w:t xml:space="preserve">Используемые в Порядке понятия применяются в значении, в котором они используются в </w:t>
      </w:r>
      <w:hyperlink w:history="0" r:id="rId689" w:tooltip="Постановление Правительства РФ от 30.12.2018 N 1764 (ред. от 20.07.2023) &quot;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quot;Налог на профессиональный доход&quot;, по льготной ставке&quot; {КонсультантПлюс}">
        <w:r>
          <w:rPr>
            <w:sz w:val="20"/>
            <w:color w:val="0000ff"/>
          </w:rPr>
          <w:t xml:space="preserve">постановлении</w:t>
        </w:r>
      </w:hyperlink>
      <w:r>
        <w:rPr>
          <w:sz w:val="20"/>
        </w:rPr>
        <w:t xml:space="preserve"> Правительства Российской Федерации от 30.12.2018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(далее - Правила N 1764), если Порядком не предусматривается иное значение.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Мининвеста Московской области (далее - Министерство) как получателя средств бюджета Московской области на цель, указанную в </w:t>
      </w:r>
      <w:hyperlink w:history="0" w:anchor="P15538" w:tooltip="5. Целью предоставления субсидии является возмещение недополученных доходов получателя субсидии, связанных с предоставлением кредитов по льготной процентной ставке субъектам малого и среднего предпринимательства.">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Министерство.</w:t>
      </w:r>
    </w:p>
    <w:p>
      <w:pPr>
        <w:pStyle w:val="0"/>
        <w:spacing w:before="200" w:line-rule="auto"/>
        <w:ind w:firstLine="540"/>
        <w:jc w:val="both"/>
      </w:pPr>
      <w:r>
        <w:rPr>
          <w:sz w:val="20"/>
        </w:rPr>
        <w:t xml:space="preserve">4. Способ предоставления субсидии - возмещение недополученных доходов.</w:t>
      </w:r>
    </w:p>
    <w:bookmarkStart w:id="15538" w:name="P15538"/>
    <w:bookmarkEnd w:id="15538"/>
    <w:p>
      <w:pPr>
        <w:pStyle w:val="0"/>
        <w:spacing w:before="200" w:line-rule="auto"/>
        <w:ind w:firstLine="540"/>
        <w:jc w:val="both"/>
      </w:pPr>
      <w:r>
        <w:rPr>
          <w:sz w:val="20"/>
        </w:rPr>
        <w:t xml:space="preserve">5. Целью предоставления субсидии является возмещение недополученных доходов получателя субсидии, связанных с предоставлением кредитов по льготной процентной ставке субъектам малого и среднего предпринимательства.</w:t>
      </w:r>
    </w:p>
    <w:bookmarkStart w:id="15539" w:name="P15539"/>
    <w:bookmarkEnd w:id="15539"/>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(далее - отбор)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 запрос предложений.</w:t>
      </w:r>
    </w:p>
    <w:p>
      <w:pPr>
        <w:pStyle w:val="0"/>
        <w:spacing w:before="200" w:line-rule="auto"/>
        <w:ind w:firstLine="540"/>
        <w:jc w:val="both"/>
      </w:pPr>
      <w:r>
        <w:rPr>
          <w:sz w:val="20"/>
        </w:rPr>
        <w:t xml:space="preserve">Получатели субсидии определяются по результатам отбора исходя из соответствия участника отбора категории и критериям отбора и очередности поступления заявок об участии в отборе (далее - заявка).</w:t>
      </w:r>
    </w:p>
    <w:bookmarkStart w:id="15547" w:name="P15547"/>
    <w:bookmarkEnd w:id="15547"/>
    <w:p>
      <w:pPr>
        <w:pStyle w:val="0"/>
        <w:spacing w:before="200" w:line-rule="auto"/>
        <w:ind w:firstLine="540"/>
        <w:jc w:val="both"/>
      </w:pPr>
      <w:r>
        <w:rPr>
          <w:sz w:val="20"/>
        </w:rPr>
        <w:t xml:space="preserve">9. Категория отбора: кредитные организации, предусмотренные </w:t>
      </w:r>
      <w:hyperlink w:history="0" w:anchor="P15529" w:tooltip="1)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законом от 02.12.1990 N 395-1 &quot;О банках и банковской деятельности&quot;;">
        <w:r>
          <w:rPr>
            <w:sz w:val="20"/>
            <w:color w:val="0000ff"/>
          </w:rPr>
          <w:t xml:space="preserve">подпунктом 1 пункта 1</w:t>
        </w:r>
      </w:hyperlink>
      <w:r>
        <w:rPr>
          <w:sz w:val="20"/>
        </w:rPr>
        <w:t xml:space="preserve"> Порядка, планирующие предоставление кредитов по льготной процентной ставке субъектам МСП.</w:t>
      </w:r>
    </w:p>
    <w:p>
      <w:pPr>
        <w:pStyle w:val="0"/>
        <w:spacing w:before="200" w:line-rule="auto"/>
        <w:ind w:firstLine="540"/>
        <w:jc w:val="both"/>
      </w:pPr>
      <w:r>
        <w:rPr>
          <w:sz w:val="20"/>
        </w:rPr>
        <w:t xml:space="preserve">Критерии отбора:</w:t>
      </w:r>
    </w:p>
    <w:bookmarkStart w:id="15549" w:name="P15549"/>
    <w:bookmarkEnd w:id="15549"/>
    <w:p>
      <w:pPr>
        <w:pStyle w:val="0"/>
        <w:spacing w:before="200" w:line-rule="auto"/>
        <w:ind w:firstLine="540"/>
        <w:jc w:val="both"/>
      </w:pPr>
      <w:r>
        <w:rPr>
          <w:sz w:val="20"/>
        </w:rPr>
        <w:t xml:space="preserve">1) наличие у кредитной организации лицензии на осуществление банковских операций, выданной Центральным банком Российской Федерации;</w:t>
      </w:r>
    </w:p>
    <w:p>
      <w:pPr>
        <w:pStyle w:val="0"/>
        <w:spacing w:before="200" w:line-rule="auto"/>
        <w:ind w:firstLine="540"/>
        <w:jc w:val="both"/>
      </w:pPr>
      <w:r>
        <w:rPr>
          <w:sz w:val="20"/>
        </w:rPr>
        <w:t xml:space="preserve">2) наличие у кредитной организации на территории Московской области и (или) города Москвы по состоянию на 1 число месяца, в котором подана заявка, внутренних структурных подразделений: дополнительных офисов, кредитно-кассовых офисов, операционных офисов;</w:t>
      </w:r>
    </w:p>
    <w:bookmarkStart w:id="15551" w:name="P15551"/>
    <w:bookmarkEnd w:id="15551"/>
    <w:p>
      <w:pPr>
        <w:pStyle w:val="0"/>
        <w:spacing w:before="200" w:line-rule="auto"/>
        <w:ind w:firstLine="540"/>
        <w:jc w:val="both"/>
      </w:pPr>
      <w:r>
        <w:rPr>
          <w:sz w:val="20"/>
        </w:rPr>
        <w:t xml:space="preserve">3) соблюдение кредитной организацией на 1 число месяца, предшествующего месяцу, в котором подана заявка, установленных Центральным банком Российской Федерации обязательных нормативов;</w:t>
      </w:r>
    </w:p>
    <w:bookmarkStart w:id="15552" w:name="P15552"/>
    <w:bookmarkEnd w:id="15552"/>
    <w:p>
      <w:pPr>
        <w:pStyle w:val="0"/>
        <w:spacing w:before="200" w:line-rule="auto"/>
        <w:ind w:firstLine="540"/>
        <w:jc w:val="both"/>
      </w:pPr>
      <w:r>
        <w:rPr>
          <w:sz w:val="20"/>
        </w:rPr>
        <w:t xml:space="preserve">4)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являющихся дочерними обществами акционерного общества "Федеральная корпорация по развитию малого и среднего предпринимательства", либо имеющих статус банка с базовой лицензией:</w:t>
      </w:r>
    </w:p>
    <w:p>
      <w:pPr>
        <w:pStyle w:val="0"/>
        <w:spacing w:before="200" w:line-rule="auto"/>
        <w:ind w:firstLine="540"/>
        <w:jc w:val="both"/>
      </w:pPr>
      <w:r>
        <w:rPr>
          <w:sz w:val="20"/>
        </w:rPr>
        <w:t xml:space="preserve">наличие опыта ведения деятельности по кредитованию субъектов МСП в течение 24 месяцев по состоянию на 1 число месяца, предшествующего месяцу, в котором подана заявка;</w:t>
      </w:r>
    </w:p>
    <w:p>
      <w:pPr>
        <w:pStyle w:val="0"/>
        <w:spacing w:before="200" w:line-rule="auto"/>
        <w:ind w:firstLine="540"/>
        <w:jc w:val="both"/>
      </w:pPr>
      <w:r>
        <w:rPr>
          <w:sz w:val="20"/>
        </w:rPr>
        <w:t xml:space="preserve">наличие на 1 число месяца, предшествующего месяцу, в котором подана заявка, в штате кредитной организации работников либо отдельного структурного подразделения, осуществляющего кредитование субъектов МСП и мониторинг предоставленных кредитов, включая мониторинг целевого использования кредитных средств;</w:t>
      </w:r>
    </w:p>
    <w:p>
      <w:pPr>
        <w:pStyle w:val="0"/>
        <w:spacing w:before="200" w:line-rule="auto"/>
        <w:ind w:firstLine="540"/>
        <w:jc w:val="both"/>
      </w:pPr>
      <w:r>
        <w:rPr>
          <w:sz w:val="20"/>
        </w:rPr>
        <w:t xml:space="preserve">5)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рублей до 100 млрд рублей включительно, дополнительно к требованиям, предусмотренным </w:t>
      </w:r>
      <w:hyperlink w:history="0" w:anchor="P15549" w:tooltip="1) наличие у кредитной организации лицензии на осуществление банковских операций, выданной Центральным банком Российской Федерации;">
        <w:r>
          <w:rPr>
            <w:sz w:val="20"/>
            <w:color w:val="0000ff"/>
          </w:rPr>
          <w:t xml:space="preserve">подпунктом 1</w:t>
        </w:r>
      </w:hyperlink>
      <w:r>
        <w:rPr>
          <w:sz w:val="20"/>
        </w:rPr>
        <w:t xml:space="preserve"> настоящего пункта, соответствие кредитной организации одному из следующих критериев:</w:t>
      </w:r>
    </w:p>
    <w:p>
      <w:pPr>
        <w:pStyle w:val="0"/>
        <w:spacing w:before="200" w:line-rule="auto"/>
        <w:ind w:firstLine="540"/>
        <w:jc w:val="both"/>
      </w:pPr>
      <w:r>
        <w:rPr>
          <w:sz w:val="20"/>
        </w:rPr>
        <w:t xml:space="preserve">доля кредитов субъектов МСП и банковских гарантий, выданных по обязательствам субъектов МСП, в совокупном объеме кредитов нефинансовым организациям и индивидуальным предпринимателям и банковских гарантий, выданных по обязательствам указанных лиц (далее - корпоративный кредитный портфель), на 1 число месяца, предшествующего месяцу, в котором подана заявка, составляет не менее 15 процентов;</w:t>
      </w:r>
    </w:p>
    <w:p>
      <w:pPr>
        <w:pStyle w:val="0"/>
        <w:spacing w:before="200" w:line-rule="auto"/>
        <w:ind w:firstLine="540"/>
        <w:jc w:val="both"/>
      </w:pPr>
      <w:r>
        <w:rPr>
          <w:sz w:val="20"/>
        </w:rPr>
        <w:t xml:space="preserve">прирост суммы кредитов, предоставленных субъектам МСП, и банковских гарантий, выданных по обязательствам субъектов МСП, за предшествующий календарный год равен или превышает прирост суммы кредитов и банковских гарантий корпоративного кредитного портфеля за аналогичный отчетный период;</w:t>
      </w:r>
    </w:p>
    <w:bookmarkStart w:id="15558" w:name="P15558"/>
    <w:bookmarkEnd w:id="15558"/>
    <w:p>
      <w:pPr>
        <w:pStyle w:val="0"/>
        <w:spacing w:before="200" w:line-rule="auto"/>
        <w:ind w:firstLine="540"/>
        <w:jc w:val="both"/>
      </w:pPr>
      <w:r>
        <w:rPr>
          <w:sz w:val="20"/>
        </w:rPr>
        <w:t xml:space="preserve">6)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w:t>
      </w:r>
      <w:hyperlink w:history="0" w:anchor="P15549" w:tooltip="1) наличие у кредитной организации лицензии на осуществление банковских операций, выданной Центральным банком Российской Федерации;">
        <w:r>
          <w:rPr>
            <w:sz w:val="20"/>
            <w:color w:val="0000ff"/>
          </w:rPr>
          <w:t xml:space="preserve">подпунктом 1</w:t>
        </w:r>
      </w:hyperlink>
      <w:r>
        <w:rPr>
          <w:sz w:val="20"/>
        </w:rPr>
        <w:t xml:space="preserve"> настоящего пункта, соответствие кредитной организации одному из следующих критериев:</w:t>
      </w:r>
    </w:p>
    <w:p>
      <w:pPr>
        <w:pStyle w:val="0"/>
        <w:spacing w:before="200" w:line-rule="auto"/>
        <w:ind w:firstLine="540"/>
        <w:jc w:val="both"/>
      </w:pPr>
      <w:r>
        <w:rPr>
          <w:sz w:val="20"/>
        </w:rPr>
        <w:t xml:space="preserve">доля кредитов субъектов МСП и банковских гарантий, выданных по обязательствам субъектов МСП, в корпоративном кредитном портфеле составляет на 1 число месяца, предшествующего месяцу, в котором подана заявка, не менее 50 процентов;</w:t>
      </w:r>
    </w:p>
    <w:p>
      <w:pPr>
        <w:pStyle w:val="0"/>
        <w:spacing w:before="200" w:line-rule="auto"/>
        <w:ind w:firstLine="540"/>
        <w:jc w:val="both"/>
      </w:pPr>
      <w:r>
        <w:rPr>
          <w:sz w:val="20"/>
        </w:rPr>
        <w:t xml:space="preserve">объем кредитов субъектов МСП и банковских гарантий, выданных по обязательствам субъектов МСП, в корпоративном кредитном портфеле на 1 число месяца, предшествующего месяцу, в котором подана заявка, составляет не менее 10 млрд рублей.</w:t>
      </w:r>
    </w:p>
    <w:p>
      <w:pPr>
        <w:pStyle w:val="0"/>
        <w:spacing w:before="200" w:line-rule="auto"/>
        <w:ind w:firstLine="540"/>
        <w:jc w:val="both"/>
      </w:pPr>
      <w:r>
        <w:rPr>
          <w:sz w:val="20"/>
        </w:rPr>
        <w:t xml:space="preserve">Если кредитная организация является получателем субсидии в соответствии с Правилами N 1764, такая кредитная организация признается соответствующей критериям, установленным </w:t>
      </w:r>
      <w:hyperlink w:history="0" w:anchor="P15549" w:tooltip="1) наличие у кредитной организации лицензии на осуществление банковских операций, выданной Центральным банком Российской Федерации;">
        <w:r>
          <w:rPr>
            <w:sz w:val="20"/>
            <w:color w:val="0000ff"/>
          </w:rPr>
          <w:t xml:space="preserve">подпунктами 1</w:t>
        </w:r>
      </w:hyperlink>
      <w:r>
        <w:rPr>
          <w:sz w:val="20"/>
        </w:rPr>
        <w:t xml:space="preserve">, </w:t>
      </w:r>
      <w:hyperlink w:history="0" w:anchor="P15551" w:tooltip="3) соблюдение кредитной организацией на 1 число месяца, предшествующего месяцу, в котором подана заявка, установленных Центральным банком Российской Федерации обязательных нормативов;">
        <w:r>
          <w:rPr>
            <w:sz w:val="20"/>
            <w:color w:val="0000ff"/>
          </w:rPr>
          <w:t xml:space="preserve">3</w:t>
        </w:r>
      </w:hyperlink>
      <w:r>
        <w:rPr>
          <w:sz w:val="20"/>
        </w:rPr>
        <w:t xml:space="preserve">-</w:t>
      </w:r>
      <w:hyperlink w:history="0" w:anchor="P15558" w:tooltip="6)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подпунктом 1 настоящего пункта, соответствие кредитной организации одному из следующих критериев:">
        <w:r>
          <w:rPr>
            <w:sz w:val="20"/>
            <w:color w:val="0000ff"/>
          </w:rPr>
          <w:t xml:space="preserve">6</w:t>
        </w:r>
      </w:hyperlink>
      <w:r>
        <w:rPr>
          <w:sz w:val="20"/>
        </w:rPr>
        <w:t xml:space="preserve"> настоящего пункта, </w:t>
      </w:r>
      <w:hyperlink w:history="0" w:anchor="P15587"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
        <w:r>
          <w:rPr>
            <w:sz w:val="20"/>
            <w:color w:val="0000ff"/>
          </w:rPr>
          <w:t xml:space="preserve">подпунктами 1</w:t>
        </w:r>
      </w:hyperlink>
      <w:r>
        <w:rPr>
          <w:sz w:val="20"/>
        </w:rPr>
        <w:t xml:space="preserve"> и </w:t>
      </w:r>
      <w:hyperlink w:history="0" w:anchor="P15592" w:tooltip="6) участник отбора не находится в процессе реорганизации (за исключением реорганизации в форме присоединения к другим юридическим лицам), ликвидации, введения в ее отношении процедуры банкротства, приостановления ее деятельности в порядке, предусмотренном законодательством Российской Федерации;">
        <w:r>
          <w:rPr>
            <w:sz w:val="20"/>
            <w:color w:val="0000ff"/>
          </w:rPr>
          <w:t xml:space="preserve">6 пункта 11</w:t>
        </w:r>
      </w:hyperlink>
      <w:r>
        <w:rPr>
          <w:sz w:val="20"/>
        </w:rPr>
        <w:t xml:space="preserve"> Порядка и не представляет документы, подтверждающие соответствие указанным критериям и требованиям.</w:t>
      </w:r>
    </w:p>
    <w:p>
      <w:pPr>
        <w:pStyle w:val="0"/>
        <w:spacing w:before="200" w:line-rule="auto"/>
        <w:ind w:firstLine="540"/>
        <w:jc w:val="both"/>
      </w:pPr>
      <w:r>
        <w:rPr>
          <w:sz w:val="20"/>
        </w:rPr>
        <w:t xml:space="preserve">10. Министерство издает приказ об объявлении приема заявок на предоставление субсидии (далее - приказ о проведении отбора), в котором устанавливается:</w:t>
      </w:r>
    </w:p>
    <w:p>
      <w:pPr>
        <w:pStyle w:val="0"/>
        <w:spacing w:before="200" w:line-rule="auto"/>
        <w:ind w:firstLine="540"/>
        <w:jc w:val="both"/>
      </w:pPr>
      <w:r>
        <w:rPr>
          <w:sz w:val="20"/>
        </w:rPr>
        <w:t xml:space="preserve">дата и время начала подачи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отбора;</w:t>
      </w:r>
    </w:p>
    <w:p>
      <w:pPr>
        <w:pStyle w:val="0"/>
        <w:spacing w:before="200" w:line-rule="auto"/>
        <w:ind w:firstLine="540"/>
        <w:jc w:val="both"/>
      </w:pPr>
      <w:r>
        <w:rPr>
          <w:sz w:val="20"/>
        </w:rPr>
        <w:t xml:space="preserve">период возмещения недополученных доходов.</w:t>
      </w:r>
    </w:p>
    <w:p>
      <w:pPr>
        <w:pStyle w:val="0"/>
        <w:spacing w:before="200" w:line-rule="auto"/>
        <w:ind w:firstLine="540"/>
        <w:jc w:val="both"/>
      </w:pPr>
      <w:r>
        <w:rPr>
          <w:sz w:val="20"/>
        </w:rPr>
        <w:t xml:space="preserve">В целях проведения отбора Министерство формирует объявление о проведении отбора, которое подписывается руководителем Министерства (или уполномоченным им лицом) и размещается в Информационной системе не ранее дня размещения информации о субсидии в соответствии с </w:t>
      </w:r>
      <w:hyperlink w:history="0" w:anchor="P15539"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3 рабочих дней до наступления даты начала приема заявок.</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даты начала подачи и окончания приема заявок участников отбора (далее - заявка), при этом дата окончания приема заявок не может быть ранее 10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4) результат предоставления субсидии в соответствии с </w:t>
      </w:r>
      <w:hyperlink w:history="0" w:anchor="P15849" w:tooltip="49. Результатом предоставления субсидии является объем кредитов по заключенным получателем субсидии с заемщиками кредитным договорам по льготной ставке.">
        <w:r>
          <w:rPr>
            <w:sz w:val="20"/>
            <w:color w:val="0000ff"/>
          </w:rPr>
          <w:t xml:space="preserve">пунктом 49</w:t>
        </w:r>
      </w:hyperlink>
      <w:r>
        <w:rPr>
          <w:sz w:val="20"/>
        </w:rPr>
        <w:t xml:space="preserve"> Порядка;</w:t>
      </w:r>
    </w:p>
    <w:p>
      <w:pPr>
        <w:pStyle w:val="0"/>
        <w:spacing w:before="200" w:line-rule="auto"/>
        <w:ind w:firstLine="540"/>
        <w:jc w:val="both"/>
      </w:pPr>
      <w:r>
        <w:rPr>
          <w:sz w:val="20"/>
        </w:rPr>
        <w:t xml:space="preserve">5) доменное имя и (или) указатель страниц Информационной системы;</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категория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w:t>
      </w:r>
    </w:p>
    <w:p>
      <w:pPr>
        <w:pStyle w:val="0"/>
        <w:spacing w:before="200" w:line-rule="auto"/>
        <w:ind w:firstLine="540"/>
        <w:jc w:val="both"/>
      </w:pPr>
      <w:r>
        <w:rPr>
          <w:sz w:val="20"/>
        </w:rPr>
        <w:t xml:space="preserve">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(документа об итогах отбора) в Информационной системе и на официальном сайте Министерства (</w:t>
      </w:r>
      <w:hyperlink w:history="0" r:id="rId690">
        <w:r>
          <w:rPr>
            <w:sz w:val="20"/>
            <w:color w:val="0000ff"/>
          </w:rPr>
          <w:t xml:space="preserve">https://mii.mosreg.ru</w:t>
        </w:r>
      </w:hyperlink>
      <w:r>
        <w:rPr>
          <w:sz w:val="20"/>
        </w:rPr>
        <w:t xml:space="preserve">), которые не могут быть позднее 14 календарного дня, следующего за днем определения победителя отбора.</w:t>
      </w:r>
    </w:p>
    <w:p>
      <w:pPr>
        <w:pStyle w:val="0"/>
        <w:spacing w:before="200" w:line-rule="auto"/>
        <w:ind w:firstLine="540"/>
        <w:jc w:val="both"/>
      </w:pPr>
      <w:r>
        <w:rPr>
          <w:sz w:val="20"/>
        </w:rPr>
        <w:t xml:space="preserve">Информация о странице сайта, на котором размещается объявление о проведении отбора, о его отмене, информация о ходе и результатах отбора, публикуется на едином портале.</w:t>
      </w:r>
    </w:p>
    <w:bookmarkStart w:id="15586" w:name="P15586"/>
    <w:bookmarkEnd w:id="15586"/>
    <w:p>
      <w:pPr>
        <w:pStyle w:val="0"/>
        <w:spacing w:before="200" w:line-rule="auto"/>
        <w:ind w:firstLine="540"/>
        <w:jc w:val="both"/>
      </w:pPr>
      <w:r>
        <w:rPr>
          <w:sz w:val="20"/>
        </w:rPr>
        <w:t xml:space="preserve">11. Требования к участникам отбора, которым они должны соответствовать на даты рассмотрения заявки и заключения Соглашения:</w:t>
      </w:r>
    </w:p>
    <w:bookmarkStart w:id="15587" w:name="P15587"/>
    <w:bookmarkEnd w:id="15587"/>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69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15590" w:name="P15590"/>
    <w:bookmarkEnd w:id="15590"/>
    <w:p>
      <w:pPr>
        <w:pStyle w:val="0"/>
        <w:spacing w:before="200" w:line-rule="auto"/>
        <w:ind w:firstLine="540"/>
        <w:jc w:val="both"/>
      </w:pPr>
      <w:r>
        <w:rPr>
          <w:sz w:val="20"/>
        </w:rPr>
        <w:t xml:space="preserve">4) 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w:t>
      </w:r>
      <w:hyperlink w:history="0" w:anchor="P15538" w:tooltip="5. Целью предоставления субсидии является возмещение недополученных доходов получателя субсидии, связанных с предоставлением кредитов по льготной процентной ставке субъектам малого и среднего предпринимательства.">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692"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5592" w:name="P15592"/>
    <w:bookmarkEnd w:id="15592"/>
    <w:p>
      <w:pPr>
        <w:pStyle w:val="0"/>
        <w:spacing w:before="200" w:line-rule="auto"/>
        <w:ind w:firstLine="540"/>
        <w:jc w:val="both"/>
      </w:pPr>
      <w:r>
        <w:rPr>
          <w:sz w:val="20"/>
        </w:rPr>
        <w:t xml:space="preserve">6) участник отбора не находится в процессе реорганизации (за исключением реорганизации в форме присоединения к другим юридическим лицам), ликвидации, введения в ее отношении процедуры банкротства, приостановления ее деятельности в порядке, предусмотренном законодательством Российской Федерации;</w:t>
      </w:r>
    </w:p>
    <w:bookmarkStart w:id="15593" w:name="P15593"/>
    <w:bookmarkEnd w:id="15593"/>
    <w:p>
      <w:pPr>
        <w:pStyle w:val="0"/>
        <w:spacing w:before="200" w:line-rule="auto"/>
        <w:ind w:firstLine="540"/>
        <w:jc w:val="both"/>
      </w:pPr>
      <w:r>
        <w:rPr>
          <w:sz w:val="20"/>
        </w:rPr>
        <w:t xml:space="preserve">7) участник отбора не имеет просроченной задолженности по возврату в бюджет Московской области субсидии, бюджетных инвестиций, а также иной просроченной (неурегулированной) задолженности по денежным обязательствам перед Московской областью;</w:t>
      </w:r>
    </w:p>
    <w:p>
      <w:pPr>
        <w:pStyle w:val="0"/>
        <w:spacing w:before="200" w:line-rule="auto"/>
        <w:ind w:firstLine="540"/>
        <w:jc w:val="both"/>
      </w:pPr>
      <w:r>
        <w:rPr>
          <w:sz w:val="20"/>
        </w:rPr>
        <w:t xml:space="preserve">8) на едином налоговом счете участника отбора отсутствует или не превышает размер, определенный </w:t>
      </w:r>
      <w:hyperlink w:history="0" r:id="rId693"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w:t>
      </w:r>
    </w:p>
    <w:p>
      <w:pPr>
        <w:pStyle w:val="0"/>
        <w:spacing w:before="200" w:line-rule="auto"/>
        <w:ind w:firstLine="540"/>
        <w:jc w:val="both"/>
      </w:pPr>
      <w:r>
        <w:rPr>
          <w:sz w:val="20"/>
        </w:rPr>
        <w:t xml:space="preserve">10) участник отбора соответствует установленным законодательством Российской Федерации и иными нормативными правовыми актами Российской Федерации требованиям (наличие лицензии, аккредитации;</w:t>
      </w:r>
    </w:p>
    <w:p>
      <w:pPr>
        <w:pStyle w:val="0"/>
        <w:spacing w:before="200" w:line-rule="auto"/>
        <w:ind w:firstLine="540"/>
        <w:jc w:val="both"/>
      </w:pPr>
      <w:r>
        <w:rPr>
          <w:sz w:val="20"/>
        </w:rPr>
        <w:t xml:space="preserve">11) участник отбора соответствует категории и критериям отбора, установленным </w:t>
      </w:r>
      <w:hyperlink w:history="0" w:anchor="P15547" w:tooltip="9. Категория отбора: кредитные организации, предусмотренные подпунктом 1 пункта 1 Порядка, планирующие предоставление кредитов по льготной процентной ставке субъектам МСП.">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12) участник отбора представил план-график предоставления кредитов субъектам МСП по льготной процентной ставке.</w:t>
      </w:r>
    </w:p>
    <w:p>
      <w:pPr>
        <w:pStyle w:val="0"/>
        <w:spacing w:before="200" w:line-rule="auto"/>
        <w:ind w:firstLine="540"/>
        <w:jc w:val="both"/>
      </w:pPr>
      <w:r>
        <w:rPr>
          <w:sz w:val="20"/>
        </w:rPr>
        <w:t xml:space="preserve">12. Представление в Министерство заявки и документов, подтверждающих соответствие участников отбора требованиям, установленным Порядком, осуществляется с использованием Информационной системы путем заполнения соответствующих экранных форм веб-интерфейса и предоставления в Информационную систему электронных документов, а также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p>
      <w:pPr>
        <w:pStyle w:val="0"/>
        <w:spacing w:before="200" w:line-rule="auto"/>
        <w:ind w:firstLine="540"/>
        <w:jc w:val="both"/>
      </w:pPr>
      <w:r>
        <w:rPr>
          <w:sz w:val="20"/>
        </w:rPr>
        <w:t xml:space="preserve">Участник отбора представляет в Министерство следующие документы, подтверждающие соответствие участника отбора требованиям, установленным Порядком:</w:t>
      </w:r>
    </w:p>
    <w:bookmarkStart w:id="15601" w:name="P15601"/>
    <w:bookmarkEnd w:id="15601"/>
    <w:p>
      <w:pPr>
        <w:pStyle w:val="0"/>
        <w:spacing w:before="200" w:line-rule="auto"/>
        <w:ind w:firstLine="540"/>
        <w:jc w:val="both"/>
      </w:pPr>
      <w:r>
        <w:rPr>
          <w:sz w:val="20"/>
        </w:rPr>
        <w:t xml:space="preserve">1) учредительные документы кредитной организации;</w:t>
      </w:r>
    </w:p>
    <w:p>
      <w:pPr>
        <w:pStyle w:val="0"/>
        <w:spacing w:before="200" w:line-rule="auto"/>
        <w:ind w:firstLine="540"/>
        <w:jc w:val="both"/>
      </w:pPr>
      <w:r>
        <w:rPr>
          <w:sz w:val="20"/>
        </w:rPr>
        <w:t xml:space="preserve">2) лицензию на осуществление банковских операций, выданная Центральным банком Российской Федерации;</w:t>
      </w:r>
    </w:p>
    <w:bookmarkStart w:id="15603" w:name="P15603"/>
    <w:bookmarkEnd w:id="15603"/>
    <w:p>
      <w:pPr>
        <w:pStyle w:val="0"/>
        <w:spacing w:before="200" w:line-rule="auto"/>
        <w:ind w:firstLine="540"/>
        <w:jc w:val="both"/>
      </w:pPr>
      <w:r>
        <w:rPr>
          <w:sz w:val="20"/>
        </w:rPr>
        <w:t xml:space="preserve">3) отчетность по форме, утвержденной Центральным банком Российской Федерации, содержащую информацию об обязательных нормативах и о других показателях деятельности кредитной организации, по состоянию на 1 число месяца, предшествующего месяцу подачи заявки, подписанную руководителем кредитной организации или уполномоченным лицом и заверенную печатью кредитной организации;</w:t>
      </w:r>
    </w:p>
    <w:p>
      <w:pPr>
        <w:pStyle w:val="0"/>
        <w:spacing w:before="200" w:line-rule="auto"/>
        <w:ind w:firstLine="540"/>
        <w:jc w:val="both"/>
      </w:pPr>
      <w:r>
        <w:rPr>
          <w:sz w:val="20"/>
        </w:rPr>
        <w:t xml:space="preserve">4) справку о наличии у кредитной организации на территории Московской области внутренних структурных подразделений (дополнительные офисы, кредитно-кассовые офисы, операционные офисы) и их количестве, подписанную руководителем кредитной организации или уполномоченным лицом и главным бухгалтером кредитной организации, заверенную печатью кредитной организации;</w:t>
      </w:r>
    </w:p>
    <w:bookmarkStart w:id="15605" w:name="P15605"/>
    <w:bookmarkEnd w:id="15605"/>
    <w:p>
      <w:pPr>
        <w:pStyle w:val="0"/>
        <w:spacing w:before="200" w:line-rule="auto"/>
        <w:ind w:firstLine="540"/>
        <w:jc w:val="both"/>
      </w:pPr>
      <w:r>
        <w:rPr>
          <w:sz w:val="20"/>
        </w:rPr>
        <w:t xml:space="preserve">5) положение о структурном подразделении кредитной организации, осуществляющем кредитование субъектов МСП и мониторинг предоставленных кредитов, включая мониторинг целевого использования кредитных средств (при наличии отдельного структурного подразделения), подписанное руководителем кредитной организации или уполномоченным лицом и заверенная печатью кредитной организации;</w:t>
      </w:r>
    </w:p>
    <w:p>
      <w:pPr>
        <w:pStyle w:val="0"/>
        <w:spacing w:before="200" w:line-rule="auto"/>
        <w:ind w:firstLine="540"/>
        <w:jc w:val="both"/>
      </w:pPr>
      <w:r>
        <w:rPr>
          <w:sz w:val="20"/>
        </w:rPr>
        <w:t xml:space="preserve">6) штатное расписание кредитной организации, должностные инструкции работников, осуществляющих предоставление кредитов субъектам МСП и мониторинг предоставленных кредитов, включая мониторинг целевого использования кредитных средств (при отсутствии в кредитной организации отдельного структурного подразделения), подписанные руководителем кредитной организации или уполномоченным лицом и заверенные печатью кредитной организации (для участников отбора, соответствующих критерию отбора, предусмотренному </w:t>
      </w:r>
      <w:hyperlink w:history="0" w:anchor="P15552" w:tooltip="4)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являющихся дочерними обществами акционерного общества &quot;Федеральная корпорация по развитию малого и среднего предпринимательства&quot;, либо имеющих статус банка с базовой лицензией:">
        <w:r>
          <w:rPr>
            <w:sz w:val="20"/>
            <w:color w:val="0000ff"/>
          </w:rPr>
          <w:t xml:space="preserve">подпунктом 4 пункта 9</w:t>
        </w:r>
      </w:hyperlink>
      <w:r>
        <w:rPr>
          <w:sz w:val="20"/>
        </w:rPr>
        <w:t xml:space="preserve"> Порядка);</w:t>
      </w:r>
    </w:p>
    <w:p>
      <w:pPr>
        <w:pStyle w:val="0"/>
        <w:spacing w:before="200" w:line-rule="auto"/>
        <w:ind w:firstLine="540"/>
        <w:jc w:val="both"/>
      </w:pPr>
      <w:r>
        <w:rPr>
          <w:sz w:val="20"/>
        </w:rPr>
        <w:t xml:space="preserve">7) отчетность кредитной организации для расчета собственных средств (капитала) по форме, утвержденной Центральным банком Российской Федерации, по состоянию на первое число месяца, предшествующего месяцу подачи заявки, подписанную руководителем кредитной организации или уполномоченным лицом и заверенную печатью кредитной организации (для участников отбора, соответствующих критерию отбора, предусмотренному </w:t>
      </w:r>
      <w:hyperlink w:history="0" w:anchor="P15552" w:tooltip="4)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являющихся дочерними обществами акционерного общества &quot;Федеральная корпорация по развитию малого и среднего предпринимательства&quot;, либо имеющих статус банка с базовой лицензией:">
        <w:r>
          <w:rPr>
            <w:sz w:val="20"/>
            <w:color w:val="0000ff"/>
          </w:rPr>
          <w:t xml:space="preserve">подпунктом 4 пункта 9</w:t>
        </w:r>
      </w:hyperlink>
      <w:r>
        <w:rPr>
          <w:sz w:val="20"/>
        </w:rPr>
        <w:t xml:space="preserve"> Порядка);</w:t>
      </w:r>
    </w:p>
    <w:bookmarkStart w:id="15608" w:name="P15608"/>
    <w:bookmarkEnd w:id="15608"/>
    <w:p>
      <w:pPr>
        <w:pStyle w:val="0"/>
        <w:spacing w:before="200" w:line-rule="auto"/>
        <w:ind w:firstLine="540"/>
        <w:jc w:val="both"/>
      </w:pPr>
      <w:r>
        <w:rPr>
          <w:sz w:val="20"/>
        </w:rPr>
        <w:t xml:space="preserve">8) справку, составленную по состоянию на 1 число месяца, в котором подана заявка, подписанную руководителем кредитной организации или уполномоченным лицом и главным бухгалтером кредитной организации, заверенную печатью кредитной организации, с информацией об опыте ведения деятельности по кредитованию субъектов МСП в течение 24 месяцев по состоянию на 1 число месяца, предшествующего месяцу, в котором подана заявка, содержащая сведения об объеме корпоративного кредитного портфеля кредитной организации на начало и конец каждого 12-месячного периода с указанием объема и доли кредитов, предоставленных заемщикам, и банковских гарантий, выданных по обязательствам субъектов МСП, в корпоративном кредитном портфеле (для участников отбора, соответствующих критерию отбора, предусмотренному </w:t>
      </w:r>
      <w:hyperlink w:history="0" w:anchor="P15552" w:tooltip="4) для кредитных организаций, у которых на 1 число месяца, предшествующего месяцу, в котором подана заявка,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являющихся дочерними обществами акционерного общества &quot;Федеральная корпорация по развитию малого и среднего предпринимательства&quot;, либо имеющих статус банка с базовой лицензией:">
        <w:r>
          <w:rPr>
            <w:sz w:val="20"/>
            <w:color w:val="0000ff"/>
          </w:rPr>
          <w:t xml:space="preserve">подпунктом 4 пункта 9</w:t>
        </w:r>
      </w:hyperlink>
      <w:r>
        <w:rPr>
          <w:sz w:val="20"/>
        </w:rPr>
        <w:t xml:space="preserve"> Порядка);</w:t>
      </w:r>
    </w:p>
    <w:p>
      <w:pPr>
        <w:pStyle w:val="0"/>
        <w:spacing w:before="200" w:line-rule="auto"/>
        <w:ind w:firstLine="540"/>
        <w:jc w:val="both"/>
      </w:pPr>
      <w:r>
        <w:rPr>
          <w:sz w:val="20"/>
        </w:rPr>
        <w:t xml:space="preserve">9) плановый объем предоставления кредитов субъектам МСП по льготной процентной ставке в соответствующем финансовом году, в том числе план-график их предоставления, по форме, утверждаемой Министерством и указанной в объявлении о проведении отбора;</w:t>
      </w:r>
    </w:p>
    <w:p>
      <w:pPr>
        <w:pStyle w:val="0"/>
        <w:spacing w:before="200" w:line-rule="auto"/>
        <w:ind w:firstLine="540"/>
        <w:jc w:val="both"/>
      </w:pPr>
      <w:r>
        <w:rPr>
          <w:sz w:val="20"/>
        </w:rPr>
        <w:t xml:space="preserve">10) гарантийное письмо, подтверждающее соответствие участника отбора требованиям, указанным в </w:t>
      </w:r>
      <w:hyperlink w:history="0" w:anchor="P15590" w:tooltip="4) 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подпунктах 4</w:t>
        </w:r>
      </w:hyperlink>
      <w:r>
        <w:rPr>
          <w:sz w:val="20"/>
        </w:rPr>
        <w:t xml:space="preserve">, </w:t>
      </w:r>
      <w:hyperlink w:history="0" w:anchor="P15592" w:tooltip="6) участник отбора не находится в процессе реорганизации (за исключением реорганизации в форме присоединения к другим юридическим лицам), ликвидации, введения в ее отношении процедуры банкротства, приостановления ее деятельности в порядке, предусмотренном законодательством Российской Федерации;">
        <w:r>
          <w:rPr>
            <w:sz w:val="20"/>
            <w:color w:val="0000ff"/>
          </w:rPr>
          <w:t xml:space="preserve">6</w:t>
        </w:r>
      </w:hyperlink>
      <w:r>
        <w:rPr>
          <w:sz w:val="20"/>
        </w:rPr>
        <w:t xml:space="preserve"> и </w:t>
      </w:r>
      <w:hyperlink w:history="0" w:anchor="P15593" w:tooltip="7) участник отбора не имеет просроченной задолженности по возврату в бюджет Московской области субсидии, бюджетных инвестиций, а также иной просроченной (неурегулированной) задолженности по денежным обязательствам перед Московской областью;">
        <w:r>
          <w:rPr>
            <w:sz w:val="20"/>
            <w:color w:val="0000ff"/>
          </w:rPr>
          <w:t xml:space="preserve">7 пункта 11</w:t>
        </w:r>
      </w:hyperlink>
      <w:r>
        <w:rPr>
          <w:sz w:val="20"/>
        </w:rPr>
        <w:t xml:space="preserve"> Порядка, подписанное руководителем участника отбора или иным уполномоченным лицом, заверенное печатью.</w:t>
      </w:r>
    </w:p>
    <w:p>
      <w:pPr>
        <w:pStyle w:val="0"/>
        <w:spacing w:before="200" w:line-rule="auto"/>
        <w:ind w:firstLine="540"/>
        <w:jc w:val="both"/>
      </w:pPr>
      <w:r>
        <w:rPr>
          <w:sz w:val="20"/>
        </w:rPr>
        <w:t xml:space="preserve">Документы, указанные в </w:t>
      </w:r>
      <w:hyperlink w:history="0" w:anchor="P15601" w:tooltip="1) учредительные документы кредитной организации;">
        <w:r>
          <w:rPr>
            <w:sz w:val="20"/>
            <w:color w:val="0000ff"/>
          </w:rPr>
          <w:t xml:space="preserve">подпунктах 1</w:t>
        </w:r>
      </w:hyperlink>
      <w:r>
        <w:rPr>
          <w:sz w:val="20"/>
        </w:rPr>
        <w:t xml:space="preserve">-</w:t>
      </w:r>
      <w:hyperlink w:history="0" w:anchor="P15603" w:tooltip="3) отчетность по форме, утвержденной Центральным банком Российской Федерации, содержащую информацию об обязательных нормативах и о других показателях деятельности кредитной организации, по состоянию на 1 число месяца, предшествующего месяцу подачи заявки, подписанную руководителем кредитной организации или уполномоченным лицом и заверенную печатью кредитной организации;">
        <w:r>
          <w:rPr>
            <w:sz w:val="20"/>
            <w:color w:val="0000ff"/>
          </w:rPr>
          <w:t xml:space="preserve">3</w:t>
        </w:r>
      </w:hyperlink>
      <w:r>
        <w:rPr>
          <w:sz w:val="20"/>
        </w:rPr>
        <w:t xml:space="preserve"> и </w:t>
      </w:r>
      <w:hyperlink w:history="0" w:anchor="P15605" w:tooltip="5) положение о структурном подразделении кредитной организации, осуществляющем кредитование субъектов МСП и мониторинг предоставленных кредитов, включая мониторинг целевого использования кредитных средств (при наличии отдельного структурного подразделения), подписанное руководителем кредитной организации или уполномоченным лицом и заверенная печатью кредитной организации;">
        <w:r>
          <w:rPr>
            <w:sz w:val="20"/>
            <w:color w:val="0000ff"/>
          </w:rPr>
          <w:t xml:space="preserve">5</w:t>
        </w:r>
      </w:hyperlink>
      <w:r>
        <w:rPr>
          <w:sz w:val="20"/>
        </w:rPr>
        <w:t xml:space="preserve">-</w:t>
      </w:r>
      <w:hyperlink w:history="0" w:anchor="P15608" w:tooltip="8) справку, составленную по состоянию на 1 число месяца, в котором подана заявка, подписанную руководителем кредитной организации или уполномоченным лицом и главным бухгалтером кредитной организации, заверенную печатью кредитной организации, с информацией об опыте ведения деятельности по кредитованию субъектов МСП в течение 24 месяцев по состоянию на 1 число месяца, предшествующего месяцу, в котором подана заявка, содержащая сведения об объеме корпоративного кредитного портфеля кредитной организации на н...">
        <w:r>
          <w:rPr>
            <w:sz w:val="20"/>
            <w:color w:val="0000ff"/>
          </w:rPr>
          <w:t xml:space="preserve">8</w:t>
        </w:r>
      </w:hyperlink>
      <w:r>
        <w:rPr>
          <w:sz w:val="20"/>
        </w:rPr>
        <w:t xml:space="preserve"> настоящего пункта, не представляются, если кредитная организация является получателем субсидии в соответствии с Правилами N 1764.</w:t>
      </w:r>
    </w:p>
    <w:bookmarkStart w:id="15612" w:name="P15612"/>
    <w:bookmarkEnd w:id="15612"/>
    <w:p>
      <w:pPr>
        <w:pStyle w:val="0"/>
        <w:spacing w:before="200" w:line-rule="auto"/>
        <w:ind w:firstLine="540"/>
        <w:jc w:val="both"/>
      </w:pPr>
      <w:r>
        <w:rPr>
          <w:sz w:val="20"/>
        </w:rPr>
        <w:t xml:space="preserve">13.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отбора, и формируется участником отбора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документ, подтверждающий полномочия лица, подписавшего заявку;</w:t>
      </w:r>
    </w:p>
    <w:p>
      <w:pPr>
        <w:pStyle w:val="0"/>
        <w:spacing w:before="200" w:line-rule="auto"/>
        <w:ind w:firstLine="540"/>
        <w:jc w:val="both"/>
      </w:pPr>
      <w:r>
        <w:rPr>
          <w:sz w:val="20"/>
        </w:rPr>
        <w:t xml:space="preserve">3) заявка подписывается усиленной квалифицированной электронной подписью руководителя участника отбора или уполномоченного им лица;</w:t>
      </w:r>
    </w:p>
    <w:p>
      <w:pPr>
        <w:pStyle w:val="0"/>
        <w:spacing w:before="200" w:line-rule="auto"/>
        <w:ind w:firstLine="540"/>
        <w:jc w:val="both"/>
      </w:pPr>
      <w:r>
        <w:rPr>
          <w:sz w:val="20"/>
        </w:rPr>
        <w:t xml:space="preserve">4) 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оформленную в соответствии с законодательством Российской Федерации;</w:t>
      </w:r>
    </w:p>
    <w:p>
      <w:pPr>
        <w:pStyle w:val="0"/>
        <w:spacing w:before="200" w:line-rule="auto"/>
        <w:ind w:firstLine="540"/>
        <w:jc w:val="both"/>
      </w:pPr>
      <w:r>
        <w:rPr>
          <w:sz w:val="20"/>
        </w:rPr>
        <w:t xml:space="preserve">5) требования к документам и материалам, включаемым в заявку:</w:t>
      </w:r>
    </w:p>
    <w:p>
      <w:pPr>
        <w:pStyle w:val="0"/>
        <w:spacing w:before="200" w:line-rule="auto"/>
        <w:ind w:firstLine="540"/>
        <w:jc w:val="both"/>
      </w:pPr>
      <w:r>
        <w:rPr>
          <w:sz w:val="20"/>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заявителя или уполномоченного им лица и печатью (при наличии печати);</w:t>
      </w:r>
    </w:p>
    <w:p>
      <w:pPr>
        <w:pStyle w:val="0"/>
        <w:spacing w:before="200" w:line-rule="auto"/>
        <w:ind w:firstLine="540"/>
        <w:jc w:val="both"/>
      </w:pPr>
      <w:r>
        <w:rPr>
          <w:sz w:val="20"/>
        </w:rPr>
        <w:t xml:space="preserve">представленные электронные образы документов (электронных документов) позволяют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электронные образы документов должны быть подписаны усиленной квалифицированной электронной подписью;</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6) ответственность за полноту и достоверность информации, представленной в заявке и прилагаемых к ней документах, несет участник отбора;</w:t>
      </w:r>
    </w:p>
    <w:p>
      <w:pPr>
        <w:pStyle w:val="0"/>
        <w:spacing w:before="200" w:line-rule="auto"/>
        <w:ind w:firstLine="540"/>
        <w:jc w:val="both"/>
      </w:pPr>
      <w:r>
        <w:rPr>
          <w:sz w:val="20"/>
        </w:rPr>
        <w:t xml:space="preserve">7)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отбора участником отбора может быть подана только одна заявка.</w:t>
      </w:r>
    </w:p>
    <w:p>
      <w:pPr>
        <w:pStyle w:val="0"/>
        <w:spacing w:before="200" w:line-rule="auto"/>
        <w:ind w:firstLine="540"/>
        <w:jc w:val="both"/>
      </w:pPr>
      <w:r>
        <w:rPr>
          <w:sz w:val="20"/>
        </w:rPr>
        <w:t xml:space="preserve">14.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history="0" w:anchor="P15612" w:tooltip="13. Требования, предъявляемые к форме и содержанию заявок, представляемых участниками отбора:">
        <w:r>
          <w:rPr>
            <w:sz w:val="20"/>
            <w:color w:val="0000ff"/>
          </w:rPr>
          <w:t xml:space="preserve">пункте 13</w:t>
        </w:r>
      </w:hyperlink>
      <w:r>
        <w:rPr>
          <w:sz w:val="20"/>
        </w:rPr>
        <w:t xml:space="preserve"> Порядка, до окончания срока подачи заявок. При этом регистрация заявки, повторно представленной участником отбора после ее отзыва, будет осуществлена в порядке очередности в день повторного представления заявки на участие в отборе.</w:t>
      </w:r>
    </w:p>
    <w:p>
      <w:pPr>
        <w:pStyle w:val="0"/>
        <w:spacing w:before="200" w:line-rule="auto"/>
        <w:ind w:firstLine="540"/>
        <w:jc w:val="both"/>
      </w:pPr>
      <w:r>
        <w:rPr>
          <w:sz w:val="20"/>
        </w:rPr>
        <w:t xml:space="preserve">При проведении отбора возврат заявок участникам отбора на доработку не предусмотрен.</w:t>
      </w:r>
    </w:p>
    <w:p>
      <w:pPr>
        <w:pStyle w:val="0"/>
        <w:spacing w:before="200" w:line-rule="auto"/>
        <w:ind w:firstLine="540"/>
        <w:jc w:val="both"/>
      </w:pPr>
      <w:r>
        <w:rPr>
          <w:sz w:val="20"/>
        </w:rPr>
        <w:t xml:space="preserve">15. Доступ Министерству к поданным участниками отбора заявкам в Информационной системе для их рассмотрения открывается в день регистрации заявок.</w:t>
      </w:r>
    </w:p>
    <w:p>
      <w:pPr>
        <w:pStyle w:val="0"/>
        <w:spacing w:before="200" w:line-rule="auto"/>
        <w:ind w:firstLine="540"/>
        <w:jc w:val="both"/>
      </w:pPr>
      <w:r>
        <w:rPr>
          <w:sz w:val="20"/>
        </w:rPr>
        <w:t xml:space="preserve">16. Взаимодействие Министерства с участниками отбора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17. Протокол вскрытия заявок формируется на бумажном носителе, подписывается руководителем Министерства (уполномоченным им лицом) и размещается в Информационной системе не позднее 1 рабочего дня, следующего за днем его подписания.</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w:t>
      </w:r>
    </w:p>
    <w:p>
      <w:pPr>
        <w:pStyle w:val="0"/>
        <w:spacing w:before="200" w:line-rule="auto"/>
        <w:ind w:firstLine="540"/>
        <w:jc w:val="both"/>
      </w:pPr>
      <w:r>
        <w:rPr>
          <w:sz w:val="20"/>
        </w:rPr>
        <w:t xml:space="preserve">4) адрес участника отбора;</w:t>
      </w:r>
    </w:p>
    <w:p>
      <w:pPr>
        <w:pStyle w:val="0"/>
        <w:spacing w:before="200" w:line-rule="auto"/>
        <w:ind w:firstLine="540"/>
        <w:jc w:val="both"/>
      </w:pPr>
      <w:r>
        <w:rPr>
          <w:sz w:val="20"/>
        </w:rPr>
        <w:t xml:space="preserve">5) запрашиваемый участником отбора размер субсидии.</w:t>
      </w:r>
    </w:p>
    <w:p>
      <w:pPr>
        <w:pStyle w:val="0"/>
        <w:spacing w:before="200" w:line-rule="auto"/>
        <w:ind w:firstLine="540"/>
        <w:jc w:val="both"/>
      </w:pPr>
      <w:r>
        <w:rPr>
          <w:sz w:val="20"/>
        </w:rPr>
        <w:t xml:space="preserve">18. Министерство в срок, не превышающий 10 рабочих дней со дня окончания приема заявок, рассматривает представленные участниками отбора заявки и документы, проверяет их на предмет соответствия установленным в объявлении о проведении отбора требованиям, категории и критериям отбора и принимает в отношении участников отбора одно из следующих решений:</w:t>
      </w:r>
    </w:p>
    <w:p>
      <w:pPr>
        <w:pStyle w:val="0"/>
        <w:spacing w:before="200" w:line-rule="auto"/>
        <w:ind w:firstLine="540"/>
        <w:jc w:val="both"/>
      </w:pPr>
      <w:r>
        <w:rPr>
          <w:sz w:val="20"/>
        </w:rPr>
        <w:t xml:space="preserve">о признании заявки надлежащей;</w:t>
      </w:r>
    </w:p>
    <w:p>
      <w:pPr>
        <w:pStyle w:val="0"/>
        <w:spacing w:before="200" w:line-rule="auto"/>
        <w:ind w:firstLine="540"/>
        <w:jc w:val="both"/>
      </w:pPr>
      <w:r>
        <w:rPr>
          <w:sz w:val="20"/>
        </w:rPr>
        <w:t xml:space="preserve">об отклонении заявки с указанием оснований для отклонения.</w:t>
      </w:r>
    </w:p>
    <w:p>
      <w:pPr>
        <w:pStyle w:val="0"/>
        <w:spacing w:before="200" w:line-rule="auto"/>
        <w:ind w:firstLine="540"/>
        <w:jc w:val="both"/>
      </w:pPr>
      <w:r>
        <w:rPr>
          <w:sz w:val="20"/>
        </w:rPr>
        <w:t xml:space="preserve">Решения Министерства оформляются приказами Министерства и размещаются в Информационной системе и на официальном сайте Министерства (</w:t>
      </w:r>
      <w:hyperlink w:history="0" r:id="rId694">
        <w:r>
          <w:rPr>
            <w:sz w:val="20"/>
            <w:color w:val="0000ff"/>
          </w:rPr>
          <w:t xml:space="preserve">https://mii.mosreg.ru</w:t>
        </w:r>
      </w:hyperlink>
      <w:r>
        <w:rPr>
          <w:sz w:val="20"/>
        </w:rPr>
        <w:t xml:space="preserve">), не позднее 5 рабочих дней с даты принятия.</w:t>
      </w:r>
    </w:p>
    <w:p>
      <w:pPr>
        <w:pStyle w:val="0"/>
        <w:spacing w:before="200" w:line-rule="auto"/>
        <w:ind w:firstLine="540"/>
        <w:jc w:val="both"/>
      </w:pPr>
      <w:r>
        <w:rPr>
          <w:sz w:val="20"/>
        </w:rPr>
        <w:t xml:space="preserve">19.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w:t>
      </w:r>
    </w:p>
    <w:p>
      <w:pPr>
        <w:pStyle w:val="0"/>
        <w:spacing w:before="200" w:line-rule="auto"/>
        <w:ind w:firstLine="540"/>
        <w:jc w:val="both"/>
      </w:pPr>
      <w:r>
        <w:rPr>
          <w:sz w:val="20"/>
        </w:rPr>
        <w:t xml:space="preserve">Решение о признании заявки надлежащей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0"/>
        <w:spacing w:before="200" w:line-rule="auto"/>
        <w:ind w:firstLine="540"/>
        <w:jc w:val="both"/>
      </w:pPr>
      <w:r>
        <w:rPr>
          <w:sz w:val="20"/>
        </w:rPr>
        <w:t xml:space="preserve">20. Основания для отклонения заявки на стадии рассмотрения заявок:</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558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пункте 11</w:t>
        </w:r>
      </w:hyperlink>
      <w:r>
        <w:rPr>
          <w:sz w:val="20"/>
        </w:rPr>
        <w:t xml:space="preserve"> Порядка;</w:t>
      </w:r>
    </w:p>
    <w:p>
      <w:pPr>
        <w:pStyle w:val="0"/>
        <w:spacing w:before="200" w:line-rule="auto"/>
        <w:ind w:firstLine="540"/>
        <w:jc w:val="both"/>
      </w:pPr>
      <w:r>
        <w:rPr>
          <w:sz w:val="20"/>
        </w:rPr>
        <w:t xml:space="preserve">несоответствие представленных участником отбора заявок и документов требованиям, предусмотренным Порядком;</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некорректное заполнение полей в форме заявки в Информационной системе (отсутствие заполнения, недостоверное, неполное либо неправильное, не соответствующее требованиям, установленным Порядком);</w:t>
      </w:r>
    </w:p>
    <w:p>
      <w:pPr>
        <w:pStyle w:val="0"/>
        <w:spacing w:before="200" w:line-rule="auto"/>
        <w:ind w:firstLine="540"/>
        <w:jc w:val="both"/>
      </w:pPr>
      <w:r>
        <w:rPr>
          <w:sz w:val="20"/>
        </w:rPr>
        <w:t xml:space="preserve">представление электронных образов документов посредством Информационной системе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наличие исправлений в представленных документах;</w:t>
      </w:r>
    </w:p>
    <w:p>
      <w:pPr>
        <w:pStyle w:val="0"/>
        <w:spacing w:before="200" w:line-rule="auto"/>
        <w:ind w:firstLine="540"/>
        <w:jc w:val="both"/>
      </w:pPr>
      <w:r>
        <w:rPr>
          <w:sz w:val="20"/>
        </w:rPr>
        <w:t xml:space="preserve">наличие иной принятой и зарегистрированной заявки участника отбора, которая не была им отозвана на момент рассмотрения заявки.</w:t>
      </w:r>
    </w:p>
    <w:p>
      <w:pPr>
        <w:pStyle w:val="0"/>
        <w:spacing w:before="200" w:line-rule="auto"/>
        <w:ind w:firstLine="540"/>
        <w:jc w:val="both"/>
      </w:pPr>
      <w:r>
        <w:rPr>
          <w:sz w:val="20"/>
        </w:rPr>
        <w:t xml:space="preserve">Отклонение заявки не препятствует повторному обращению участника отбора за предоставлением субсидии до даты окончания приема заявок, установленной в объявлении о проведении отбора. При этом регистрация заявки, повторно представленной участником отбора после ее отклонения, будет осуществлена в порядке очередности в день повторного представления заявки на участие в отборе.</w:t>
      </w:r>
    </w:p>
    <w:p>
      <w:pPr>
        <w:pStyle w:val="0"/>
        <w:spacing w:before="200" w:line-rule="auto"/>
        <w:ind w:firstLine="540"/>
        <w:jc w:val="both"/>
      </w:pPr>
      <w:r>
        <w:rPr>
          <w:sz w:val="20"/>
        </w:rPr>
        <w:t xml:space="preserve">21. Проверка участника отбора на соответствие требованиям, установленным </w:t>
      </w:r>
      <w:hyperlink w:history="0" w:anchor="P1558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автоматически в Информационной системе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Информационной системе подтверждение соответствия участника отбора требованиям, определенным в соответствии с </w:t>
      </w:r>
      <w:hyperlink w:history="0" w:anchor="P1558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Информационной системы.</w:t>
      </w:r>
    </w:p>
    <w:bookmarkStart w:id="15661" w:name="P15661"/>
    <w:bookmarkEnd w:id="15661"/>
    <w:p>
      <w:pPr>
        <w:pStyle w:val="0"/>
        <w:spacing w:before="200" w:line-rule="auto"/>
        <w:ind w:firstLine="540"/>
        <w:jc w:val="both"/>
      </w:pPr>
      <w:r>
        <w:rPr>
          <w:sz w:val="20"/>
        </w:rPr>
        <w:t xml:space="preserve">В случае если в целях полного, всестороннего и объективного рассмотрения заявки необходимо получение разъяснений от участника отбора по представленным им документам и информации, Министерством осуществляется запрос у участника отбора разъяснений с использованием Информационной системы, направляемый при необходимости в равной мере всем участникам отбора.</w:t>
      </w:r>
    </w:p>
    <w:bookmarkStart w:id="15662" w:name="P15662"/>
    <w:bookmarkEnd w:id="15662"/>
    <w:p>
      <w:pPr>
        <w:pStyle w:val="0"/>
        <w:spacing w:before="200" w:line-rule="auto"/>
        <w:ind w:firstLine="540"/>
        <w:jc w:val="both"/>
      </w:pPr>
      <w:r>
        <w:rPr>
          <w:sz w:val="20"/>
        </w:rPr>
        <w:t xml:space="preserve">В запросе, указанном в </w:t>
      </w:r>
      <w:hyperlink w:history="0" w:anchor="P15661" w:tooltip="В случае если в целях полного, всестороннего и объективного рассмотрения заявки необходимо получение разъяснений от участника отбора по представленным им документам и информации, Министерством осуществляется запрос у участника отбора разъяснений с использованием Информационной системы, направляемый при необходимости в равной мере всем участникам отбора.">
        <w:r>
          <w:rPr>
            <w:sz w:val="20"/>
            <w:color w:val="0000ff"/>
          </w:rPr>
          <w:t xml:space="preserve">абзаце третьем</w:t>
        </w:r>
      </w:hyperlink>
      <w:r>
        <w:rPr>
          <w:sz w:val="20"/>
        </w:rPr>
        <w:t xml:space="preserve"> настоящего пункта,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00" w:line-rule="auto"/>
        <w:ind w:firstLine="540"/>
        <w:jc w:val="both"/>
      </w:pPr>
      <w:r>
        <w:rPr>
          <w:sz w:val="20"/>
        </w:rPr>
        <w:t xml:space="preserve">Участник отбора формирует и представляет в Информационную систему разъяснения, запрашиваемые в соответствии с </w:t>
      </w:r>
      <w:hyperlink w:history="0" w:anchor="P15661" w:tooltip="В случае если в целях полного, всестороннего и объективного рассмотрения заявки необходимо получение разъяснений от участника отбора по представленным им документам и информации, Министерством осуществляется запрос у участника отбора разъяснений с использованием Информационной системы, направляемый при необходимости в равной мере всем участникам отбора.">
        <w:r>
          <w:rPr>
            <w:sz w:val="20"/>
            <w:color w:val="0000ff"/>
          </w:rPr>
          <w:t xml:space="preserve">абзацем третьим</w:t>
        </w:r>
      </w:hyperlink>
      <w:r>
        <w:rPr>
          <w:sz w:val="20"/>
        </w:rPr>
        <w:t xml:space="preserve"> настоящего пункта, в сроки, установленные соответствующим запросом с учетом положений </w:t>
      </w:r>
      <w:hyperlink w:history="0" w:anchor="P15662" w:tooltip="В запросе, указанном в абзаце третьем настоящего пункт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0"/>
            <w:color w:val="0000ff"/>
          </w:rPr>
          <w:t xml:space="preserve">абзаца четвертого</w:t>
        </w:r>
      </w:hyperlink>
      <w:r>
        <w:rPr>
          <w:sz w:val="20"/>
        </w:rPr>
        <w:t xml:space="preserve"> настоящего пункта.</w:t>
      </w:r>
    </w:p>
    <w:p>
      <w:pPr>
        <w:pStyle w:val="0"/>
        <w:spacing w:before="200" w:line-rule="auto"/>
        <w:ind w:firstLine="540"/>
        <w:jc w:val="both"/>
      </w:pPr>
      <w:r>
        <w:rPr>
          <w:sz w:val="20"/>
        </w:rPr>
        <w:t xml:space="preserve">Факт непредставления запрошенных разъяснений не может являться основанием для отклонения заявки участника отбора.</w:t>
      </w:r>
    </w:p>
    <w:p>
      <w:pPr>
        <w:pStyle w:val="0"/>
        <w:spacing w:before="200" w:line-rule="auto"/>
        <w:ind w:firstLine="540"/>
        <w:jc w:val="both"/>
      </w:pPr>
      <w:r>
        <w:rPr>
          <w:sz w:val="20"/>
        </w:rPr>
        <w:t xml:space="preserve">Также в целях рассмотрения заявки Министерство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1) запрашивает у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 сведения о наличии (отсутствии) у участников отбора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проводит проверку достоверности сведений, содержащихся в заявке участника отбора, путем сравнения сведений, содержащихся в заявке участника отбора, с данными из открытых источников.</w:t>
      </w:r>
    </w:p>
    <w:p>
      <w:pPr>
        <w:pStyle w:val="0"/>
        <w:spacing w:before="200" w:line-rule="auto"/>
        <w:ind w:firstLine="540"/>
        <w:jc w:val="both"/>
      </w:pPr>
      <w:r>
        <w:rPr>
          <w:sz w:val="20"/>
        </w:rPr>
        <w:t xml:space="preserve">22. 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558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23. Ранжирование поступивших заявок осуществляется исходя из соответствия участников отбора категории и критериям отбора и очередности поступления заявок.</w:t>
      </w:r>
    </w:p>
    <w:p>
      <w:pPr>
        <w:pStyle w:val="0"/>
        <w:spacing w:before="200" w:line-rule="auto"/>
        <w:ind w:firstLine="540"/>
        <w:jc w:val="both"/>
      </w:pPr>
      <w:r>
        <w:rPr>
          <w:sz w:val="20"/>
        </w:rPr>
        <w:t xml:space="preserve">24. В целях завершения отбора и определения победителей отбора не позднее 10 рабочего дня, следующего за днем завершения отбора, формируется протокол подведения итогов отбора, который подписывается руководителем Министерства (уполномоченным им лицом) и размещается в Информационной системе не позднее 14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Получателями субсидии признаются участники отбора, соответствующие категории и критериям отбора, требованиям, установленным Порядком.</w:t>
      </w:r>
    </w:p>
    <w:p>
      <w:pPr>
        <w:pStyle w:val="0"/>
        <w:spacing w:before="200" w:line-rule="auto"/>
        <w:ind w:firstLine="540"/>
        <w:jc w:val="both"/>
      </w:pPr>
      <w:r>
        <w:rPr>
          <w:sz w:val="20"/>
        </w:rPr>
        <w:t xml:space="preserve">На основании протокола подведения итогов отбора Министерство принимает решения об утверждении перечня получателей субсидии и об отклонении заявки участника отбора.</w:t>
      </w:r>
    </w:p>
    <w:p>
      <w:pPr>
        <w:pStyle w:val="0"/>
        <w:spacing w:before="200" w:line-rule="auto"/>
        <w:ind w:firstLine="540"/>
        <w:jc w:val="both"/>
      </w:pPr>
      <w:r>
        <w:rPr>
          <w:sz w:val="20"/>
        </w:rPr>
        <w:t xml:space="preserve">Решения Министерства оформляются приказами Министерства и размещаются в Информационной системе и на официальном сайте Министерства (</w:t>
      </w:r>
      <w:hyperlink w:history="0" r:id="rId695">
        <w:r>
          <w:rPr>
            <w:sz w:val="20"/>
            <w:color w:val="0000ff"/>
          </w:rPr>
          <w:t xml:space="preserve">https://mii.mosreg.ru</w:t>
        </w:r>
      </w:hyperlink>
      <w:r>
        <w:rPr>
          <w:sz w:val="20"/>
        </w:rPr>
        <w:t xml:space="preserve">) не позднее 5 рабочих дней с даты принятия.</w:t>
      </w:r>
    </w:p>
    <w:p>
      <w:pPr>
        <w:pStyle w:val="0"/>
        <w:spacing w:before="200" w:line-rule="auto"/>
        <w:ind w:firstLine="540"/>
        <w:jc w:val="both"/>
      </w:pPr>
      <w:r>
        <w:rPr>
          <w:sz w:val="20"/>
        </w:rPr>
        <w:t xml:space="preserve">В срок не более 5 рабочих дней со дня размещения в Информационной системе протокола подведения итогов отбора, Министерство направляет посредством Информационной системы участникам отбора уведомления о признании победителем отбора или об отклонении заявки участника отбора.</w:t>
      </w:r>
    </w:p>
    <w:p>
      <w:pPr>
        <w:pStyle w:val="0"/>
        <w:spacing w:before="200" w:line-rule="auto"/>
        <w:ind w:firstLine="540"/>
        <w:jc w:val="both"/>
      </w:pPr>
      <w:r>
        <w:rPr>
          <w:sz w:val="20"/>
        </w:rPr>
        <w:t xml:space="preserve">25. Отбор признается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Министерства о признании отбора несостоявшимся размещается в Информационной системе и на официальном сайте Министерства (</w:t>
      </w:r>
      <w:hyperlink w:history="0" r:id="rId696">
        <w:r>
          <w:rPr>
            <w:sz w:val="20"/>
            <w:color w:val="0000ff"/>
          </w:rPr>
          <w:t xml:space="preserve">https://mii.mosreg.ru</w:t>
        </w:r>
      </w:hyperlink>
      <w:r>
        <w:rPr>
          <w:sz w:val="20"/>
        </w:rPr>
        <w:t xml:space="preserve">) с размещением указателя страницы сайта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настоящем пункте, Министерство в течение 30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26. Министерство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3) внесение изменений в Порядок в части положений о порядке проведения отбора.</w:t>
      </w:r>
    </w:p>
    <w:p>
      <w:pPr>
        <w:pStyle w:val="0"/>
        <w:spacing w:before="200" w:line-rule="auto"/>
        <w:ind w:firstLine="540"/>
        <w:jc w:val="both"/>
      </w:pPr>
      <w:r>
        <w:rPr>
          <w:sz w:val="20"/>
        </w:rPr>
        <w:t xml:space="preserve">Объявление об отмене отбора подписывается руководителем Министерства (уполномоченным им лицом) и размещается в Информационной системе и на официальном сайте Министерства (</w:t>
      </w:r>
      <w:hyperlink w:history="0" r:id="rId697">
        <w:r>
          <w:rPr>
            <w:sz w:val="20"/>
            <w:color w:val="0000ff"/>
          </w:rPr>
          <w:t xml:space="preserve">https://mii.mosreg.ru</w:t>
        </w:r>
      </w:hyperlink>
      <w:r>
        <w:rPr>
          <w:sz w:val="20"/>
        </w:rPr>
        <w:t xml:space="preserve">) с размещением указателя страницы сайта на едином портале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Информационной системе.</w:t>
      </w:r>
    </w:p>
    <w:p>
      <w:pPr>
        <w:pStyle w:val="0"/>
        <w:spacing w:before="200" w:line-rule="auto"/>
        <w:ind w:firstLine="540"/>
        <w:jc w:val="both"/>
      </w:pPr>
      <w:r>
        <w:rPr>
          <w:sz w:val="20"/>
        </w:rPr>
        <w:t xml:space="preserve">Отбор считается отмененным со дня размещения объявления о его отмене в Информационной системе.</w:t>
      </w:r>
    </w:p>
    <w:bookmarkStart w:id="15692" w:name="P15692"/>
    <w:bookmarkEnd w:id="15692"/>
    <w:p>
      <w:pPr>
        <w:pStyle w:val="0"/>
        <w:spacing w:before="200" w:line-rule="auto"/>
        <w:ind w:firstLine="540"/>
        <w:jc w:val="both"/>
      </w:pPr>
      <w:r>
        <w:rPr>
          <w:sz w:val="20"/>
        </w:rPr>
        <w:t xml:space="preserve">27.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направлять Министерству запросы о разъяснении положений объявления о проведении отбора путем формирования соответствующего запроса в Информационной системе.</w:t>
      </w:r>
    </w:p>
    <w:p>
      <w:pPr>
        <w:pStyle w:val="0"/>
        <w:spacing w:before="200" w:line-rule="auto"/>
        <w:ind w:firstLine="540"/>
        <w:jc w:val="both"/>
      </w:pPr>
      <w:r>
        <w:rPr>
          <w:sz w:val="20"/>
        </w:rPr>
        <w:t xml:space="preserve">Министерство в ответ на запрос, указанный в </w:t>
      </w:r>
      <w:hyperlink w:history="0" w:anchor="P15692" w:tooltip="27.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лять Министерству запросы о разъяснении положений объявления о проведении отбора путем формирования соответствующего запроса в Информационной системе.">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формирования соответствующего разъяснения в Информационной системе.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отбора.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p>
      <w:pPr>
        <w:pStyle w:val="0"/>
        <w:ind w:firstLine="540"/>
        <w:jc w:val="both"/>
      </w:pPr>
      <w:r>
        <w:rPr>
          <w:sz w:val="20"/>
        </w:rPr>
        <w:t xml:space="preserve">28. Направлениями недополученных доходов, на возмещение которых предоставляется субсидия, являются недополученные доходы, возникающие в связи с предоставлением кредитов по льготной процентной ставке заемщикам, в соответствии с </w:t>
      </w:r>
      <w:hyperlink w:history="0" w:anchor="P15931" w:tooltip="62. Требования к заемщикам:">
        <w:r>
          <w:rPr>
            <w:sz w:val="20"/>
            <w:color w:val="0000ff"/>
          </w:rPr>
          <w:t xml:space="preserve">пунктом 62</w:t>
        </w:r>
      </w:hyperlink>
      <w:r>
        <w:rPr>
          <w:sz w:val="20"/>
        </w:rPr>
        <w:t xml:space="preserve"> Порядка.</w:t>
      </w:r>
    </w:p>
    <w:p>
      <w:pPr>
        <w:pStyle w:val="0"/>
        <w:spacing w:before="200" w:line-rule="auto"/>
        <w:ind w:firstLine="540"/>
        <w:jc w:val="both"/>
      </w:pPr>
      <w:r>
        <w:rPr>
          <w:sz w:val="20"/>
        </w:rPr>
        <w:t xml:space="preserve">29. По результатам отбора с победителем отбора заключается Соглашение в электронном виде с использованием Информационной системы, в том числе в рамках информационного взаимодействия с подсистемой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p>
      <w:pPr>
        <w:pStyle w:val="0"/>
        <w:spacing w:before="200" w:line-rule="auto"/>
        <w:ind w:firstLine="540"/>
        <w:jc w:val="both"/>
      </w:pPr>
      <w:r>
        <w:rPr>
          <w:sz w:val="20"/>
        </w:rPr>
        <w:t xml:space="preserve">Соглашение заключается с победителем отбора в течение 10 рабочих дней со дня размещения в Информационной системе протокола подведения итогов отбора.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на дату заключения Соглашения победителя отбора требованиям, установленным </w:t>
      </w:r>
      <w:hyperlink w:history="0" w:anchor="P15586" w:tooltip="11. Требования к участникам отбора, которым они должны соответствовать на даты рассмотрения заявки и заключения Соглашени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между Министерством и победителем отбора по типовой форме, утвержденной распоряжением Министерства экономики и финансов Московской области в электронном виде с использованием Информационной системы, в том числе в рамках информационного взаимодействия с подсистемой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функционального блока "Реестр соглашений".</w:t>
      </w:r>
    </w:p>
    <w:bookmarkStart w:id="15705" w:name="P15705"/>
    <w:bookmarkEnd w:id="15705"/>
    <w:p>
      <w:pPr>
        <w:pStyle w:val="0"/>
        <w:spacing w:before="200" w:line-rule="auto"/>
        <w:ind w:firstLine="540"/>
        <w:jc w:val="both"/>
      </w:pPr>
      <w:r>
        <w:rPr>
          <w:sz w:val="20"/>
        </w:rPr>
        <w:t xml:space="preserve">30. Министерство не позднее 5 рабочего дня, следующего за днем размещения в Информационной системе протокола подведения итогов отбора, формирует и подписывает Соглашение в форме электронного документа в Информационной системе.</w:t>
      </w:r>
    </w:p>
    <w:bookmarkStart w:id="15706" w:name="P15706"/>
    <w:bookmarkEnd w:id="15706"/>
    <w:p>
      <w:pPr>
        <w:pStyle w:val="0"/>
        <w:spacing w:before="200" w:line-rule="auto"/>
        <w:ind w:firstLine="540"/>
        <w:jc w:val="both"/>
      </w:pPr>
      <w:r>
        <w:rPr>
          <w:sz w:val="20"/>
        </w:rPr>
        <w:t xml:space="preserve">Победители отбора в срок не позднее 8 рабочего дня, следующего за днем формирования Соглашения в Информационной системе, подписывают Соглашения в Информационной системе усиленной квалифицированной электронной подписью лица, имеющего право действовать от имени победителя отбора.</w:t>
      </w:r>
    </w:p>
    <w:p>
      <w:pPr>
        <w:pStyle w:val="0"/>
        <w:spacing w:before="200" w:line-rule="auto"/>
        <w:ind w:firstLine="540"/>
        <w:jc w:val="both"/>
      </w:pPr>
      <w:r>
        <w:rPr>
          <w:sz w:val="20"/>
        </w:rPr>
        <w:t xml:space="preserve">В случае неподписания победителем отбора Соглашения в Информационной системе в срок, установленный </w:t>
      </w:r>
      <w:hyperlink w:history="0" w:anchor="P15706" w:tooltip="Победители отбора в срок не позднее 8 рабочего дня, следующего за днем формирования Соглашения в Информационной системе, подписывают Соглашения в Информационной системе усиленной квалифицированной электронной подписью лица, имеющего право действовать от имени победителя отбора.">
        <w:r>
          <w:rPr>
            <w:sz w:val="20"/>
            <w:color w:val="0000ff"/>
          </w:rPr>
          <w:t xml:space="preserve">абзацем вторым</w:t>
        </w:r>
      </w:hyperlink>
      <w:r>
        <w:rPr>
          <w:sz w:val="20"/>
        </w:rPr>
        <w:t xml:space="preserve"> настоящего пункта, победитель отбора признается уклонившимся от заключения Соглашения и субсидия не предоставляется, о чем победитель отбора уведомляется Министерством в письменной форме в течение 2 рабочих дней со дня, следующего за днем окончания срока, установленного абзацем вторым настоящего пункта.</w:t>
      </w:r>
    </w:p>
    <w:p>
      <w:pPr>
        <w:pStyle w:val="0"/>
        <w:spacing w:before="200" w:line-rule="auto"/>
        <w:ind w:firstLine="540"/>
        <w:jc w:val="both"/>
      </w:pPr>
      <w:r>
        <w:rPr>
          <w:sz w:val="20"/>
        </w:rPr>
        <w:t xml:space="preserve">31.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условия и порядок предоставления субсидии;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о согласии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w:history="0" r:id="rId69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обязательство получателя субсидии осуществлять контроль за целевым использованием заемщиками предоставленных кредитов;</w:t>
      </w:r>
    </w:p>
    <w:p>
      <w:pPr>
        <w:pStyle w:val="0"/>
        <w:spacing w:before="200" w:line-rule="auto"/>
        <w:ind w:firstLine="540"/>
        <w:jc w:val="both"/>
      </w:pPr>
      <w:r>
        <w:rPr>
          <w:sz w:val="20"/>
        </w:rPr>
        <w:t xml:space="preserve">результат предоставления субсидии, установленный в соответствии с заявкой на предоставление субсидии (в случае если размер предоставленной субсидии меньше размера субсидии, указанного в заявке на предоставление субсидии, значение результата предоставления субсидии снижается пропорционально уменьшению размера субсидии).</w:t>
      </w:r>
    </w:p>
    <w:p>
      <w:pPr>
        <w:pStyle w:val="0"/>
        <w:spacing w:before="200" w:line-rule="auto"/>
        <w:ind w:firstLine="540"/>
        <w:jc w:val="both"/>
      </w:pPr>
      <w:r>
        <w:rPr>
          <w:sz w:val="20"/>
        </w:rPr>
        <w:t xml:space="preserve">32. Получатель субсидии вправе обратиться с инициативой о заключении дополнительного соглашения с Министерством в следующих случаях:</w:t>
      </w:r>
    </w:p>
    <w:p>
      <w:pPr>
        <w:pStyle w:val="0"/>
        <w:spacing w:before="200" w:line-rule="auto"/>
        <w:ind w:firstLine="540"/>
        <w:jc w:val="both"/>
      </w:pPr>
      <w:r>
        <w:rPr>
          <w:sz w:val="20"/>
        </w:rPr>
        <w:t xml:space="preserve">расторжение Соглашения по инициативе получателя субсидии;</w:t>
      </w:r>
    </w:p>
    <w:p>
      <w:pPr>
        <w:pStyle w:val="0"/>
        <w:spacing w:before="200" w:line-rule="auto"/>
        <w:ind w:firstLine="540"/>
        <w:jc w:val="both"/>
      </w:pPr>
      <w:r>
        <w:rPr>
          <w:sz w:val="20"/>
        </w:rPr>
        <w:t xml:space="preserve">обнаружение опечаток и технических ошибок в Соглашении.</w:t>
      </w:r>
    </w:p>
    <w:p>
      <w:pPr>
        <w:pStyle w:val="0"/>
        <w:spacing w:before="200" w:line-rule="auto"/>
        <w:ind w:firstLine="540"/>
        <w:jc w:val="both"/>
      </w:pPr>
      <w:r>
        <w:rPr>
          <w:sz w:val="20"/>
        </w:rPr>
        <w:t xml:space="preserve">Для заключения дополнительного соглашения получатель субсидии представляет заявку, включающую заявление по форме, утвержденной Министерством, и документы, подтверждающие необходимость заключения дополнительного соглашения (при необходимости) (далее - Заявление о заключении дополнительного соглашения), в электронной форме в Министерство посредством Информационной системы.</w:t>
      </w:r>
    </w:p>
    <w:p>
      <w:pPr>
        <w:pStyle w:val="0"/>
        <w:spacing w:before="200" w:line-rule="auto"/>
        <w:ind w:firstLine="540"/>
        <w:jc w:val="both"/>
      </w:pPr>
      <w:r>
        <w:rPr>
          <w:sz w:val="20"/>
        </w:rPr>
        <w:t xml:space="preserve">Министерство регистрирует Заявление о заключении дополнительного соглашения не позднее 1 рабочего дня со дня его подачи и в срок, не превышающий 10 рабочих дней со дня регистрации Заявления о заключении дополнительного соглашения, Министерство осуществляет его проверку.</w:t>
      </w:r>
    </w:p>
    <w:p>
      <w:pPr>
        <w:pStyle w:val="0"/>
        <w:spacing w:before="200" w:line-rule="auto"/>
        <w:ind w:firstLine="540"/>
        <w:jc w:val="both"/>
      </w:pPr>
      <w:r>
        <w:rPr>
          <w:sz w:val="20"/>
        </w:rPr>
        <w:t xml:space="preserve">В случае необходимости предоставления дополнительных документов или сведений для подтверждения информации, указанной в Заявлении о заключении дополнительного соглашения, Министерство направляет получателю субсидии уведомление о необходимости представления документов, касающихся сведений и данных, указанных в Заявлении о заключении дополнительного соглашения (далее - Уведомление о необходимости представления дополнительных документов), в электронном виде через личный кабинет посредством использования Информационной системы.</w:t>
      </w:r>
    </w:p>
    <w:p>
      <w:pPr>
        <w:pStyle w:val="0"/>
        <w:spacing w:before="200" w:line-rule="auto"/>
        <w:ind w:firstLine="540"/>
        <w:jc w:val="both"/>
      </w:pPr>
      <w:r>
        <w:rPr>
          <w:sz w:val="20"/>
        </w:rPr>
        <w:t xml:space="preserve">Уведомление о необходимости представления дополнительных документов может быть направлено получателю субсидии повторно, неограниченное количество раз, в пределах установленного срока проверки Заявления о заключении дополнительного соглашения.</w:t>
      </w:r>
    </w:p>
    <w:p>
      <w:pPr>
        <w:pStyle w:val="0"/>
        <w:spacing w:before="200" w:line-rule="auto"/>
        <w:ind w:firstLine="540"/>
        <w:jc w:val="both"/>
      </w:pPr>
      <w:r>
        <w:rPr>
          <w:sz w:val="20"/>
        </w:rPr>
        <w:t xml:space="preserve">Получатель субсидии представляет документы и (или) пояснения, касающиеся сведений и данных, указанных в Заявлении о заключении дополнительного соглашения, в срок не более 2 рабочих дней со дня получения уведомления о необходимости представления дополнительных документов.</w:t>
      </w:r>
    </w:p>
    <w:p>
      <w:pPr>
        <w:pStyle w:val="0"/>
        <w:spacing w:before="200" w:line-rule="auto"/>
        <w:ind w:firstLine="540"/>
        <w:jc w:val="both"/>
      </w:pPr>
      <w:r>
        <w:rPr>
          <w:sz w:val="20"/>
        </w:rPr>
        <w:t xml:space="preserve">В срок не позднее 5 рабочих дней со дня окончания срока рассмотрения Заявления о заключении дополнительного соглашения Министерство формирует проект дополнительного соглашения и направляет получателю субсидии в Информационной системе.</w:t>
      </w:r>
    </w:p>
    <w:p>
      <w:pPr>
        <w:pStyle w:val="0"/>
        <w:spacing w:before="200" w:line-rule="auto"/>
        <w:ind w:firstLine="540"/>
        <w:jc w:val="both"/>
      </w:pPr>
      <w:r>
        <w:rPr>
          <w:sz w:val="20"/>
        </w:rPr>
        <w:t xml:space="preserve">Министерство отказывает получателю субсидии в заключении дополнительного соглашения в следующих случаях:</w:t>
      </w:r>
    </w:p>
    <w:p>
      <w:pPr>
        <w:pStyle w:val="0"/>
        <w:spacing w:before="200" w:line-rule="auto"/>
        <w:ind w:firstLine="540"/>
        <w:jc w:val="both"/>
      </w:pPr>
      <w:r>
        <w:rPr>
          <w:sz w:val="20"/>
        </w:rPr>
        <w:t xml:space="preserve">1) неподписание получателем субсидии дополнительного соглашения в установленный срок;</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непредставление и (или) несоответствие предоставленных документов и (или) сведений.</w:t>
      </w:r>
    </w:p>
    <w:p>
      <w:pPr>
        <w:pStyle w:val="0"/>
        <w:spacing w:before="200" w:line-rule="auto"/>
        <w:ind w:firstLine="540"/>
        <w:jc w:val="both"/>
      </w:pPr>
      <w:r>
        <w:rPr>
          <w:sz w:val="20"/>
        </w:rPr>
        <w:t xml:space="preserve">В случае наличия оснований для отказа в заключении дополнительного соглашения Министерство направляет соответствующее уведомление не позднее 5 рабочих дней с даты окончания срока, установленного для подписания дополнительного соглашения.</w:t>
      </w:r>
    </w:p>
    <w:p>
      <w:pPr>
        <w:pStyle w:val="0"/>
        <w:spacing w:before="200" w:line-rule="auto"/>
        <w:ind w:firstLine="540"/>
        <w:jc w:val="both"/>
      </w:pPr>
      <w:r>
        <w:rPr>
          <w:sz w:val="20"/>
        </w:rPr>
        <w:t xml:space="preserve">В случае непредставления получателем субсидии в установленные сроки подписанного со своей стороны дополнительного соглашения Министерство принимает решение о перераспределении сумм субсидии.</w:t>
      </w:r>
    </w:p>
    <w:p>
      <w:pPr>
        <w:pStyle w:val="0"/>
        <w:spacing w:before="200" w:line-rule="auto"/>
        <w:ind w:firstLine="540"/>
        <w:jc w:val="both"/>
      </w:pPr>
      <w:r>
        <w:rPr>
          <w:sz w:val="20"/>
        </w:rPr>
        <w:t xml:space="preserve">33. Министерство вправе заключить дополнительное соглашение с получателем субсидии в следующих случаях:</w:t>
      </w:r>
    </w:p>
    <w:p>
      <w:pPr>
        <w:pStyle w:val="0"/>
        <w:spacing w:before="200" w:line-rule="auto"/>
        <w:ind w:firstLine="540"/>
        <w:jc w:val="both"/>
      </w:pPr>
      <w:r>
        <w:rPr>
          <w:sz w:val="20"/>
        </w:rPr>
        <w:t xml:space="preserve">расторжение Соглашения по инициативе Министерства;</w:t>
      </w:r>
    </w:p>
    <w:p>
      <w:pPr>
        <w:pStyle w:val="0"/>
        <w:spacing w:before="200" w:line-rule="auto"/>
        <w:ind w:firstLine="540"/>
        <w:jc w:val="both"/>
      </w:pPr>
      <w:r>
        <w:rPr>
          <w:sz w:val="20"/>
        </w:rPr>
        <w:t xml:space="preserve">обнаружение опечаток и технических ошибок в Соглашении;</w:t>
      </w:r>
    </w:p>
    <w:p>
      <w:pPr>
        <w:pStyle w:val="0"/>
        <w:spacing w:before="200" w:line-rule="auto"/>
        <w:ind w:firstLine="540"/>
        <w:jc w:val="both"/>
      </w:pPr>
      <w:r>
        <w:rPr>
          <w:sz w:val="20"/>
        </w:rPr>
        <w:t xml:space="preserve">в случае возникновения необходимости перераспределения сумм субсидии в случаях, установленных </w:t>
      </w:r>
      <w:hyperlink w:history="0" w:anchor="P15834" w:tooltip="47. В целях рассмотрения вопроса об изменении размера предоставленной субсидии получатели субсидии вправе самостоятельно либо по запросу Министерства представить в Министерство предложения по дополнительному плановому объему предоставления кредитов с приложением уточненного плана-графика предоставления кредитов по форме, утверждаемой Министерством, посредством Информационной системы.">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в случае возникновения необходимости перераспределения сумм субсидии в случае непредставления получателем субсидии в установленные сроки подписанного со своей стороны дополнительного соглашения;</w:t>
      </w:r>
    </w:p>
    <w:p>
      <w:pPr>
        <w:pStyle w:val="0"/>
        <w:spacing w:before="200" w:line-rule="auto"/>
        <w:ind w:firstLine="540"/>
        <w:jc w:val="both"/>
      </w:pPr>
      <w:r>
        <w:rPr>
          <w:sz w:val="20"/>
        </w:rPr>
        <w:t xml:space="preserve">в случае изменений размера субсидии и по результатам принятия решений о предоставлении субсидии в соответствии с </w:t>
      </w:r>
      <w:hyperlink w:history="0" w:anchor="P15783" w:tooltip="42. В течение 8 рабочих дней со дня получения заключения АНО &quot;АИР&quot; о соответствии или о несоответствии отчетных документов либо о принятии отчетных документов с выявленными нарушениями Министерство принимает одно из следующих решений:">
        <w:r>
          <w:rPr>
            <w:sz w:val="20"/>
            <w:color w:val="0000ff"/>
          </w:rPr>
          <w:t xml:space="preserve">пунктом 42</w:t>
        </w:r>
      </w:hyperlink>
      <w:r>
        <w:rPr>
          <w:sz w:val="20"/>
        </w:rPr>
        <w:t xml:space="preserve"> Порядка;</w:t>
      </w:r>
    </w:p>
    <w:p>
      <w:pPr>
        <w:pStyle w:val="0"/>
        <w:spacing w:before="200" w:line-rule="auto"/>
        <w:ind w:firstLine="540"/>
        <w:jc w:val="both"/>
      </w:pPr>
      <w:r>
        <w:rPr>
          <w:sz w:val="20"/>
        </w:rPr>
        <w:t xml:space="preserve">в случае увеличения размера бюджетных ассигнований на реализацию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в соответствии с </w:t>
      </w:r>
      <w:hyperlink w:history="0" w:anchor="P15762" w:tooltip="37. В случае увеличения размера бюджетных ассигнований на реализацию мероприятия 01.05 бюджетные ассигнования распределяются между получателями субсидии в следующем порядке:">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в случае уменьшения размера бюджетных ассигнований на реализацию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в соответствии с </w:t>
      </w:r>
      <w:hyperlink w:history="0" w:anchor="P15827" w:tooltip="45. В случае недостаточности размера предусмотренных бюджетных ассигнований для предоставления субсидии в размере, рассчитанном в соответствии с пунктом 44 Порядка, Министерство принимает решение о предоставлении части субсидии в пределах предусмотренных лимитов бюджетных обязательств, доведенных до Министерства как получателя бюджетных средств на цель, указанную в пункте 5 Порядка.">
        <w:r>
          <w:rPr>
            <w:sz w:val="20"/>
            <w:color w:val="0000ff"/>
          </w:rPr>
          <w:t xml:space="preserve">пунктом 45</w:t>
        </w:r>
      </w:hyperlink>
      <w:r>
        <w:rPr>
          <w:sz w:val="20"/>
        </w:rPr>
        <w:t xml:space="preserve"> Порядка;</w:t>
      </w:r>
    </w:p>
    <w:p>
      <w:pPr>
        <w:pStyle w:val="0"/>
        <w:spacing w:before="200" w:line-rule="auto"/>
        <w:ind w:firstLine="540"/>
        <w:jc w:val="both"/>
      </w:pPr>
      <w:r>
        <w:rPr>
          <w:sz w:val="20"/>
        </w:rPr>
        <w:t xml:space="preserve">в случае реорганизации получателя субсидии в соответствии с </w:t>
      </w:r>
      <w:hyperlink w:history="0" w:anchor="P15742" w:tooltip="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а в случае необходимости дополнительного соглашения о расторжении Соглашения в отношении юридического лица, прекратившего деятельность.">
        <w:r>
          <w:rPr>
            <w:sz w:val="20"/>
            <w:color w:val="0000ff"/>
          </w:rPr>
          <w:t xml:space="preserve">пунктом 35</w:t>
        </w:r>
      </w:hyperlink>
      <w:r>
        <w:rPr>
          <w:sz w:val="20"/>
        </w:rPr>
        <w:t xml:space="preserve"> Порядка;</w:t>
      </w:r>
    </w:p>
    <w:p>
      <w:pPr>
        <w:pStyle w:val="0"/>
        <w:spacing w:before="200" w:line-rule="auto"/>
        <w:ind w:firstLine="540"/>
        <w:jc w:val="both"/>
      </w:pPr>
      <w:r>
        <w:rPr>
          <w:sz w:val="20"/>
        </w:rPr>
        <w:t xml:space="preserve">в случае изменения установленного в Соглашении результата предоставления субсидии при изменении ключевой ставки Центрального банка Российской Федерации при представлении получателем субсидии уточненного плана-графика предоставления кредитов по форме, утверждаемой Министерством.</w:t>
      </w:r>
    </w:p>
    <w:p>
      <w:pPr>
        <w:pStyle w:val="0"/>
        <w:spacing w:before="200" w:line-rule="auto"/>
        <w:ind w:firstLine="540"/>
        <w:jc w:val="both"/>
      </w:pPr>
      <w:r>
        <w:rPr>
          <w:sz w:val="20"/>
        </w:rPr>
        <w:t xml:space="preserve">Министерство в течение 5 рабочих дней со дня наступления оснований для заключения дополнительного соглашения формирует и направляет получателю субсидии проект дополнительного соглашения в Информационной системе.</w:t>
      </w:r>
    </w:p>
    <w:p>
      <w:pPr>
        <w:pStyle w:val="0"/>
        <w:spacing w:before="200" w:line-rule="auto"/>
        <w:ind w:firstLine="540"/>
        <w:jc w:val="both"/>
      </w:pPr>
      <w:r>
        <w:rPr>
          <w:sz w:val="20"/>
        </w:rPr>
        <w:t xml:space="preserve">34. Дополнительные соглашения заключаются в порядке и сроки, установленные для заключения Соглашения, в соответствии с </w:t>
      </w:r>
      <w:hyperlink w:history="0" w:anchor="P15705" w:tooltip="30. Министерство не позднее 5 рабочего дня, следующего за днем размещения в Информационной системе протокола подведения итогов отбора, формирует и подписывает Соглашение в форме электронного документа в Информационной системе.">
        <w:r>
          <w:rPr>
            <w:sz w:val="20"/>
            <w:color w:val="0000ff"/>
          </w:rPr>
          <w:t xml:space="preserve">абзацами первым</w:t>
        </w:r>
      </w:hyperlink>
      <w:r>
        <w:rPr>
          <w:sz w:val="20"/>
        </w:rPr>
        <w:t xml:space="preserve"> и </w:t>
      </w:r>
      <w:hyperlink w:history="0" w:anchor="P15706" w:tooltip="Победители отбора в срок не позднее 8 рабочего дня, следующего за днем формирования Соглашения в Информационной системе, подписывают Соглашения в Информационной системе усиленной квалифицированной электронной подписью лица, имеющего право действовать от имени победителя отбора.">
        <w:r>
          <w:rPr>
            <w:sz w:val="20"/>
            <w:color w:val="0000ff"/>
          </w:rPr>
          <w:t xml:space="preserve">вторым пункта 30</w:t>
        </w:r>
      </w:hyperlink>
      <w:r>
        <w:rPr>
          <w:sz w:val="20"/>
        </w:rPr>
        <w:t xml:space="preserve"> Порядка.</w:t>
      </w:r>
    </w:p>
    <w:bookmarkStart w:id="15742" w:name="P15742"/>
    <w:bookmarkEnd w:id="15742"/>
    <w:p>
      <w:pPr>
        <w:pStyle w:val="0"/>
        <w:spacing w:before="200" w:line-rule="auto"/>
        <w:ind w:firstLine="540"/>
        <w:jc w:val="both"/>
      </w:pPr>
      <w:r>
        <w:rPr>
          <w:sz w:val="20"/>
        </w:rPr>
        <w:t xml:space="preserve">35.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а в случае необходимости дополнительного соглашения о расторжении Соглашения в отношении юридического лица, прекратившего деятельность.</w:t>
      </w:r>
    </w:p>
    <w:p>
      <w:pPr>
        <w:pStyle w:val="0"/>
        <w:spacing w:before="200" w:line-rule="auto"/>
        <w:ind w:firstLine="540"/>
        <w:jc w:val="both"/>
      </w:pPr>
      <w:r>
        <w:rPr>
          <w:sz w:val="20"/>
        </w:rPr>
        <w:t xml:space="preserve">При реорганизации получателя субсидии в форме разделения, выделения, а также в случае ликвидации кредитной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кредитной организацией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Московской области.</w:t>
      </w:r>
    </w:p>
    <w:p>
      <w:pPr>
        <w:pStyle w:val="0"/>
        <w:spacing w:before="200" w:line-rule="auto"/>
        <w:ind w:firstLine="540"/>
        <w:jc w:val="both"/>
      </w:pPr>
      <w:r>
        <w:rPr>
          <w:sz w:val="20"/>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w:history="0" r:id="rId700"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статьей 8</w:t>
        </w:r>
      </w:hyperlink>
      <w:r>
        <w:rPr>
          <w:sz w:val="20"/>
        </w:rPr>
        <w:t xml:space="preserve"> Федерального закона от 14.07.2022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bookmarkStart w:id="15745" w:name="P15745"/>
    <w:bookmarkEnd w:id="15745"/>
    <w:p>
      <w:pPr>
        <w:pStyle w:val="0"/>
        <w:spacing w:before="200" w:line-rule="auto"/>
        <w:ind w:firstLine="540"/>
        <w:jc w:val="both"/>
      </w:pPr>
      <w:r>
        <w:rPr>
          <w:sz w:val="20"/>
        </w:rPr>
        <w:t xml:space="preserve">36. Размер субсидии получателю субсидии на срок реализации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в соответствующем финансовом году и плановом периоде рассчитывается по формуле:</w:t>
      </w:r>
    </w:p>
    <w:p>
      <w:pPr>
        <w:pStyle w:val="0"/>
        <w:jc w:val="both"/>
      </w:pPr>
      <w:r>
        <w:rPr>
          <w:sz w:val="20"/>
        </w:rPr>
      </w:r>
    </w:p>
    <w:p>
      <w:pPr>
        <w:pStyle w:val="0"/>
        <w:jc w:val="center"/>
      </w:pPr>
      <w:r>
        <w:rPr>
          <w:position w:val="-11"/>
        </w:rPr>
        <w:drawing>
          <wp:inline distT="0" distB="0" distL="0" distR="0">
            <wp:extent cx="9144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п</w:t>
      </w:r>
      <w:r>
        <w:rPr>
          <w:sz w:val="20"/>
        </w:rPr>
        <w:t xml:space="preserve"> - размер субсидии;</w:t>
      </w:r>
    </w:p>
    <w:p>
      <w:pPr>
        <w:pStyle w:val="0"/>
        <w:spacing w:before="200" w:line-rule="auto"/>
        <w:ind w:firstLine="540"/>
        <w:jc w:val="both"/>
      </w:pPr>
      <w:r>
        <w:rPr>
          <w:sz w:val="20"/>
        </w:rPr>
        <w:t xml:space="preserve">См</w:t>
      </w:r>
      <w:r>
        <w:rPr>
          <w:sz w:val="20"/>
          <w:vertAlign w:val="subscript"/>
        </w:rPr>
        <w:t xml:space="preserve">j</w:t>
      </w:r>
      <w:r>
        <w:rPr>
          <w:sz w:val="20"/>
        </w:rPr>
        <w:t xml:space="preserve"> - размер субсидии, планируемой к перечислению в каждом месяце финансового года, рассчитываемый по следующей формуле:</w:t>
      </w:r>
    </w:p>
    <w:p>
      <w:pPr>
        <w:pStyle w:val="0"/>
        <w:jc w:val="both"/>
      </w:pPr>
      <w:r>
        <w:rPr>
          <w:sz w:val="20"/>
        </w:rPr>
      </w:r>
    </w:p>
    <w:p>
      <w:pPr>
        <w:pStyle w:val="0"/>
        <w:ind w:firstLine="540"/>
        <w:jc w:val="both"/>
      </w:pPr>
      <w:r>
        <w:rPr>
          <w:sz w:val="20"/>
        </w:rPr>
        <w:t xml:space="preserve">См</w:t>
      </w:r>
      <w:r>
        <w:rPr>
          <w:sz w:val="20"/>
          <w:vertAlign w:val="subscript"/>
        </w:rPr>
        <w:t xml:space="preserve">j</w:t>
      </w:r>
      <w:r>
        <w:rPr>
          <w:sz w:val="20"/>
        </w:rPr>
        <w:t xml:space="preserve"> = (К</w:t>
      </w:r>
      <w:r>
        <w:rPr>
          <w:sz w:val="20"/>
          <w:vertAlign w:val="subscript"/>
        </w:rPr>
        <w:t xml:space="preserve">j</w:t>
      </w:r>
      <w:r>
        <w:rPr>
          <w:sz w:val="20"/>
        </w:rPr>
        <w:t xml:space="preserve"> / 12 x S) + См</w:t>
      </w:r>
      <w:r>
        <w:rPr>
          <w:sz w:val="20"/>
          <w:vertAlign w:val="subscript"/>
        </w:rPr>
        <w:t xml:space="preserve">j</w:t>
      </w:r>
      <w:r>
        <w:rPr>
          <w:sz w:val="20"/>
        </w:rPr>
        <w:t xml:space="preserve"> - 1,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порядковый номер месяца в году (для января j = 1, для февраля j = 2 и далее последовательно для каждого следующего месяца);</w:t>
      </w:r>
    </w:p>
    <w:p>
      <w:pPr>
        <w:pStyle w:val="0"/>
        <w:spacing w:before="200" w:line-rule="auto"/>
        <w:ind w:firstLine="540"/>
        <w:jc w:val="both"/>
      </w:pPr>
      <w:r>
        <w:rPr>
          <w:sz w:val="20"/>
        </w:rPr>
        <w:t xml:space="preserve">К</w:t>
      </w:r>
      <w:r>
        <w:rPr>
          <w:sz w:val="20"/>
          <w:vertAlign w:val="subscript"/>
        </w:rPr>
        <w:t xml:space="preserve">j</w:t>
      </w:r>
      <w:r>
        <w:rPr>
          <w:sz w:val="20"/>
        </w:rPr>
        <w:t xml:space="preserve"> - объем кредитов, планируемых к предоставлению получателем субсидии заемщикам в j-м месяце соответствующего финансового года периода действия льготной процентной ставки (в соответствии с планами-графиками предоставления кредитов);</w:t>
      </w:r>
    </w:p>
    <w:p>
      <w:pPr>
        <w:pStyle w:val="0"/>
        <w:spacing w:before="200" w:line-rule="auto"/>
        <w:ind w:firstLine="540"/>
        <w:jc w:val="both"/>
      </w:pPr>
      <w:r>
        <w:rPr>
          <w:sz w:val="20"/>
        </w:rPr>
        <w:t xml:space="preserve">S - ставка субсидирования, устанавливаемая в размере:</w:t>
      </w:r>
    </w:p>
    <w:p>
      <w:pPr>
        <w:pStyle w:val="0"/>
        <w:spacing w:before="200" w:line-rule="auto"/>
        <w:ind w:firstLine="540"/>
        <w:jc w:val="both"/>
      </w:pPr>
      <w:r>
        <w:rPr>
          <w:sz w:val="20"/>
        </w:rPr>
        <w:t xml:space="preserve">ключевой ставки Центрального банка Российской Федерации, действующей на дату подачи заявки, в случае если значение ключевой ставки Центрального банка Российской Федерации составляет до 11 процентов включительно;</w:t>
      </w:r>
    </w:p>
    <w:p>
      <w:pPr>
        <w:pStyle w:val="0"/>
        <w:spacing w:before="200" w:line-rule="auto"/>
        <w:ind w:firstLine="540"/>
        <w:jc w:val="both"/>
      </w:pPr>
      <w:r>
        <w:rPr>
          <w:sz w:val="20"/>
        </w:rPr>
        <w:t xml:space="preserve">трех четвертых ключевой ставки Центрального банка Российской Федерации, действующей на дату представления заявки (округление до десятых долей процентов в сторону увеличения), в случае если значение ключевой ставки Центрального банка Российской Федерации составляет более 11 процентов.</w:t>
      </w:r>
    </w:p>
    <w:p>
      <w:pPr>
        <w:pStyle w:val="0"/>
        <w:jc w:val="both"/>
      </w:pPr>
      <w:r>
        <w:rPr>
          <w:sz w:val="20"/>
        </w:rPr>
      </w:r>
    </w:p>
    <w:bookmarkStart w:id="15762" w:name="P15762"/>
    <w:bookmarkEnd w:id="15762"/>
    <w:p>
      <w:pPr>
        <w:pStyle w:val="0"/>
        <w:ind w:firstLine="540"/>
        <w:jc w:val="both"/>
      </w:pPr>
      <w:r>
        <w:rPr>
          <w:sz w:val="20"/>
        </w:rPr>
        <w:t xml:space="preserve">37. В случае увеличения размера бюджетных ассигнований на реализацию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бюджетные ассигнования распределяются между получателями субсидии в следующем порядке:</w:t>
      </w:r>
    </w:p>
    <w:p>
      <w:pPr>
        <w:pStyle w:val="0"/>
        <w:spacing w:before="200" w:line-rule="auto"/>
        <w:ind w:firstLine="540"/>
        <w:jc w:val="both"/>
      </w:pPr>
      <w:r>
        <w:rPr>
          <w:sz w:val="20"/>
        </w:rPr>
        <w:t xml:space="preserve">1) в первоочередном порядке - в отношении обслуживания действующих кредитных договоров в размере, рассчитанном по формуле согласно </w:t>
      </w:r>
      <w:hyperlink w:history="0" w:anchor="P15745" w:tooltip="36. Размер субсидии получателю субсидии на срок реализации мероприятия 01.05 в соответствующем финансовом году и плановом периоде рассчитывается по формуле:">
        <w:r>
          <w:rPr>
            <w:sz w:val="20"/>
            <w:color w:val="0000ff"/>
          </w:rPr>
          <w:t xml:space="preserve">пункту 36</w:t>
        </w:r>
      </w:hyperlink>
      <w:r>
        <w:rPr>
          <w:sz w:val="20"/>
        </w:rPr>
        <w:t xml:space="preserve"> Порядка (в полном объеме);</w:t>
      </w:r>
    </w:p>
    <w:bookmarkStart w:id="15764" w:name="P15764"/>
    <w:bookmarkEnd w:id="15764"/>
    <w:p>
      <w:pPr>
        <w:pStyle w:val="0"/>
        <w:spacing w:before="200" w:line-rule="auto"/>
        <w:ind w:firstLine="540"/>
        <w:jc w:val="both"/>
      </w:pPr>
      <w:r>
        <w:rPr>
          <w:sz w:val="20"/>
        </w:rPr>
        <w:t xml:space="preserve">2) в случае остатка бюджетных ассигнований - в отношении новых кредитных договоров по предоставленным получателям субсидии предложениям по дополнительному плановому объему предоставления кредитов с приложением уточненного плана-графика предоставления кредитов в соответствующем и (или) очередном финансовом году по форме, утвержденной Министерством в размере, рассчитанном по формуле согласно </w:t>
      </w:r>
      <w:hyperlink w:history="0" w:anchor="P15745" w:tooltip="36. Размер субсидии получателю субсидии на срок реализации мероприятия 01.05 в соответствующем финансовом году и плановом периоде рассчитывается по формуле:">
        <w:r>
          <w:rPr>
            <w:sz w:val="20"/>
            <w:color w:val="0000ff"/>
          </w:rPr>
          <w:t xml:space="preserve">пункту 36</w:t>
        </w:r>
      </w:hyperlink>
      <w:r>
        <w:rPr>
          <w:sz w:val="20"/>
        </w:rPr>
        <w:t xml:space="preserve"> Порядка, при подтверждении Министерством представленных предложений по дополнительному плановому объему предоставления кредитов.</w:t>
      </w:r>
    </w:p>
    <w:p>
      <w:pPr>
        <w:pStyle w:val="0"/>
        <w:spacing w:before="200" w:line-rule="auto"/>
        <w:ind w:firstLine="540"/>
        <w:jc w:val="both"/>
      </w:pPr>
      <w:r>
        <w:rPr>
          <w:sz w:val="20"/>
        </w:rPr>
        <w:t xml:space="preserve">Предложения, указанные в </w:t>
      </w:r>
      <w:hyperlink w:history="0" w:anchor="P15764" w:tooltip="2) в случае остатка бюджетных ассигнований - в отношении новых кредитных договоров по предоставленным получателям субсидии предложениям по дополнительному плановому объему предоставления кредитов с приложением уточненного плана-графика предоставления кредитов в соответствующем и (или) очередном финансовом году по форме, утвержденной Министерством в размере, рассчитанном по формуле согласно пункту 36 Порядка, при подтверждении Министерством представленных предложений по дополнительному плановому объему пр...">
        <w:r>
          <w:rPr>
            <w:sz w:val="20"/>
            <w:color w:val="0000ff"/>
          </w:rPr>
          <w:t xml:space="preserve">абзаце третьем</w:t>
        </w:r>
      </w:hyperlink>
      <w:r>
        <w:rPr>
          <w:sz w:val="20"/>
        </w:rPr>
        <w:t xml:space="preserve"> настоящего подпункта, могут быть представлены получателями субсидии в Министерство как в инициативном порядке, так и по запросу Министерства.</w:t>
      </w:r>
    </w:p>
    <w:p>
      <w:pPr>
        <w:pStyle w:val="0"/>
        <w:spacing w:before="200" w:line-rule="auto"/>
        <w:ind w:firstLine="540"/>
        <w:jc w:val="both"/>
      </w:pPr>
      <w:r>
        <w:rPr>
          <w:sz w:val="20"/>
        </w:rPr>
        <w:t xml:space="preserve">Размер субсидии каждому получателю субсидии в соответствии с настоящим пунктом на соответствующий и (или) очередной финансовый год рассчитывается после получения предложений от всех получателей субсидии либо непоступления предложения в срок, указанный в запросе Министерства.</w:t>
      </w:r>
    </w:p>
    <w:p>
      <w:pPr>
        <w:pStyle w:val="0"/>
        <w:spacing w:before="200" w:line-rule="auto"/>
        <w:ind w:firstLine="540"/>
        <w:jc w:val="both"/>
      </w:pPr>
      <w:r>
        <w:rPr>
          <w:sz w:val="20"/>
        </w:rPr>
        <w:t xml:space="preserve">38. Право на получение субсидии возникает у получателя субсидии с даты принятия решения о предоставлении субсидии, но не ранее даты фактической выдачи заемщику кредита по кредитному договору.</w:t>
      </w:r>
    </w:p>
    <w:bookmarkStart w:id="15768" w:name="P15768"/>
    <w:bookmarkEnd w:id="15768"/>
    <w:p>
      <w:pPr>
        <w:pStyle w:val="0"/>
        <w:spacing w:before="200" w:line-rule="auto"/>
        <w:ind w:firstLine="540"/>
        <w:jc w:val="both"/>
      </w:pPr>
      <w:r>
        <w:rPr>
          <w:sz w:val="20"/>
        </w:rPr>
        <w:t xml:space="preserve">39. Для получения субсидии получатель субсидии в срок не позднее 7 рабочего дня каждого месяца, следующего за отчетным месяцем, представляет в Министерство в электронном виде посредством Информационной системы документы, подтверждающие соответствие требованиям, указанным в </w:t>
      </w:r>
      <w:hyperlink w:history="0" w:anchor="P15900" w:tooltip="61. Требования к кредитным договорам:">
        <w:r>
          <w:rPr>
            <w:sz w:val="20"/>
            <w:color w:val="0000ff"/>
          </w:rPr>
          <w:t xml:space="preserve">пунктах 61</w:t>
        </w:r>
      </w:hyperlink>
      <w:r>
        <w:rPr>
          <w:sz w:val="20"/>
        </w:rPr>
        <w:t xml:space="preserve"> и </w:t>
      </w:r>
      <w:hyperlink w:history="0" w:anchor="P15931" w:tooltip="62. Требования к заемщикам:">
        <w:r>
          <w:rPr>
            <w:sz w:val="20"/>
            <w:color w:val="0000ff"/>
          </w:rPr>
          <w:t xml:space="preserve">62</w:t>
        </w:r>
      </w:hyperlink>
      <w:r>
        <w:rPr>
          <w:sz w:val="20"/>
        </w:rPr>
        <w:t xml:space="preserve"> Порядка, согласно </w:t>
      </w:r>
      <w:hyperlink w:history="0" w:anchor="P15945" w:tooltip="ПЕРЕЧЕНЬ ДОКУМЕНТОВ, ПРЕДСТАВЛЯЕМЫХ ПОЛУЧАТЕЛЯМИ СУБСИДИИ">
        <w:r>
          <w:rPr>
            <w:sz w:val="20"/>
            <w:color w:val="0000ff"/>
          </w:rPr>
          <w:t xml:space="preserve">перечню</w:t>
        </w:r>
      </w:hyperlink>
      <w:r>
        <w:rPr>
          <w:sz w:val="20"/>
        </w:rPr>
        <w:t xml:space="preserve">, предусмотренному таблицей 1 к Порядку, подтверждающие недополученные доходы (далее - отчетные документы), за отчетный месяц (по состоянию на последний день отчетного месяца, по итогам которого получателем субсидии планируется получение субсидии, включительно).</w:t>
      </w:r>
    </w:p>
    <w:bookmarkStart w:id="15769" w:name="P15769"/>
    <w:bookmarkEnd w:id="15769"/>
    <w:p>
      <w:pPr>
        <w:pStyle w:val="0"/>
        <w:spacing w:before="200" w:line-rule="auto"/>
        <w:ind w:firstLine="540"/>
        <w:jc w:val="both"/>
      </w:pPr>
      <w:r>
        <w:rPr>
          <w:sz w:val="20"/>
        </w:rPr>
        <w:t xml:space="preserve">Для получения субсидии за последний месяц финансового года получатель субсидии вправе представить в срок до 20 декабря отчетные документы по состоянию на 15 число последнего отчетного месяца.</w:t>
      </w:r>
    </w:p>
    <w:p>
      <w:pPr>
        <w:pStyle w:val="0"/>
        <w:spacing w:before="200" w:line-rule="auto"/>
        <w:ind w:firstLine="540"/>
        <w:jc w:val="both"/>
      </w:pPr>
      <w:r>
        <w:rPr>
          <w:sz w:val="20"/>
        </w:rPr>
        <w:t xml:space="preserve">Отчетные документы могут быть отозваны получателем субсидии. Получатель субсидии вправе повторно представить отчетные документы в срок не позднее установленного настоящим пунктом.</w:t>
      </w:r>
    </w:p>
    <w:p>
      <w:pPr>
        <w:pStyle w:val="0"/>
        <w:spacing w:before="200" w:line-rule="auto"/>
        <w:ind w:firstLine="540"/>
        <w:jc w:val="both"/>
      </w:pPr>
      <w:r>
        <w:rPr>
          <w:sz w:val="20"/>
        </w:rPr>
        <w:t xml:space="preserve">Непредставление отчетных документов в установленный настоящим пунктом срок не препятствует повторному обращению получателя субсидии за ее перечислением в следующем месяце, при условии направления отчетных документов с приложением информационного письма за подписью руководителя получателя субсидии или уполномоченного им лица.</w:t>
      </w:r>
    </w:p>
    <w:p>
      <w:pPr>
        <w:pStyle w:val="0"/>
        <w:spacing w:before="200" w:line-rule="auto"/>
        <w:ind w:firstLine="540"/>
        <w:jc w:val="both"/>
      </w:pPr>
      <w:r>
        <w:rPr>
          <w:sz w:val="20"/>
        </w:rPr>
        <w:t xml:space="preserve">В случае, если в срок, установленный настоящим пунктом, получателем субсидии не представлены отчетные документы за отчетный месяц, получатель субсидии представляет соответствующие данные за отчетный месяц в следующем месяце посредством направления нового обращения.</w:t>
      </w:r>
    </w:p>
    <w:p>
      <w:pPr>
        <w:pStyle w:val="0"/>
        <w:spacing w:before="200" w:line-rule="auto"/>
        <w:ind w:firstLine="540"/>
        <w:jc w:val="both"/>
      </w:pPr>
      <w:r>
        <w:rPr>
          <w:sz w:val="20"/>
        </w:rPr>
        <w:t xml:space="preserve">40. Министерство с привлечением АНО "АИР" обеспечивает прием и регистрацию отчетных документов в срок не позднее 1 рабочего дня со дня окончания срока их подачи.</w:t>
      </w:r>
    </w:p>
    <w:bookmarkStart w:id="15774" w:name="P15774"/>
    <w:bookmarkEnd w:id="15774"/>
    <w:p>
      <w:pPr>
        <w:pStyle w:val="0"/>
        <w:spacing w:before="200" w:line-rule="auto"/>
        <w:ind w:firstLine="540"/>
        <w:jc w:val="both"/>
      </w:pPr>
      <w:r>
        <w:rPr>
          <w:sz w:val="20"/>
        </w:rPr>
        <w:t xml:space="preserve">41. В срок, не превышающий 8 рабочих дней со дня окончания срока подачи отчетных документов, установленного </w:t>
      </w:r>
      <w:hyperlink w:history="0" w:anchor="P15768" w:tooltip="39. Для получения субсидии получатель субсидии в срок не позднее 7 рабочего дня каждого месяца, следующего за отчетным месяцем, представляет в Министерство в электронном виде посредством Информационной системы документы, подтверждающие соответствие требованиям, указанным в пунктах 61 и 62 Порядка, согласно перечню, предусмотренному таблицей 1 к Порядку, подтверждающие недополученные доходы (далее - отчетные документы), за отчетный месяц (по состоянию на последний день отчетного месяца, по итогам которого...">
        <w:r>
          <w:rPr>
            <w:sz w:val="20"/>
            <w:color w:val="0000ff"/>
          </w:rPr>
          <w:t xml:space="preserve">абзацем первым пункта 39</w:t>
        </w:r>
      </w:hyperlink>
      <w:r>
        <w:rPr>
          <w:sz w:val="20"/>
        </w:rPr>
        <w:t xml:space="preserve"> Порядка, АНО "АИР" осуществляет проверку отчетных документов на предмет:</w:t>
      </w:r>
    </w:p>
    <w:p>
      <w:pPr>
        <w:pStyle w:val="0"/>
        <w:spacing w:before="200" w:line-rule="auto"/>
        <w:ind w:firstLine="540"/>
        <w:jc w:val="both"/>
      </w:pPr>
      <w:r>
        <w:rPr>
          <w:sz w:val="20"/>
        </w:rPr>
        <w:t xml:space="preserve">комплектности отчетных документов согласно </w:t>
      </w:r>
      <w:hyperlink w:history="0" w:anchor="P15945" w:tooltip="ПЕРЕЧЕНЬ ДОКУМЕНТОВ, ПРЕДСТАВЛЯЕМЫХ ПОЛУЧАТЕЛЯМИ СУБСИДИИ">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достоверности и соответствия представленных получателем субсидии документов и указанных в них сведений требованиям, установленным Порядком;</w:t>
      </w:r>
    </w:p>
    <w:p>
      <w:pPr>
        <w:pStyle w:val="0"/>
        <w:spacing w:before="200" w:line-rule="auto"/>
        <w:ind w:firstLine="540"/>
        <w:jc w:val="both"/>
      </w:pPr>
      <w:r>
        <w:rPr>
          <w:sz w:val="20"/>
        </w:rPr>
        <w:t xml:space="preserve">представления электронных образов документов, позволяющих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По итогам рассмотрения и произведенной проверки отчетных документов АНО "АИР" составляет заключение о соответствии или о несоответствии отчетных документов требованиям, установленным Порядком, и направляет его в Министерство.</w:t>
      </w:r>
    </w:p>
    <w:p>
      <w:pPr>
        <w:pStyle w:val="0"/>
        <w:spacing w:before="200" w:line-rule="auto"/>
        <w:ind w:firstLine="540"/>
        <w:jc w:val="both"/>
      </w:pPr>
      <w:r>
        <w:rPr>
          <w:sz w:val="20"/>
        </w:rPr>
        <w:t xml:space="preserve">АНО "АИР" имеет право запросить пояснения, касающиеся сведений и данных, указанных в отчетных документах, посредством направления получателю субсидии уведомления о необходимости представления пояснений (далее - Уведомление о представлении пояснений) в Информационной системе.</w:t>
      </w:r>
    </w:p>
    <w:p>
      <w:pPr>
        <w:pStyle w:val="0"/>
        <w:spacing w:before="200" w:line-rule="auto"/>
        <w:ind w:firstLine="540"/>
        <w:jc w:val="both"/>
      </w:pPr>
      <w:r>
        <w:rPr>
          <w:sz w:val="20"/>
        </w:rPr>
        <w:t xml:space="preserve">Уведомление о представлении пояснений может быть направлено получателю субсидии повторно неограниченное количество раз в пределах срока, установленного </w:t>
      </w:r>
      <w:hyperlink w:history="0" w:anchor="P15774" w:tooltip="41. В срок, не превышающий 8 рабочих дней со дня окончания срока подачи отчетных документов, установленного абзацем первым пункта 39 Порядка, АНО &quot;АИР&quot; осуществляет проверку отчетных документов на предмет:">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Получатель субсидии представляет пояснения, касающиеся сведений и данных, указанных в отчетных документах, в срок не более 2 рабочих дней со дня направления Уведомления о представлении пояснений.</w:t>
      </w:r>
    </w:p>
    <w:p>
      <w:pPr>
        <w:pStyle w:val="0"/>
        <w:spacing w:before="200" w:line-rule="auto"/>
        <w:ind w:firstLine="540"/>
        <w:jc w:val="both"/>
      </w:pPr>
      <w:r>
        <w:rPr>
          <w:sz w:val="20"/>
        </w:rPr>
        <w:t xml:space="preserve">В случае непредставления пояснений, касающихся сведений и данных, указанных в отчетных документах, в пределах установленного настоящим пунктом срока Министерство принимает решение об отказе в предоставлении субсидии в соответствии с </w:t>
      </w:r>
      <w:hyperlink w:history="0" w:anchor="P15788" w:tooltip="43. Основания для отказа в предоставлении субсидии (части субсидии):">
        <w:r>
          <w:rPr>
            <w:sz w:val="20"/>
            <w:color w:val="0000ff"/>
          </w:rPr>
          <w:t xml:space="preserve">пунктом 43</w:t>
        </w:r>
      </w:hyperlink>
      <w:r>
        <w:rPr>
          <w:sz w:val="20"/>
        </w:rPr>
        <w:t xml:space="preserve"> Порядка.</w:t>
      </w:r>
    </w:p>
    <w:bookmarkStart w:id="15783" w:name="P15783"/>
    <w:bookmarkEnd w:id="15783"/>
    <w:p>
      <w:pPr>
        <w:pStyle w:val="0"/>
        <w:spacing w:before="200" w:line-rule="auto"/>
        <w:ind w:firstLine="540"/>
        <w:jc w:val="both"/>
      </w:pPr>
      <w:r>
        <w:rPr>
          <w:sz w:val="20"/>
        </w:rPr>
        <w:t xml:space="preserve">42. В течение 8 рабочих дней со дня получения заключения АНО "АИР" о соответствии или о несоответствии отчетных документов либо о принятии отчетных документов с выявленными нарушениями Министерство принимает одно из следующих решений:</w:t>
      </w:r>
    </w:p>
    <w:p>
      <w:pPr>
        <w:pStyle w:val="0"/>
        <w:spacing w:before="200" w:line-rule="auto"/>
        <w:ind w:firstLine="540"/>
        <w:jc w:val="both"/>
      </w:pPr>
      <w:r>
        <w:rPr>
          <w:sz w:val="20"/>
        </w:rPr>
        <w:t xml:space="preserve">о предоставлении субсидии (части субсидии);</w:t>
      </w:r>
    </w:p>
    <w:p>
      <w:pPr>
        <w:pStyle w:val="0"/>
        <w:spacing w:before="200" w:line-rule="auto"/>
        <w:ind w:firstLine="540"/>
        <w:jc w:val="both"/>
      </w:pPr>
      <w:r>
        <w:rPr>
          <w:sz w:val="20"/>
        </w:rPr>
        <w:t xml:space="preserve">об отказе в предоставлении субсидии (части субсидии).</w:t>
      </w:r>
    </w:p>
    <w:p>
      <w:pPr>
        <w:pStyle w:val="0"/>
        <w:spacing w:before="200" w:line-rule="auto"/>
        <w:ind w:firstLine="540"/>
        <w:jc w:val="both"/>
      </w:pPr>
      <w:r>
        <w:rPr>
          <w:sz w:val="20"/>
        </w:rPr>
        <w:t xml:space="preserve">Решения Министерства оформляются приказами Министерства.</w:t>
      </w:r>
    </w:p>
    <w:p>
      <w:pPr>
        <w:pStyle w:val="0"/>
        <w:spacing w:before="200" w:line-rule="auto"/>
        <w:ind w:firstLine="540"/>
        <w:jc w:val="both"/>
      </w:pPr>
      <w:r>
        <w:rPr>
          <w:sz w:val="20"/>
        </w:rPr>
        <w:t xml:space="preserve">Министерство в срок не позднее 2 рабочего дня со дня принятия решения в соответствии с настоящим пунктом, направляет получателю субсидии уведомление, соответствующее принятому решению, в электронном виде в личный кабинет Информационной системы.</w:t>
      </w:r>
    </w:p>
    <w:bookmarkStart w:id="15788" w:name="P15788"/>
    <w:bookmarkEnd w:id="15788"/>
    <w:p>
      <w:pPr>
        <w:pStyle w:val="0"/>
        <w:spacing w:before="200" w:line-rule="auto"/>
        <w:ind w:firstLine="540"/>
        <w:jc w:val="both"/>
      </w:pPr>
      <w:r>
        <w:rPr>
          <w:sz w:val="20"/>
        </w:rPr>
        <w:t xml:space="preserve">43. Основания для отказа в предоставлении субсидии (части субсидии):</w:t>
      </w:r>
    </w:p>
    <w:p>
      <w:pPr>
        <w:pStyle w:val="0"/>
        <w:spacing w:before="200" w:line-rule="auto"/>
        <w:ind w:firstLine="540"/>
        <w:jc w:val="both"/>
      </w:pPr>
      <w:r>
        <w:rPr>
          <w:sz w:val="20"/>
        </w:rPr>
        <w:t xml:space="preserve">1) несоответствие представленных получателем субсидии отчетных документов требованиям, определенным в соответствии с </w:t>
      </w:r>
      <w:hyperlink w:history="0" w:anchor="P15900" w:tooltip="61. Требования к кредитным договорам:">
        <w:r>
          <w:rPr>
            <w:sz w:val="20"/>
            <w:color w:val="0000ff"/>
          </w:rPr>
          <w:t xml:space="preserve">пунктами 61</w:t>
        </w:r>
      </w:hyperlink>
      <w:r>
        <w:rPr>
          <w:sz w:val="20"/>
        </w:rPr>
        <w:t xml:space="preserve"> и </w:t>
      </w:r>
      <w:hyperlink w:history="0" w:anchor="P15931" w:tooltip="62. Требования к заемщикам:">
        <w:r>
          <w:rPr>
            <w:sz w:val="20"/>
            <w:color w:val="0000ff"/>
          </w:rPr>
          <w:t xml:space="preserve">62</w:t>
        </w:r>
      </w:hyperlink>
      <w:r>
        <w:rPr>
          <w:sz w:val="20"/>
        </w:rPr>
        <w:t xml:space="preserve"> Порядка;</w:t>
      </w:r>
    </w:p>
    <w:p>
      <w:pPr>
        <w:pStyle w:val="0"/>
        <w:spacing w:before="200" w:line-rule="auto"/>
        <w:ind w:firstLine="540"/>
        <w:jc w:val="both"/>
      </w:pPr>
      <w:r>
        <w:rPr>
          <w:sz w:val="20"/>
        </w:rPr>
        <w:t xml:space="preserve">2) непредставление (представление не в полном объеме) отчетных документов согласно перечню в </w:t>
      </w:r>
      <w:hyperlink w:history="0" w:anchor="P15945" w:tooltip="ПЕРЕЧЕНЬ ДОКУМЕНТОВ, ПРЕДСТАВЛЯЕМЫХ ПОЛУЧАТЕЛЯМИ СУБСИДИИ">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3) установления факта недостоверности представленной получателем субсидии информации;</w:t>
      </w:r>
    </w:p>
    <w:p>
      <w:pPr>
        <w:pStyle w:val="0"/>
        <w:spacing w:before="200" w:line-rule="auto"/>
        <w:ind w:firstLine="540"/>
        <w:jc w:val="both"/>
      </w:pPr>
      <w:r>
        <w:rPr>
          <w:sz w:val="20"/>
        </w:rPr>
        <w:t xml:space="preserve">4) представления электронных образов отчетных документов, не позволяющих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5) недостаточности размера бюджетных ассигнований, предусмотренных Министерству законом Московской области о бюджете Московской области на соответствующий финансовый год и на плановый период в рамках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w:t>
      </w:r>
    </w:p>
    <w:p>
      <w:pPr>
        <w:pStyle w:val="0"/>
        <w:spacing w:before="200" w:line-rule="auto"/>
        <w:ind w:firstLine="540"/>
        <w:jc w:val="both"/>
      </w:pPr>
      <w:r>
        <w:rPr>
          <w:sz w:val="20"/>
        </w:rPr>
        <w:t xml:space="preserve">6) в случае установления факта принадлежности (отнесения) получателя субсидии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(несоответствие требованиям </w:t>
      </w:r>
      <w:hyperlink w:history="0" r:id="rId7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 15 статьи 241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Отказ в предоставлении субсидии (части субсидии) не препятствует повторному обращению получателя субсидии за ее перечислением в следующем отчетном месяце (посредством направления нового обращения).</w:t>
      </w:r>
    </w:p>
    <w:bookmarkStart w:id="15796" w:name="P15796"/>
    <w:bookmarkEnd w:id="15796"/>
    <w:p>
      <w:pPr>
        <w:pStyle w:val="0"/>
        <w:spacing w:before="200" w:line-rule="auto"/>
        <w:ind w:firstLine="540"/>
        <w:jc w:val="both"/>
      </w:pPr>
      <w:r>
        <w:rPr>
          <w:sz w:val="20"/>
        </w:rPr>
        <w:t xml:space="preserve">44. Предоставление субсидии за отчетный месяц (С) осуществляется в размере, рассчитываемом по формуле:</w:t>
      </w:r>
    </w:p>
    <w:p>
      <w:pPr>
        <w:pStyle w:val="0"/>
        <w:jc w:val="both"/>
      </w:pPr>
      <w:r>
        <w:rPr>
          <w:sz w:val="20"/>
        </w:rPr>
      </w:r>
    </w:p>
    <w:p>
      <w:pPr>
        <w:pStyle w:val="0"/>
        <w:jc w:val="center"/>
      </w:pPr>
      <w:r>
        <w:rPr>
          <w:position w:val="-10"/>
        </w:rPr>
        <w:drawing>
          <wp:inline distT="0" distB="0" distL="0" distR="0">
            <wp:extent cx="7239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порядковый номер кредитного договора;</w:t>
      </w:r>
    </w:p>
    <w:p>
      <w:pPr>
        <w:pStyle w:val="0"/>
        <w:spacing w:before="200" w:line-rule="auto"/>
        <w:ind w:firstLine="540"/>
        <w:jc w:val="both"/>
      </w:pPr>
      <w:r>
        <w:rPr>
          <w:sz w:val="20"/>
        </w:rPr>
        <w:t xml:space="preserve">Сф</w:t>
      </w:r>
      <w:r>
        <w:rPr>
          <w:sz w:val="20"/>
          <w:vertAlign w:val="subscript"/>
        </w:rPr>
        <w:t xml:space="preserve">k</w:t>
      </w:r>
      <w:r>
        <w:rPr>
          <w:sz w:val="20"/>
        </w:rPr>
        <w:t xml:space="preserve"> - размер субсидии по кредитам, в отношении которых получателем субсидии начислены проценты за пользование кредитом по льготной процентной ставке в отчетном периоде, определяемый по формуле:</w:t>
      </w:r>
    </w:p>
    <w:p>
      <w:pPr>
        <w:pStyle w:val="0"/>
        <w:jc w:val="both"/>
      </w:pPr>
      <w:r>
        <w:rPr>
          <w:sz w:val="20"/>
        </w:rPr>
      </w:r>
    </w:p>
    <w:p>
      <w:pPr>
        <w:pStyle w:val="0"/>
        <w:jc w:val="center"/>
      </w:pPr>
      <w:r>
        <w:rPr>
          <w:position w:val="-23"/>
        </w:rPr>
        <w:drawing>
          <wp:inline distT="0" distB="0" distL="0" distR="0">
            <wp:extent cx="1190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w:t>
      </w:r>
      <w:r>
        <w:rPr>
          <w:sz w:val="20"/>
          <w:vertAlign w:val="subscript"/>
        </w:rPr>
        <w:t xml:space="preserve">сз</w:t>
      </w:r>
      <w:r>
        <w:rPr>
          <w:sz w:val="20"/>
        </w:rPr>
        <w:t xml:space="preserve"> - среднемесячный остаток ссудной задолженности заемщика по i-му кредитному договору за отчетный месяц;</w:t>
      </w:r>
    </w:p>
    <w:p>
      <w:pPr>
        <w:pStyle w:val="0"/>
        <w:spacing w:before="200" w:line-rule="auto"/>
        <w:ind w:firstLine="540"/>
        <w:jc w:val="both"/>
      </w:pPr>
      <w:r>
        <w:rPr>
          <w:sz w:val="20"/>
        </w:rPr>
        <w:t xml:space="preserve">S - ставка субсидирования, определяемая в размере:</w:t>
      </w:r>
    </w:p>
    <w:p>
      <w:pPr>
        <w:pStyle w:val="0"/>
        <w:spacing w:before="200" w:line-rule="auto"/>
        <w:ind w:firstLine="540"/>
        <w:jc w:val="both"/>
      </w:pPr>
      <w:r>
        <w:rPr>
          <w:sz w:val="20"/>
        </w:rPr>
        <w:t xml:space="preserve">ключевой ставки Центрального банка Российской Федерации, действующей на дату заключения кредитного договора (либо на дату заключения дополнительного соглашения к кредитному договору при присоединении к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мероприятию 01.05</w:t>
        </w:r>
      </w:hyperlink>
      <w:r>
        <w:rPr>
          <w:sz w:val="20"/>
        </w:rPr>
        <w:t xml:space="preserve"> действующих кредитных договоров) - в случае, если значение ключевой ставки Центрального банка Российской Федерации составляет до 11 процентов включительно;</w:t>
      </w:r>
    </w:p>
    <w:p>
      <w:pPr>
        <w:pStyle w:val="0"/>
        <w:spacing w:before="200" w:line-rule="auto"/>
        <w:ind w:firstLine="540"/>
        <w:jc w:val="both"/>
      </w:pPr>
      <w:r>
        <w:rPr>
          <w:sz w:val="20"/>
        </w:rPr>
        <w:t xml:space="preserve">трех четвертых ключевой ставки Центрального банка Российской Федерации, действующей на дату заключения кредитного договора (либо на дату заключения дополнительного соглашения к кредитному договору при присоединении к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мероприятию 01.05</w:t>
        </w:r>
      </w:hyperlink>
      <w:r>
        <w:rPr>
          <w:sz w:val="20"/>
        </w:rPr>
        <w:t xml:space="preserve"> действующих кредитных договоров) (округление до десятых долей процентов в сторону увеличения) - в случае, если значение ключевой ставки Центрального банка Российской Федерации составляет более 11 процентов;</w:t>
      </w:r>
    </w:p>
    <w:p>
      <w:pPr>
        <w:pStyle w:val="0"/>
        <w:spacing w:before="200" w:line-rule="auto"/>
        <w:ind w:firstLine="540"/>
        <w:jc w:val="both"/>
      </w:pPr>
      <w:r>
        <w:rPr>
          <w:sz w:val="20"/>
        </w:rPr>
        <w:t xml:space="preserve">9,5 процента годовых по кредитам в рамках ПСК;</w:t>
      </w:r>
    </w:p>
    <w:p>
      <w:pPr>
        <w:pStyle w:val="0"/>
        <w:spacing w:before="200" w:line-rule="auto"/>
        <w:ind w:firstLine="540"/>
        <w:jc w:val="both"/>
      </w:pPr>
      <w:r>
        <w:rPr>
          <w:sz w:val="20"/>
        </w:rPr>
        <w:t xml:space="preserve">N</w:t>
      </w:r>
      <w:r>
        <w:rPr>
          <w:sz w:val="20"/>
          <w:vertAlign w:val="subscript"/>
        </w:rPr>
        <w:t xml:space="preserve">г</w:t>
      </w:r>
      <w:r>
        <w:rPr>
          <w:sz w:val="20"/>
        </w:rPr>
        <w:t xml:space="preserve"> - количество дней соответствующего финансового года;</w:t>
      </w:r>
    </w:p>
    <w:p>
      <w:pPr>
        <w:pStyle w:val="0"/>
        <w:spacing w:before="200" w:line-rule="auto"/>
        <w:ind w:firstLine="540"/>
        <w:jc w:val="both"/>
      </w:pPr>
      <w:r>
        <w:rPr>
          <w:sz w:val="20"/>
        </w:rPr>
        <w:t xml:space="preserve">N</w:t>
      </w:r>
      <w:r>
        <w:rPr>
          <w:sz w:val="20"/>
          <w:vertAlign w:val="subscript"/>
        </w:rPr>
        <w:t xml:space="preserve">м</w:t>
      </w:r>
      <w:r>
        <w:rPr>
          <w:sz w:val="20"/>
        </w:rPr>
        <w:t xml:space="preserve"> - количество дней пользования k-м кредитом, в отношении которого получателю субсидии в отчетном месяце фактически начислены проценты за пользование кредитом по льготной процентной ставке.</w:t>
      </w:r>
    </w:p>
    <w:p>
      <w:pPr>
        <w:pStyle w:val="0"/>
        <w:jc w:val="both"/>
      </w:pPr>
      <w:r>
        <w:rPr>
          <w:sz w:val="20"/>
        </w:rPr>
      </w:r>
    </w:p>
    <w:p>
      <w:pPr>
        <w:pStyle w:val="0"/>
        <w:ind w:firstLine="540"/>
        <w:jc w:val="both"/>
      </w:pPr>
      <w:r>
        <w:rPr>
          <w:sz w:val="20"/>
        </w:rPr>
        <w:t xml:space="preserve">Среднемесячный остаток ссудной задолженности заемщика по кредитному договору за отчетный месяц (Осз) определяется по формуле:</w:t>
      </w:r>
    </w:p>
    <w:p>
      <w:pPr>
        <w:pStyle w:val="0"/>
        <w:jc w:val="both"/>
      </w:pPr>
      <w:r>
        <w:rPr>
          <w:sz w:val="20"/>
        </w:rPr>
      </w:r>
    </w:p>
    <w:p>
      <w:pPr>
        <w:pStyle w:val="0"/>
        <w:jc w:val="center"/>
      </w:pPr>
      <w:r>
        <w:rPr>
          <w:position w:val="-23"/>
        </w:rPr>
        <w:drawing>
          <wp:inline distT="0" distB="0" distL="0" distR="0">
            <wp:extent cx="914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w:t>
      </w:r>
      <w:r>
        <w:rPr>
          <w:sz w:val="20"/>
          <w:vertAlign w:val="subscript"/>
        </w:rPr>
        <w:t xml:space="preserve">i</w:t>
      </w:r>
      <w:r>
        <w:rPr>
          <w:sz w:val="20"/>
        </w:rPr>
        <w:t xml:space="preserve"> - остаток ссудной задолженности заемщика по кредитному договору на конец i-го дня в отчетном месяце;</w:t>
      </w:r>
    </w:p>
    <w:p>
      <w:pPr>
        <w:pStyle w:val="0"/>
        <w:spacing w:before="200" w:line-rule="auto"/>
        <w:ind w:firstLine="540"/>
        <w:jc w:val="both"/>
      </w:pPr>
      <w:r>
        <w:rPr>
          <w:sz w:val="20"/>
        </w:rPr>
        <w:t xml:space="preserve">N</w:t>
      </w:r>
      <w:r>
        <w:rPr>
          <w:sz w:val="20"/>
          <w:vertAlign w:val="subscript"/>
        </w:rPr>
        <w:t xml:space="preserve">м</w:t>
      </w:r>
      <w:r>
        <w:rPr>
          <w:sz w:val="20"/>
        </w:rPr>
        <w:t xml:space="preserve"> - количество дней отчетного месяца.</w:t>
      </w:r>
    </w:p>
    <w:p>
      <w:pPr>
        <w:pStyle w:val="0"/>
        <w:jc w:val="both"/>
      </w:pPr>
      <w:r>
        <w:rPr>
          <w:sz w:val="20"/>
        </w:rPr>
      </w:r>
    </w:p>
    <w:p>
      <w:pPr>
        <w:pStyle w:val="0"/>
        <w:ind w:firstLine="540"/>
        <w:jc w:val="both"/>
      </w:pPr>
      <w:r>
        <w:rPr>
          <w:sz w:val="20"/>
        </w:rPr>
        <w:t xml:space="preserve">В случае уменьшения лимитов бюджетных обязательств на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мероприятие 01.05</w:t>
        </w:r>
      </w:hyperlink>
      <w:r>
        <w:rPr>
          <w:sz w:val="20"/>
        </w:rPr>
        <w:t xml:space="preserve"> размер субсидии определяется в следующем порядке:</w:t>
      </w:r>
    </w:p>
    <w:p>
      <w:pPr>
        <w:pStyle w:val="0"/>
        <w:spacing w:before="200" w:line-rule="auto"/>
        <w:ind w:firstLine="540"/>
        <w:jc w:val="both"/>
      </w:pPr>
      <w:r>
        <w:rPr>
          <w:sz w:val="20"/>
        </w:rPr>
        <w:t xml:space="preserve">определяется размер средств, необходимых для обслуживания действующих кредитных договоров;</w:t>
      </w:r>
    </w:p>
    <w:p>
      <w:pPr>
        <w:pStyle w:val="0"/>
        <w:spacing w:before="200" w:line-rule="auto"/>
        <w:ind w:firstLine="540"/>
        <w:jc w:val="both"/>
      </w:pPr>
      <w:r>
        <w:rPr>
          <w:sz w:val="20"/>
        </w:rPr>
        <w:t xml:space="preserve">в случае если лимит бюджетных обязательств на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мероприятие 01.05</w:t>
        </w:r>
      </w:hyperlink>
      <w:r>
        <w:rPr>
          <w:sz w:val="20"/>
        </w:rPr>
        <w:t xml:space="preserve"> равен или больше размера средств, необходимых для обслуживания действующих кредитных договоров, каждому получателю субсидии устанавливается размер субсидии в размере средств, необходимых для обслуживания действующих кредитных договоров на данного получателя субсидии;</w:t>
      </w:r>
    </w:p>
    <w:p>
      <w:pPr>
        <w:pStyle w:val="0"/>
        <w:spacing w:before="200" w:line-rule="auto"/>
        <w:ind w:firstLine="540"/>
        <w:jc w:val="both"/>
      </w:pPr>
      <w:r>
        <w:rPr>
          <w:sz w:val="20"/>
        </w:rPr>
        <w:t xml:space="preserve">в случае если лимит бюджетных обязательств на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мероприятие 01.05</w:t>
        </w:r>
      </w:hyperlink>
      <w:r>
        <w:rPr>
          <w:sz w:val="20"/>
        </w:rPr>
        <w:t xml:space="preserve"> меньше размера средств, необходимых для обслуживания действующих кредитных договоров, лимит бюджетных обязательств распределяется путем пропорционального уменьшения размера субсидии каждого получателя субсидии, указанного в Соглашении.</w:t>
      </w:r>
    </w:p>
    <w:bookmarkStart w:id="15827" w:name="P15827"/>
    <w:bookmarkEnd w:id="15827"/>
    <w:p>
      <w:pPr>
        <w:pStyle w:val="0"/>
        <w:spacing w:before="200" w:line-rule="auto"/>
        <w:ind w:firstLine="540"/>
        <w:jc w:val="both"/>
      </w:pPr>
      <w:r>
        <w:rPr>
          <w:sz w:val="20"/>
        </w:rPr>
        <w:t xml:space="preserve">45. В случае недостаточности размера предусмотренных бюджетных ассигнований для предоставления субсидии в размере, рассчитанном в соответствии с </w:t>
      </w:r>
      <w:hyperlink w:history="0" w:anchor="P15796" w:tooltip="44. Предоставление субсидии за отчетный месяц (С) осуществляется в размере, рассчитываемом по формуле:">
        <w:r>
          <w:rPr>
            <w:sz w:val="20"/>
            <w:color w:val="0000ff"/>
          </w:rPr>
          <w:t xml:space="preserve">пунктом 44</w:t>
        </w:r>
      </w:hyperlink>
      <w:r>
        <w:rPr>
          <w:sz w:val="20"/>
        </w:rPr>
        <w:t xml:space="preserve"> Порядка, Министерство принимает решение о предоставлении части субсидии в пределах предусмотренных лимитов бюджетных обязательств, доведенных до Министерства как получателя бюджетных средств на цель, указанную в </w:t>
      </w:r>
      <w:hyperlink w:history="0" w:anchor="P15538" w:tooltip="5. Целью предоставления субсидии является возмещение недополученных доходов получателя субсидии, связанных с предоставлением кредитов по льготной процентной ставке субъектам малого и среднего предпринимательства.">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Предоставление оставшейся части субсидии, которая не была предоставлена в случае, указанном в </w:t>
      </w:r>
      <w:hyperlink w:history="0" w:anchor="P15827" w:tooltip="45. В случае недостаточности размера предусмотренных бюджетных ассигнований для предоставления субсидии в размере, рассчитанном в соответствии с пунктом 44 Порядка, Министерство принимает решение о предоставлении части субсидии в пределах предусмотренных лимитов бюджетных обязательств, доведенных до Министерства как получателя бюджетных средств на цель, указанную в пункте 5 Порядка.">
        <w:r>
          <w:rPr>
            <w:sz w:val="20"/>
            <w:color w:val="0000ff"/>
          </w:rPr>
          <w:t xml:space="preserve">абзаце первом</w:t>
        </w:r>
      </w:hyperlink>
      <w:r>
        <w:rPr>
          <w:sz w:val="20"/>
        </w:rPr>
        <w:t xml:space="preserve"> настоящего пункта, осуществляется после утверждения очередного распределения или перераспределения бюджетных ассигнований для предоставления субсидии и (или) увеличения лимитов бюджетных обязательств и заключения дополнительного соглашения с получателем субсидии в результате принятия решения о предоставлении субсидии.</w:t>
      </w:r>
    </w:p>
    <w:bookmarkStart w:id="15829" w:name="P15829"/>
    <w:bookmarkEnd w:id="15829"/>
    <w:p>
      <w:pPr>
        <w:pStyle w:val="0"/>
        <w:spacing w:before="200" w:line-rule="auto"/>
        <w:ind w:firstLine="540"/>
        <w:jc w:val="both"/>
      </w:pPr>
      <w:r>
        <w:rPr>
          <w:sz w:val="20"/>
        </w:rPr>
        <w:t xml:space="preserve">46. Субсидия перечисляется на корреспондентский счет получателя субсидии, открытый в учреждении Центрального банка Российской Федерации, в срок не позднее 10 рабочего дня, следующего за днем принятия Министерством по результатам рассмотрения и проверки им отчетных документов, указанных в </w:t>
      </w:r>
      <w:hyperlink w:history="0" w:anchor="P15945" w:tooltip="ПЕРЕЧЕНЬ ДОКУМЕНТОВ, ПРЕДСТАВЛЯЕМЫХ ПОЛУЧАТЕЛЯМИ СУБСИДИИ">
        <w:r>
          <w:rPr>
            <w:sz w:val="20"/>
            <w:color w:val="0000ff"/>
          </w:rPr>
          <w:t xml:space="preserve">таблице 1</w:t>
        </w:r>
      </w:hyperlink>
      <w:r>
        <w:rPr>
          <w:sz w:val="20"/>
        </w:rPr>
        <w:t xml:space="preserve"> к Порядку, решения о предоставлении субсидии.</w:t>
      </w:r>
    </w:p>
    <w:p>
      <w:pPr>
        <w:pStyle w:val="0"/>
        <w:spacing w:before="200" w:line-rule="auto"/>
        <w:ind w:firstLine="540"/>
        <w:jc w:val="both"/>
      </w:pPr>
      <w:r>
        <w:rPr>
          <w:sz w:val="20"/>
        </w:rPr>
        <w:t xml:space="preserve">Субсидии за последний отчетный месяц соответствующего финансового года перечисляются в 1 месяце очередного финансового года.</w:t>
      </w:r>
    </w:p>
    <w:p>
      <w:pPr>
        <w:pStyle w:val="0"/>
        <w:spacing w:before="200" w:line-rule="auto"/>
        <w:ind w:firstLine="540"/>
        <w:jc w:val="both"/>
      </w:pPr>
      <w:r>
        <w:rPr>
          <w:sz w:val="20"/>
        </w:rPr>
        <w:t xml:space="preserve">Последнее в финансовом году перечисление субсидии, а также окончательная сверка расчетов субсидии осуществляются не позднее последнего рабочего дня соответствующего финансового года.</w:t>
      </w:r>
    </w:p>
    <w:p>
      <w:pPr>
        <w:pStyle w:val="0"/>
        <w:spacing w:before="200" w:line-rule="auto"/>
        <w:ind w:firstLine="540"/>
        <w:jc w:val="both"/>
      </w:pPr>
      <w:r>
        <w:rPr>
          <w:sz w:val="20"/>
        </w:rPr>
        <w:t xml:space="preserve">В случае представления получателем субсидии отчетных документов в соответствии с </w:t>
      </w:r>
      <w:hyperlink w:history="0" w:anchor="P15769" w:tooltip="Для получения субсидии за последний месяц финансового года получатель субсидии вправе представить в срок до 20 декабря отчетные документы по состоянию на 15 число последнего отчетного месяца.">
        <w:r>
          <w:rPr>
            <w:sz w:val="20"/>
            <w:color w:val="0000ff"/>
          </w:rPr>
          <w:t xml:space="preserve">абзацем вторым пункта 39</w:t>
        </w:r>
      </w:hyperlink>
      <w:r>
        <w:rPr>
          <w:sz w:val="20"/>
        </w:rPr>
        <w:t xml:space="preserve"> Порядка часть субсидии за последний отчетный месяц перечисляется не позднее последнего рабочего дня соответствующего финансового года с учетом срока, определенного в </w:t>
      </w:r>
      <w:hyperlink w:history="0" w:anchor="P15829" w:tooltip="46. Субсидия перечисляется на корреспондентский счет получателя субсидии, открытый в учреждении Центрального банка Российской Федерации, в срок не позднее 10 рабочего дня, следующего за днем принятия Министерством по результатам рассмотрения и проверки им отчетных документов, указанных в таблице 1 к Порядку, решения о предоставлении субсид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В случае выявления технических ошибок в расчетах субсидии, перечисленной в предшествующих месяцах, Министерство и получатель субсидии производят сверку расчетов субсидии с перерасчетом сумм, подлежащих перечислению в следующем отчетном месяце.</w:t>
      </w:r>
    </w:p>
    <w:bookmarkStart w:id="15834" w:name="P15834"/>
    <w:bookmarkEnd w:id="15834"/>
    <w:p>
      <w:pPr>
        <w:pStyle w:val="0"/>
        <w:spacing w:before="200" w:line-rule="auto"/>
        <w:ind w:firstLine="540"/>
        <w:jc w:val="both"/>
      </w:pPr>
      <w:r>
        <w:rPr>
          <w:sz w:val="20"/>
        </w:rPr>
        <w:t xml:space="preserve">47. В целях рассмотрения вопроса об изменении размера предоставленной субсидии получатели субсидии вправе самостоятельно либо по запросу Министерства представить в Министерство предложения по дополнительному плановому объему предоставления кредитов с приложением уточненного плана-графика предоставления кредитов по форме, утверждаемой Министерством, посредством Информационной системы.</w:t>
      </w:r>
    </w:p>
    <w:p>
      <w:pPr>
        <w:pStyle w:val="0"/>
        <w:spacing w:before="200" w:line-rule="auto"/>
        <w:ind w:firstLine="540"/>
        <w:jc w:val="both"/>
      </w:pPr>
      <w:r>
        <w:rPr>
          <w:sz w:val="20"/>
        </w:rPr>
        <w:t xml:space="preserve">Министерство вправе перераспределить субсидию в случае, если объем предоставленных получателем субсидии кредитов в соответствующем финансовом году составил менее:</w:t>
      </w:r>
    </w:p>
    <w:p>
      <w:pPr>
        <w:pStyle w:val="0"/>
        <w:spacing w:before="200" w:line-rule="auto"/>
        <w:ind w:firstLine="540"/>
        <w:jc w:val="both"/>
      </w:pPr>
      <w:r>
        <w:rPr>
          <w:sz w:val="20"/>
        </w:rPr>
        <w:t xml:space="preserve">75% от планового объема предоставления кредитов (нарастающим итогом) по состоянию на 1 октября соответствующего финансового года;</w:t>
      </w:r>
    </w:p>
    <w:p>
      <w:pPr>
        <w:pStyle w:val="0"/>
        <w:spacing w:before="200" w:line-rule="auto"/>
        <w:ind w:firstLine="540"/>
        <w:jc w:val="both"/>
      </w:pPr>
      <w:r>
        <w:rPr>
          <w:sz w:val="20"/>
        </w:rPr>
        <w:t xml:space="preserve">100% от планового объема предоставления кредитов (нарастающим итогом) по состоянию на 1 января очередного финансового года.</w:t>
      </w:r>
    </w:p>
    <w:p>
      <w:pPr>
        <w:pStyle w:val="0"/>
        <w:spacing w:before="200" w:line-rule="auto"/>
        <w:ind w:firstLine="540"/>
        <w:jc w:val="both"/>
      </w:pPr>
      <w:r>
        <w:rPr>
          <w:sz w:val="20"/>
        </w:rPr>
        <w:t xml:space="preserve">В случае если Соглашение заключено позднее 1 февраля соответствующего календарного года, то для целей перераспределения субсидии процент выполнения обязательства по предоставлению кредитов от планового объема предоставления кредитов в соответствующем финансовом году на 1 число каждого квартала рассчитывается по формуле:</w:t>
      </w:r>
    </w:p>
    <w:p>
      <w:pPr>
        <w:pStyle w:val="0"/>
        <w:jc w:val="both"/>
      </w:pPr>
      <w:r>
        <w:rPr>
          <w:sz w:val="20"/>
        </w:rPr>
      </w:r>
    </w:p>
    <w:p>
      <w:pPr>
        <w:pStyle w:val="0"/>
        <w:jc w:val="center"/>
      </w:pPr>
      <w:r>
        <w:rPr>
          <w:position w:val="-64"/>
        </w:rPr>
        <w:drawing>
          <wp:inline distT="0" distB="0" distL="0" distR="0">
            <wp:extent cx="1266825" cy="942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1266825" cy="942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процент выполнения обязательства по предоставлению кредитов;</w:t>
      </w:r>
    </w:p>
    <w:p>
      <w:pPr>
        <w:pStyle w:val="0"/>
        <w:spacing w:before="200" w:line-rule="auto"/>
        <w:ind w:firstLine="540"/>
        <w:jc w:val="both"/>
      </w:pPr>
      <w:r>
        <w:rPr>
          <w:sz w:val="20"/>
        </w:rPr>
        <w:t xml:space="preserve">К - плановый объем предоставления кредитов;</w:t>
      </w:r>
    </w:p>
    <w:p>
      <w:pPr>
        <w:pStyle w:val="0"/>
        <w:spacing w:before="200" w:line-rule="auto"/>
        <w:ind w:firstLine="540"/>
        <w:jc w:val="both"/>
      </w:pPr>
      <w:r>
        <w:rPr>
          <w:sz w:val="20"/>
        </w:rPr>
        <w:t xml:space="preserve">j1 - количество календарных месяцев в соответствующем финансовом году, в течение которых действует Соглашение;</w:t>
      </w:r>
    </w:p>
    <w:p>
      <w:pPr>
        <w:pStyle w:val="0"/>
        <w:spacing w:before="200" w:line-rule="auto"/>
        <w:ind w:firstLine="540"/>
        <w:jc w:val="both"/>
      </w:pPr>
      <w:r>
        <w:rPr>
          <w:sz w:val="20"/>
        </w:rPr>
        <w:t xml:space="preserve">j2 - количество календарных месяцев на 1 число каждого квартала, в течение которых действует Соглашение.</w:t>
      </w:r>
    </w:p>
    <w:p>
      <w:pPr>
        <w:pStyle w:val="0"/>
        <w:jc w:val="both"/>
      </w:pPr>
      <w:r>
        <w:rPr>
          <w:sz w:val="20"/>
        </w:rPr>
      </w:r>
    </w:p>
    <w:p>
      <w:pPr>
        <w:pStyle w:val="0"/>
        <w:ind w:firstLine="540"/>
        <w:jc w:val="both"/>
      </w:pPr>
      <w:r>
        <w:rPr>
          <w:sz w:val="20"/>
        </w:rPr>
        <w:t xml:space="preserve">48. В случае рефинансирования кредитного договора, заключенного в период до 31.12.2022 включительно с получателем субсидии, находящимся в процессе либо в отношении которого завершен процесс реорганизации, ликвидации, введения в его отношении процедуры банкротства, по которому производилось возмещение недополученных доходов в соответствии с Порядком, при условии, что срок действия льготной процентной ставки и размер льготной процентной ставки, суммарный срок пользования льготным кредитом и суммарный размер субсидии по кредитному договору на цели рефинансирования соответствуют кредитному договору, заключенному не позднее 31.12.2022, размер субсидии получателю субсидии, заключившим кредитный договор на цели рефинансирования ранее предоставленного льготного кредита, увеличивается на размер субсидий, причитающихся по ранее предоставленному льготному кредиту.</w:t>
      </w:r>
    </w:p>
    <w:bookmarkStart w:id="15849" w:name="P15849"/>
    <w:bookmarkEnd w:id="15849"/>
    <w:p>
      <w:pPr>
        <w:pStyle w:val="0"/>
        <w:spacing w:before="200" w:line-rule="auto"/>
        <w:ind w:firstLine="540"/>
        <w:jc w:val="both"/>
      </w:pPr>
      <w:r>
        <w:rPr>
          <w:sz w:val="20"/>
        </w:rPr>
        <w:t xml:space="preserve">49. Результатом предоставления субсидии является объем кредитов по заключенным получателем субсидии с заемщиками кредитным договорам по льготной ставке.</w:t>
      </w:r>
    </w:p>
    <w:p>
      <w:pPr>
        <w:pStyle w:val="0"/>
        <w:spacing w:before="200" w:line-rule="auto"/>
        <w:ind w:firstLine="540"/>
        <w:jc w:val="both"/>
      </w:pPr>
      <w:r>
        <w:rPr>
          <w:sz w:val="20"/>
        </w:rPr>
        <w:t xml:space="preserve">Изменение установленного в Соглашении результата предоставления субсидии возможно при изменении ключевой ставки Центрального банка Российской Федерации при представлении получателем субсидии уточненного плана-графика предоставления кредитов по форме, утверждаемой Министерством.</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50. Отчеты о достижении значений результата предоставления субсидии представляются получателями субсидии в Министерство ежеквартально в срок до 20 числа месяца, следующего за отчетным кварталом, в Информационной системе.</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При представлении отчетов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51. Проверка и принятие отчетности, представляемой в соответствии с настоящим разделом, осуществляется Министерством в течение 20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Министерство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установленным Порядком, Министерство в течение 2 рабочих дней направляет получателю субсидии уведомление об исправлении представленных отчетов и повторном их направлении в Министерство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2 рабочих дней с даты возврата отчетности Министерством в том числе является основанием для осуществления Министерством проверки соблюдения получателем субсидии порядка и условий предоставления субсидии в соответствии с </w:t>
      </w:r>
      <w:hyperlink w:history="0" w:anchor="P15868" w:tooltip="52. Министерство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52</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отчетности приравнивается к факту недостижения результата предоставления субсидии.</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5868" w:name="P15868"/>
    <w:bookmarkEnd w:id="15868"/>
    <w:p>
      <w:pPr>
        <w:pStyle w:val="0"/>
        <w:ind w:firstLine="540"/>
        <w:jc w:val="both"/>
      </w:pPr>
      <w:r>
        <w:rPr>
          <w:sz w:val="20"/>
        </w:rPr>
        <w:t xml:space="preserve">52. Министерство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70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53. Субсидия подлежит возврату в бюджет Московской области в сроки и порядке, установленные в Соглашении, в случаях:</w:t>
      </w:r>
    </w:p>
    <w:p>
      <w:pPr>
        <w:pStyle w:val="0"/>
        <w:spacing w:before="200" w:line-rule="auto"/>
        <w:ind w:firstLine="540"/>
        <w:jc w:val="both"/>
      </w:pPr>
      <w:r>
        <w:rPr>
          <w:sz w:val="20"/>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pPr>
        <w:pStyle w:val="0"/>
        <w:spacing w:before="200" w:line-rule="auto"/>
        <w:ind w:firstLine="540"/>
        <w:jc w:val="both"/>
      </w:pPr>
      <w:r>
        <w:rPr>
          <w:sz w:val="20"/>
        </w:rPr>
        <w:t xml:space="preserve">недостижения получателем субсидии результатов предоставления субсидии.</w:t>
      </w:r>
    </w:p>
    <w:p>
      <w:pPr>
        <w:pStyle w:val="0"/>
        <w:spacing w:before="200" w:line-rule="auto"/>
        <w:ind w:firstLine="540"/>
        <w:jc w:val="both"/>
      </w:pPr>
      <w:r>
        <w:rPr>
          <w:sz w:val="20"/>
        </w:rPr>
        <w:t xml:space="preserve">54. В случае нарушения получателем субсидии условий и порядка предоставления субсидии Министерство составляет акт о нарушении условий предоставления субсидии (далее - акт), в котором указываются выявленные нарушения и сроки их устранения, и направляет акт в срок не позднее 7 рабочих дней со дня его подписания получателю субсидии для устранения нарушений по электронной почте, указанной в Соглашении.</w:t>
      </w:r>
    </w:p>
    <w:p>
      <w:pPr>
        <w:pStyle w:val="0"/>
        <w:spacing w:before="200" w:line-rule="auto"/>
        <w:ind w:firstLine="540"/>
        <w:jc w:val="both"/>
      </w:pPr>
      <w:r>
        <w:rPr>
          <w:sz w:val="20"/>
        </w:rPr>
        <w:t xml:space="preserve">55. В случае если выявленные нарушения не устранены в указанные в акте сроки Министерство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календарных дней с даты подписания требование о возврате направляется получателю субсидии в электронном виде посредством Информационной системы.</w:t>
      </w:r>
    </w:p>
    <w:p>
      <w:pPr>
        <w:pStyle w:val="0"/>
        <w:spacing w:before="200" w:line-rule="auto"/>
        <w:ind w:firstLine="540"/>
        <w:jc w:val="both"/>
      </w:pPr>
      <w:r>
        <w:rPr>
          <w:sz w:val="20"/>
        </w:rPr>
        <w:t xml:space="preserve">56. В случае неисполнения получателем субсидии требования о возврате Министерство производит ее взыскание в порядке, установленном законодательством Российской Федерации.</w:t>
      </w:r>
    </w:p>
    <w:p>
      <w:pPr>
        <w:pStyle w:val="0"/>
        <w:spacing w:before="200" w:line-rule="auto"/>
        <w:ind w:firstLine="540"/>
        <w:jc w:val="both"/>
      </w:pPr>
      <w:r>
        <w:rPr>
          <w:sz w:val="20"/>
        </w:rPr>
        <w:t xml:space="preserve">57. При недостижении значения результата предоставления субсидии возврат субсидии производится в размере, рассчитанном пропорционально недостигнутому результату предоставления субсидии, установленному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spacing w:before="200" w:line-rule="auto"/>
        <w:ind w:firstLine="540"/>
        <w:jc w:val="both"/>
      </w:pPr>
      <w:r>
        <w:rPr>
          <w:sz w:val="20"/>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субсидия подлежит возврату в бюджет Московской области в полном объеме.</w:t>
      </w:r>
    </w:p>
    <w:p>
      <w:pPr>
        <w:pStyle w:val="0"/>
        <w:jc w:val="both"/>
      </w:pPr>
      <w:r>
        <w:rPr>
          <w:sz w:val="20"/>
        </w:rPr>
      </w:r>
    </w:p>
    <w:p>
      <w:pPr>
        <w:pStyle w:val="0"/>
        <w:ind w:firstLine="540"/>
        <w:jc w:val="both"/>
      </w:pPr>
      <w:r>
        <w:rPr>
          <w:sz w:val="20"/>
        </w:rPr>
        <w:t xml:space="preserve">58. Получатель субсидии осуществляет контроль за целевым использованием заемщиками предоставленных кредитов.</w:t>
      </w:r>
    </w:p>
    <w:p>
      <w:pPr>
        <w:pStyle w:val="0"/>
        <w:spacing w:before="200" w:line-rule="auto"/>
        <w:ind w:firstLine="540"/>
        <w:jc w:val="both"/>
      </w:pPr>
      <w:r>
        <w:rPr>
          <w:sz w:val="20"/>
        </w:rPr>
        <w:t xml:space="preserve">59. Получатель субсидии:</w:t>
      </w:r>
    </w:p>
    <w:p>
      <w:pPr>
        <w:pStyle w:val="0"/>
        <w:spacing w:before="200" w:line-rule="auto"/>
        <w:ind w:firstLine="540"/>
        <w:jc w:val="both"/>
      </w:pPr>
      <w:r>
        <w:rPr>
          <w:sz w:val="20"/>
        </w:rPr>
        <w:t xml:space="preserve">1) ведет реестр кредитных договоров, по которым заемщиком были нарушены условия в части возврата заемных средств;</w:t>
      </w:r>
    </w:p>
    <w:p>
      <w:pPr>
        <w:pStyle w:val="0"/>
        <w:spacing w:before="200" w:line-rule="auto"/>
        <w:ind w:firstLine="540"/>
        <w:jc w:val="both"/>
      </w:pPr>
      <w:r>
        <w:rPr>
          <w:sz w:val="20"/>
        </w:rPr>
        <w:t xml:space="preserve">2) по запросу Министерства представляет документы, подтверждающие соответствие условий кредитного договора условиям, предусмотренным Порядком, и целевое расходование кредита, а также иную информацию о кредите в срок не позднее 5 рабочих дней со дня поступления соответствующего запроса;</w:t>
      </w:r>
    </w:p>
    <w:p>
      <w:pPr>
        <w:pStyle w:val="0"/>
        <w:spacing w:before="200" w:line-rule="auto"/>
        <w:ind w:firstLine="540"/>
        <w:jc w:val="both"/>
      </w:pPr>
      <w:r>
        <w:rPr>
          <w:sz w:val="20"/>
        </w:rPr>
        <w:t xml:space="preserve">3) направляет в Министерство информацию о нецелевом использовании заемщиком предоставленного кредита и (или) несоответствии заемщика требованиям, установленным </w:t>
      </w:r>
      <w:hyperlink w:history="0" w:anchor="P15931" w:tooltip="62. Требования к заемщикам:">
        <w:r>
          <w:rPr>
            <w:sz w:val="20"/>
            <w:color w:val="0000ff"/>
          </w:rPr>
          <w:t xml:space="preserve">пунктом 62</w:t>
        </w:r>
      </w:hyperlink>
      <w:r>
        <w:rPr>
          <w:sz w:val="20"/>
        </w:rPr>
        <w:t xml:space="preserve"> Порядка.</w:t>
      </w:r>
    </w:p>
    <w:p>
      <w:pPr>
        <w:pStyle w:val="0"/>
        <w:jc w:val="both"/>
      </w:pPr>
      <w:r>
        <w:rPr>
          <w:sz w:val="20"/>
        </w:rPr>
      </w:r>
    </w:p>
    <w:p>
      <w:pPr>
        <w:pStyle w:val="2"/>
        <w:outlineLvl w:val="4"/>
        <w:jc w:val="center"/>
      </w:pPr>
      <w:r>
        <w:rPr>
          <w:sz w:val="20"/>
        </w:rPr>
        <w:t xml:space="preserve">VI. Иные условия предоставления субсидии</w:t>
      </w:r>
    </w:p>
    <w:p>
      <w:pPr>
        <w:pStyle w:val="0"/>
        <w:jc w:val="both"/>
      </w:pPr>
      <w:r>
        <w:rPr>
          <w:sz w:val="20"/>
        </w:rPr>
      </w:r>
    </w:p>
    <w:p>
      <w:pPr>
        <w:pStyle w:val="0"/>
        <w:ind w:firstLine="540"/>
        <w:jc w:val="both"/>
      </w:pPr>
      <w:r>
        <w:rPr>
          <w:sz w:val="20"/>
        </w:rPr>
        <w:t xml:space="preserve">60. В случае если размер субсидии участников отбора на срок реализации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в соответствующем финансовом году и плановом периоде, рассчитанный из предложенного получателями субсидии совокупного планового объема выдачи кредитов и ставки субсидирования, менее установленного лимита бюджетных обязательств по мероприятию 01.05, Министерство принимает решение о проведении дополнительного отбора в соответствии с положениями Порядка, предусмотренными для проведения отбора.</w:t>
      </w:r>
    </w:p>
    <w:bookmarkStart w:id="15900" w:name="P15900"/>
    <w:bookmarkEnd w:id="15900"/>
    <w:p>
      <w:pPr>
        <w:pStyle w:val="0"/>
        <w:spacing w:before="200" w:line-rule="auto"/>
        <w:ind w:firstLine="540"/>
        <w:jc w:val="both"/>
      </w:pPr>
      <w:r>
        <w:rPr>
          <w:sz w:val="20"/>
        </w:rPr>
        <w:t xml:space="preserve">61. Требования к кредитным договорам:</w:t>
      </w:r>
    </w:p>
    <w:p>
      <w:pPr>
        <w:pStyle w:val="0"/>
        <w:spacing w:before="200" w:line-rule="auto"/>
        <w:ind w:firstLine="540"/>
        <w:jc w:val="both"/>
      </w:pPr>
      <w:r>
        <w:rPr>
          <w:sz w:val="20"/>
        </w:rPr>
        <w:t xml:space="preserve">1) получателем субсидии с заемщиком может быть заключен один или несколько следующих кредитных договоров:</w:t>
      </w:r>
    </w:p>
    <w:bookmarkStart w:id="15902" w:name="P15902"/>
    <w:bookmarkEnd w:id="15902"/>
    <w:p>
      <w:pPr>
        <w:pStyle w:val="0"/>
        <w:spacing w:before="200" w:line-rule="auto"/>
        <w:ind w:firstLine="540"/>
        <w:jc w:val="both"/>
      </w:pPr>
      <w:r>
        <w:rPr>
          <w:sz w:val="20"/>
        </w:rPr>
        <w:t xml:space="preserve">Кредитный договор на инвестиционные цели;</w:t>
      </w:r>
    </w:p>
    <w:bookmarkStart w:id="15903" w:name="P15903"/>
    <w:bookmarkEnd w:id="15903"/>
    <w:p>
      <w:pPr>
        <w:pStyle w:val="0"/>
        <w:spacing w:before="200" w:line-rule="auto"/>
        <w:ind w:firstLine="540"/>
        <w:jc w:val="both"/>
      </w:pPr>
      <w:r>
        <w:rPr>
          <w:sz w:val="20"/>
        </w:rPr>
        <w:t xml:space="preserve">кредитный договор на инвестиционные цели и пополнение оборотных средств (оборотное кредитование на развитие текущей деятельности), если пополнение оборотных средств составляет не более 30 процентов суммы кредита;</w:t>
      </w:r>
    </w:p>
    <w:bookmarkStart w:id="15904" w:name="P15904"/>
    <w:bookmarkEnd w:id="15904"/>
    <w:p>
      <w:pPr>
        <w:pStyle w:val="0"/>
        <w:spacing w:before="200" w:line-rule="auto"/>
        <w:ind w:firstLine="540"/>
        <w:jc w:val="both"/>
      </w:pPr>
      <w:r>
        <w:rPr>
          <w:sz w:val="20"/>
        </w:rPr>
        <w:t xml:space="preserve">кредитный договор на пополнение оборотных средств на цели организации производственных процессов в рамках осуществления производственной деятельности;</w:t>
      </w:r>
    </w:p>
    <w:bookmarkStart w:id="15905" w:name="P15905"/>
    <w:bookmarkEnd w:id="15905"/>
    <w:p>
      <w:pPr>
        <w:pStyle w:val="0"/>
        <w:spacing w:before="200" w:line-rule="auto"/>
        <w:ind w:firstLine="540"/>
        <w:jc w:val="both"/>
      </w:pPr>
      <w:r>
        <w:rPr>
          <w:sz w:val="20"/>
        </w:rPr>
        <w:t xml:space="preserve">кредитный договор на цели рефинансирования кредитного договора, заключенного в период до 31.12.2022 включительно с иным получателем субсидии, находящимся в процессе либо в отношении которого завершен процесс реорганизации, ликвидации, введения в его отношении процедуры банкротства, по которому ранее производилось возмещение недополученных доходов в соответствии с Порядком, при условии, что срок действия льготной процентной ставки, размер льготной процентной ставки, суммарный срок пользования льготным кредитом и суммарный размер субсидии по кредитному договору на цели рефинансирования соответствуют кредитному договору, заключенному не позднее 31.12.2022;</w:t>
      </w:r>
    </w:p>
    <w:bookmarkStart w:id="15906" w:name="P15906"/>
    <w:bookmarkEnd w:id="15906"/>
    <w:p>
      <w:pPr>
        <w:pStyle w:val="0"/>
        <w:spacing w:before="200" w:line-rule="auto"/>
        <w:ind w:firstLine="540"/>
        <w:jc w:val="both"/>
      </w:pPr>
      <w:r>
        <w:rPr>
          <w:sz w:val="20"/>
        </w:rPr>
        <w:t xml:space="preserve">кредитный договор, по которому получатель субсидии предоставляет заемщику инвестиционный кредит, который был рефинансирован в рамках программы стимулирования кредитования субъектов МСП, предусматривающей предоставление получателям субсидии кредитов Центрального банка Российской Федерации, обеспеченных поручительствами акционерного общества "Федеральная корпорация по развитию малого и среднего предпринимательства" (далее - ПСК, кредиты в рамках ПСК).</w:t>
      </w:r>
    </w:p>
    <w:p>
      <w:pPr>
        <w:pStyle w:val="0"/>
        <w:spacing w:before="200" w:line-rule="auto"/>
        <w:ind w:firstLine="540"/>
        <w:jc w:val="both"/>
      </w:pPr>
      <w:r>
        <w:rPr>
          <w:sz w:val="20"/>
        </w:rPr>
        <w:t xml:space="preserve">Под инвестиционными целями понимается расширение и (или) развитие предпринимательской деятельности, приобретение и (или) создание (сооружение, изготовление, достройка, дооборудование, реконструкция, модернизация и техническое перевооружение)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приобретение оборудования (за исключением легкового автомобильного транспорта) при осуществлении деятельности в одной или нескольких приоритетных отраслях (видах деятельности), указанных в </w:t>
      </w:r>
      <w:hyperlink w:history="0" w:anchor="P15934" w:tooltip="3) заемщик осуществляет деятельность в одной или нескольких приоритетных отраслях (видах деятельности), включенных в разделы &quot;C&quot;, &quot;H&quot;, &quot;I&quot;, &quot;J&quot;, класс 79 ОКВЭД и (или) в 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
        <w:r>
          <w:rPr>
            <w:sz w:val="20"/>
            <w:color w:val="0000ff"/>
          </w:rPr>
          <w:t xml:space="preserve">подпункте 3 пункта 62</w:t>
        </w:r>
      </w:hyperlink>
      <w:r>
        <w:rPr>
          <w:sz w:val="20"/>
        </w:rPr>
        <w:t xml:space="preserve"> Порядка, в Московской области.</w:t>
      </w:r>
    </w:p>
    <w:p>
      <w:pPr>
        <w:pStyle w:val="0"/>
        <w:spacing w:before="200" w:line-rule="auto"/>
        <w:ind w:firstLine="540"/>
        <w:jc w:val="both"/>
      </w:pPr>
      <w:r>
        <w:rPr>
          <w:sz w:val="20"/>
        </w:rPr>
        <w:t xml:space="preserve">Под пополнением оборотных средств на цели организации производственных процессов в рамках осуществления производственной деятельности понимается закупка сырья для производства товаров и (или) закупка расходных материалов и (или) комплектующих для производства товаров, и (или) оплата за монтаж, шефмонтаж, пусконаладочные работы, ремонт оборудования для производства товаров, и (или) оплата обучения персонала для работы на оборудовании для производства товаров, и (или) ремонт помещений, используемых для производства товаров, ремонт помещений, используемых в производственной деятельности, при осуществлении деятельности в одной или нескольких приоритетных отраслях (видах деятельности), указанных в </w:t>
      </w:r>
      <w:hyperlink w:history="0" w:anchor="P15934" w:tooltip="3) заемщик осуществляет деятельность в одной или нескольких приоритетных отраслях (видах деятельности), включенных в разделы &quot;C&quot;, &quot;H&quot;, &quot;I&quot;, &quot;J&quot;, класс 79 ОКВЭД и (или) в 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
        <w:r>
          <w:rPr>
            <w:sz w:val="20"/>
            <w:color w:val="0000ff"/>
          </w:rPr>
          <w:t xml:space="preserve">подпункте 3 пункта 62</w:t>
        </w:r>
      </w:hyperlink>
      <w:r>
        <w:rPr>
          <w:sz w:val="20"/>
        </w:rPr>
        <w:t xml:space="preserve"> Порядка, в Московской области.</w:t>
      </w:r>
    </w:p>
    <w:p>
      <w:pPr>
        <w:pStyle w:val="0"/>
        <w:spacing w:before="200" w:line-rule="auto"/>
        <w:ind w:firstLine="540"/>
        <w:jc w:val="both"/>
      </w:pPr>
      <w:r>
        <w:rPr>
          <w:sz w:val="20"/>
        </w:rPr>
        <w:t xml:space="preserve">Под инвестиционным кредитом, который был рефинансирован в рамках ПСК, понимается кредит для создания и (или) приобретения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при осуществлении деятельности в одной или нескольких приоритетных отраслях (видах деятельности), включенных в </w:t>
      </w:r>
      <w:hyperlink w:history="0" r:id="rId709"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Перечень</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 в Московской области. Средства инвестиционного кредита могут быть направлены на покрытие капитальных затрат (не менее 70% совокупной величины инвестиционного кредита) и текущих расходов, связанных с реализацией сопутствующих мероприятий (не более 30% совокупной величины инвестиционного кредита);</w:t>
      </w:r>
    </w:p>
    <w:p>
      <w:pPr>
        <w:pStyle w:val="0"/>
        <w:spacing w:before="200" w:line-rule="auto"/>
        <w:ind w:firstLine="540"/>
        <w:jc w:val="both"/>
      </w:pPr>
      <w:r>
        <w:rPr>
          <w:sz w:val="20"/>
        </w:rPr>
        <w:t xml:space="preserve">2) кредитные договоры заключены:</w:t>
      </w:r>
    </w:p>
    <w:p>
      <w:pPr>
        <w:pStyle w:val="0"/>
        <w:spacing w:before="200" w:line-rule="auto"/>
        <w:ind w:firstLine="540"/>
        <w:jc w:val="both"/>
      </w:pPr>
      <w:r>
        <w:rPr>
          <w:sz w:val="20"/>
        </w:rPr>
        <w:t xml:space="preserve">кредитные договоры, указанные в </w:t>
      </w:r>
      <w:hyperlink w:history="0" w:anchor="P15902" w:tooltip="Кредитный договор на инвестиционные цели;">
        <w:r>
          <w:rPr>
            <w:sz w:val="20"/>
            <w:color w:val="0000ff"/>
          </w:rPr>
          <w:t xml:space="preserve">абзацах втором</w:t>
        </w:r>
      </w:hyperlink>
      <w:r>
        <w:rPr>
          <w:sz w:val="20"/>
        </w:rPr>
        <w:t xml:space="preserve">, </w:t>
      </w:r>
      <w:hyperlink w:history="0" w:anchor="P15903" w:tooltip="кредитный договор на инвестиционные цели и пополнение оборотных средств (оборотное кредитование на развитие текущей деятельности), если пополнение оборотных средств составляет не более 30 процентов суммы кредита;">
        <w:r>
          <w:rPr>
            <w:sz w:val="20"/>
            <w:color w:val="0000ff"/>
          </w:rPr>
          <w:t xml:space="preserve">третьем</w:t>
        </w:r>
      </w:hyperlink>
      <w:r>
        <w:rPr>
          <w:sz w:val="20"/>
        </w:rPr>
        <w:t xml:space="preserve"> и </w:t>
      </w:r>
      <w:hyperlink w:history="0" w:anchor="P15905" w:tooltip="кредитный договор на цели рефинансирования кредитного договора, заключенного в период до 31.12.2022 включительно с иным получателем субсидии, находящимся в процессе либо в отношении которого завершен процесс реорганизации, ликвидации, введения в его отношении процедуры банкротства, по которому ранее производилось возмещение недополученных доходов в соответствии с Порядком, при условии, что срок действия льготной процентной ставки, размер льготной процентной ставки, суммарный срок пользования льготным кре...">
        <w:r>
          <w:rPr>
            <w:sz w:val="20"/>
            <w:color w:val="0000ff"/>
          </w:rPr>
          <w:t xml:space="preserve">пятом подпункта 1</w:t>
        </w:r>
      </w:hyperlink>
      <w:r>
        <w:rPr>
          <w:sz w:val="20"/>
        </w:rPr>
        <w:t xml:space="preserve"> настоящего пункта - не ранее даты заключения Соглашения в соответствии с </w:t>
      </w:r>
      <w:hyperlink w:history="0" w:anchor="P15931" w:tooltip="62. Требования к заемщикам:">
        <w:r>
          <w:rPr>
            <w:sz w:val="20"/>
            <w:color w:val="0000ff"/>
          </w:rPr>
          <w:t xml:space="preserve">пунктом 62</w:t>
        </w:r>
      </w:hyperlink>
      <w:r>
        <w:rPr>
          <w:sz w:val="20"/>
        </w:rPr>
        <w:t xml:space="preserve"> Порядка;</w:t>
      </w:r>
    </w:p>
    <w:p>
      <w:pPr>
        <w:pStyle w:val="0"/>
        <w:spacing w:before="200" w:line-rule="auto"/>
        <w:ind w:firstLine="540"/>
        <w:jc w:val="both"/>
      </w:pPr>
      <w:r>
        <w:rPr>
          <w:sz w:val="20"/>
        </w:rPr>
        <w:t xml:space="preserve">кредитные договоры, указанные в </w:t>
      </w:r>
      <w:hyperlink w:history="0" w:anchor="P15904" w:tooltip="кредитный договор на пополнение оборотных средств на цели организации производственных процессов в рамках осуществления производственной деятельности;">
        <w:r>
          <w:rPr>
            <w:sz w:val="20"/>
            <w:color w:val="0000ff"/>
          </w:rPr>
          <w:t xml:space="preserve">абзаце четвертом подпункта 1</w:t>
        </w:r>
      </w:hyperlink>
      <w:r>
        <w:rPr>
          <w:sz w:val="20"/>
        </w:rPr>
        <w:t xml:space="preserve"> настоящего пункта - не ранее даты заключения Соглашения в соответствии с </w:t>
      </w:r>
      <w:hyperlink w:history="0" w:anchor="P15931" w:tooltip="62. Требования к заемщикам:">
        <w:r>
          <w:rPr>
            <w:sz w:val="20"/>
            <w:color w:val="0000ff"/>
          </w:rPr>
          <w:t xml:space="preserve">пунктом 62</w:t>
        </w:r>
      </w:hyperlink>
      <w:r>
        <w:rPr>
          <w:sz w:val="20"/>
        </w:rPr>
        <w:t xml:space="preserve"> Порядка и не позднее 31.12.2022;</w:t>
      </w:r>
    </w:p>
    <w:p>
      <w:pPr>
        <w:pStyle w:val="0"/>
        <w:spacing w:before="200" w:line-rule="auto"/>
        <w:ind w:firstLine="540"/>
        <w:jc w:val="both"/>
      </w:pPr>
      <w:r>
        <w:rPr>
          <w:sz w:val="20"/>
        </w:rPr>
        <w:t xml:space="preserve">кредитные договоры в рамках ПСК, указанные в </w:t>
      </w:r>
      <w:hyperlink w:history="0" w:anchor="P15906" w:tooltip="кредитный договор, по которому получатель субсидии предоставляет заемщику инвестиционный кредит, который был рефинансирован в рамках программы стимулирования кредитования субъектов МСП, предусматривающей предоставление получателям субсидии кредитов Центрального банка Российской Федерации, обеспеченных поручительствами акционерного общества &quot;Федеральная корпорация по развитию малого и среднего предпринимательства&quot; (далее - ПСК, кредиты в рамках ПСК).">
        <w:r>
          <w:rPr>
            <w:sz w:val="20"/>
            <w:color w:val="0000ff"/>
          </w:rPr>
          <w:t xml:space="preserve">абзаце шестом подпункта 1</w:t>
        </w:r>
      </w:hyperlink>
      <w:r>
        <w:rPr>
          <w:sz w:val="20"/>
        </w:rPr>
        <w:t xml:space="preserve"> настоящего пункта - не ранее 15.03.2022 и не позднее 31.12.2022;</w:t>
      </w:r>
    </w:p>
    <w:p>
      <w:pPr>
        <w:pStyle w:val="0"/>
        <w:spacing w:before="200" w:line-rule="auto"/>
        <w:ind w:firstLine="540"/>
        <w:jc w:val="both"/>
      </w:pPr>
      <w:r>
        <w:rPr>
          <w:sz w:val="20"/>
        </w:rPr>
        <w:t xml:space="preserve">3) процентная ставка по заключенным кредитным договорам не должна превышать:</w:t>
      </w:r>
    </w:p>
    <w:p>
      <w:pPr>
        <w:pStyle w:val="0"/>
        <w:spacing w:before="200" w:line-rule="auto"/>
        <w:ind w:firstLine="540"/>
        <w:jc w:val="both"/>
      </w:pPr>
      <w:r>
        <w:rPr>
          <w:sz w:val="20"/>
        </w:rPr>
        <w:t xml:space="preserve">значение, равное размеру одной второй ключевой ставки Центрального банка Российской Федерации, действовавшей на дату заключения кредитного договора (либо на дату заключения дополнительного соглашения к кредитному договору при присоединении к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мероприятию 01.05</w:t>
        </w:r>
      </w:hyperlink>
      <w:r>
        <w:rPr>
          <w:sz w:val="20"/>
        </w:rPr>
        <w:t xml:space="preserve"> действующих кредитных договоров) и увеличенной на 1,5 процента годовых либо на 0,5 процента годовых для заемщиков, местонахождение (место жительства) и (или) место ведения деятельности которых на территории муниципальных образований Московской области (Волоколамский муниципальный округ, муниципальный округ Зарайск, городской округ Лосино-Петровский, муниципальный округ Лотошино, муниципальный округ Луховицы, Орехово-Зуевский городской округ, муниципальный округ Серебряные Пруды, Талдомский городской округ, муниципальный округ Шатура, муниципальный округ Шаховская) (далее - льготная процентная ставка), по кредитным договорам, указанным в </w:t>
      </w:r>
      <w:hyperlink w:history="0" w:anchor="P15902" w:tooltip="Кредитный договор на инвестиционные цели;">
        <w:r>
          <w:rPr>
            <w:sz w:val="20"/>
            <w:color w:val="0000ff"/>
          </w:rPr>
          <w:t xml:space="preserve">абзацах втором</w:t>
        </w:r>
      </w:hyperlink>
      <w:r>
        <w:rPr>
          <w:sz w:val="20"/>
        </w:rPr>
        <w:t xml:space="preserve"> - </w:t>
      </w:r>
      <w:hyperlink w:history="0" w:anchor="P15905" w:tooltip="кредитный договор на цели рефинансирования кредитного договора, заключенного в период до 31.12.2022 включительно с иным получателем субсидии, находящимся в процессе либо в отношении которого завершен процесс реорганизации, ликвидации, введения в его отношении процедуры банкротства, по которому ранее производилось возмещение недополученных доходов в соответствии с Порядком, при условии, что срок действия льготной процентной ставки, размер льготной процентной ставки, суммарный срок пользования льготным кре...">
        <w:r>
          <w:rPr>
            <w:sz w:val="20"/>
            <w:color w:val="0000ff"/>
          </w:rPr>
          <w:t xml:space="preserve">пятом подпункта 1</w:t>
        </w:r>
      </w:hyperlink>
      <w:r>
        <w:rPr>
          <w:sz w:val="20"/>
        </w:rPr>
        <w:t xml:space="preserve"> настоящего пункта (получатели субсидии вправе устанавливать льготную процентную ставку в размере 5,5 и 4,5 процента годовых соответственно, в случае если значение ключевой ставки Центрального банка Российской Федерации составляет менее 8 процентов);</w:t>
      </w:r>
    </w:p>
    <w:p>
      <w:pPr>
        <w:pStyle w:val="0"/>
        <w:spacing w:before="200" w:line-rule="auto"/>
        <w:ind w:firstLine="540"/>
        <w:jc w:val="both"/>
      </w:pPr>
      <w:r>
        <w:rPr>
          <w:sz w:val="20"/>
        </w:rPr>
        <w:t xml:space="preserve">5,5 процента годовых для субъектов МСП, относящихся к категории "микропредприятие" и "малое предприятие" по кредитам в рамках ПСК;</w:t>
      </w:r>
    </w:p>
    <w:p>
      <w:pPr>
        <w:pStyle w:val="0"/>
        <w:spacing w:before="200" w:line-rule="auto"/>
        <w:ind w:firstLine="540"/>
        <w:jc w:val="both"/>
      </w:pPr>
      <w:r>
        <w:rPr>
          <w:sz w:val="20"/>
        </w:rPr>
        <w:t xml:space="preserve">4 процентов годовых для субъектов МСП, относящихся к категории "среднее предприятие" по кредитам в рамках ПСК;</w:t>
      </w:r>
    </w:p>
    <w:p>
      <w:pPr>
        <w:pStyle w:val="0"/>
        <w:spacing w:before="200" w:line-rule="auto"/>
        <w:ind w:firstLine="540"/>
        <w:jc w:val="both"/>
      </w:pPr>
      <w:r>
        <w:rPr>
          <w:sz w:val="20"/>
        </w:rPr>
        <w:t xml:space="preserve">4) период действия льготной процентной ставки по кредитному договору не должен превышать:</w:t>
      </w:r>
    </w:p>
    <w:p>
      <w:pPr>
        <w:pStyle w:val="0"/>
        <w:spacing w:before="200" w:line-rule="auto"/>
        <w:ind w:firstLine="540"/>
        <w:jc w:val="both"/>
      </w:pPr>
      <w:r>
        <w:rPr>
          <w:sz w:val="20"/>
        </w:rPr>
        <w:t xml:space="preserve">трех лет по кредитному договору, заключенному не позднее 31.12.2022;</w:t>
      </w:r>
    </w:p>
    <w:p>
      <w:pPr>
        <w:pStyle w:val="0"/>
        <w:spacing w:before="200" w:line-rule="auto"/>
        <w:ind w:firstLine="540"/>
        <w:jc w:val="both"/>
      </w:pPr>
      <w:r>
        <w:rPr>
          <w:sz w:val="20"/>
        </w:rPr>
        <w:t xml:space="preserve">двух лет по кредитному договору, заключенному после 01.01.2024;</w:t>
      </w:r>
    </w:p>
    <w:p>
      <w:pPr>
        <w:pStyle w:val="0"/>
        <w:spacing w:before="200" w:line-rule="auto"/>
        <w:ind w:firstLine="540"/>
        <w:jc w:val="both"/>
      </w:pPr>
      <w:r>
        <w:rPr>
          <w:sz w:val="20"/>
        </w:rPr>
        <w:t xml:space="preserve">5) на период предоставления субсидии кредитный договор не должен предусматривать взимания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w:t>
      </w:r>
    </w:p>
    <w:p>
      <w:pPr>
        <w:pStyle w:val="0"/>
        <w:spacing w:before="200" w:line-rule="auto"/>
        <w:ind w:firstLine="540"/>
        <w:jc w:val="both"/>
      </w:pPr>
      <w:r>
        <w:rPr>
          <w:sz w:val="20"/>
        </w:rPr>
        <w:t xml:space="preserve">6) по кредитному договору получатель субсидии предоставляет заемщику кредит в размере от 5 млн рублей до 100 млн рублей (совокупный объем кредитов, которые могут быть выданы одному заемщику в течение финансового года в рамках </w:t>
      </w:r>
      <w:hyperlink w:history="0" w:anchor="P12852" w:tooltip="Мероприятие 01.05. Возмещение недополученных доходов кредитным организациям, предоставляющим кредиты по льготной процентной ставке субъектам малого и среднего предпринимательства">
        <w:r>
          <w:rPr>
            <w:sz w:val="20"/>
            <w:color w:val="0000ff"/>
          </w:rPr>
          <w:t xml:space="preserve">мероприятия 01.05</w:t>
        </w:r>
      </w:hyperlink>
      <w:r>
        <w:rPr>
          <w:sz w:val="20"/>
        </w:rPr>
        <w:t xml:space="preserve">, не может превышать 100 млн рублей);</w:t>
      </w:r>
    </w:p>
    <w:p>
      <w:pPr>
        <w:pStyle w:val="0"/>
        <w:spacing w:before="200" w:line-rule="auto"/>
        <w:ind w:firstLine="540"/>
        <w:jc w:val="both"/>
      </w:pPr>
      <w:r>
        <w:rPr>
          <w:sz w:val="20"/>
        </w:rPr>
        <w:t xml:space="preserve">7) предоставленные по кредитному договору кредитные средства не должны быть размещены заемщиком на депозитах, а также в иных финансовых инструментах;</w:t>
      </w:r>
    </w:p>
    <w:p>
      <w:pPr>
        <w:pStyle w:val="0"/>
        <w:spacing w:before="200" w:line-rule="auto"/>
        <w:ind w:firstLine="540"/>
        <w:jc w:val="both"/>
      </w:pPr>
      <w:r>
        <w:rPr>
          <w:sz w:val="20"/>
        </w:rPr>
        <w:t xml:space="preserve">8) заемщик, с которым заключен кредитный договор, должен соответствовать требованиям, установленным </w:t>
      </w:r>
      <w:hyperlink w:history="0" w:anchor="P15931" w:tooltip="62. Требования к заемщикам:">
        <w:r>
          <w:rPr>
            <w:sz w:val="20"/>
            <w:color w:val="0000ff"/>
          </w:rPr>
          <w:t xml:space="preserve">пунктом 62</w:t>
        </w:r>
      </w:hyperlink>
      <w:r>
        <w:rPr>
          <w:sz w:val="20"/>
        </w:rPr>
        <w:t xml:space="preserve"> Порядка;</w:t>
      </w:r>
    </w:p>
    <w:p>
      <w:pPr>
        <w:pStyle w:val="0"/>
        <w:spacing w:before="200" w:line-rule="auto"/>
        <w:ind w:firstLine="540"/>
        <w:jc w:val="both"/>
      </w:pPr>
      <w:r>
        <w:rPr>
          <w:sz w:val="20"/>
        </w:rPr>
        <w:t xml:space="preserve">9) выполнение получателем субсидии обязательств по проверке соответствия заемщиков требованиям, установленным </w:t>
      </w:r>
      <w:hyperlink w:history="0" w:anchor="P15931" w:tooltip="62. Требования к заемщикам:">
        <w:r>
          <w:rPr>
            <w:sz w:val="20"/>
            <w:color w:val="0000ff"/>
          </w:rPr>
          <w:t xml:space="preserve">пунктом 62</w:t>
        </w:r>
      </w:hyperlink>
      <w:r>
        <w:rPr>
          <w:sz w:val="20"/>
        </w:rPr>
        <w:t xml:space="preserve"> Порядка, а также по осуществлению контроля за целевым использованием заемщиками предоставленных кредитных средств;</w:t>
      </w:r>
    </w:p>
    <w:p>
      <w:pPr>
        <w:pStyle w:val="0"/>
        <w:spacing w:before="200" w:line-rule="auto"/>
        <w:ind w:firstLine="540"/>
        <w:jc w:val="both"/>
      </w:pPr>
      <w:r>
        <w:rPr>
          <w:sz w:val="20"/>
        </w:rPr>
        <w:t xml:space="preserve">10) кредитный договор предусматривает получение заемщиком кредита в рублях;</w:t>
      </w:r>
    </w:p>
    <w:p>
      <w:pPr>
        <w:pStyle w:val="0"/>
        <w:spacing w:before="200" w:line-rule="auto"/>
        <w:ind w:firstLine="540"/>
        <w:jc w:val="both"/>
      </w:pPr>
      <w:r>
        <w:rPr>
          <w:sz w:val="20"/>
        </w:rPr>
        <w:t xml:space="preserve">11) по кредитному договору не производится возмещение недополученных доходов в соответствии с иными нормативными правовыми актами на цель предоставления субсидии, указанную в </w:t>
      </w:r>
      <w:hyperlink w:history="0" w:anchor="P15538" w:tooltip="5. Целью предоставления субсидии является возмещение недополученных доходов получателя субсидии, связанных с предоставлением кредитов по льготной процентной ставке субъектам малого и среднего предпринимательства.">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12) по кредитному договору не предоставляется субсидия из федерального бюджета в соответствии с </w:t>
      </w:r>
      <w:hyperlink w:history="0" r:id="rId710" w:tooltip="Постановление Правительства РФ от 27.02.2021 N 279 (ред. от 20.07.2023) &quo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quot; {КонсультантПлюс}">
        <w:r>
          <w:rPr>
            <w:sz w:val="20"/>
            <w:color w:val="0000ff"/>
          </w:rPr>
          <w:t xml:space="preserve">постановлением</w:t>
        </w:r>
      </w:hyperlink>
      <w:r>
        <w:rPr>
          <w:sz w:val="20"/>
        </w:rPr>
        <w:t xml:space="preserve"> Правительства Российской Федерации от 27.02.2021 N 279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p>
    <w:p>
      <w:pPr>
        <w:pStyle w:val="0"/>
        <w:spacing w:before="200" w:line-rule="auto"/>
        <w:ind w:firstLine="540"/>
        <w:jc w:val="both"/>
      </w:pPr>
      <w:r>
        <w:rPr>
          <w:sz w:val="20"/>
        </w:rPr>
        <w:t xml:space="preserve">13) по кредитному договору не предоставляется субсидия из федерального бюджета в соответствии с Правилами N 1764;</w:t>
      </w:r>
    </w:p>
    <w:p>
      <w:pPr>
        <w:pStyle w:val="0"/>
        <w:spacing w:before="200" w:line-rule="auto"/>
        <w:ind w:firstLine="540"/>
        <w:jc w:val="both"/>
      </w:pPr>
      <w:r>
        <w:rPr>
          <w:sz w:val="20"/>
        </w:rPr>
        <w:t xml:space="preserve">14) по кредитному договору заемщик не получает субсидию на возмещение затрат по уплаченным процентам.</w:t>
      </w:r>
    </w:p>
    <w:bookmarkStart w:id="15931" w:name="P15931"/>
    <w:bookmarkEnd w:id="15931"/>
    <w:p>
      <w:pPr>
        <w:pStyle w:val="0"/>
        <w:spacing w:before="200" w:line-rule="auto"/>
        <w:ind w:firstLine="540"/>
        <w:jc w:val="both"/>
      </w:pPr>
      <w:r>
        <w:rPr>
          <w:sz w:val="20"/>
        </w:rPr>
        <w:t xml:space="preserve">62. Требования к заемщикам:</w:t>
      </w:r>
    </w:p>
    <w:p>
      <w:pPr>
        <w:pStyle w:val="0"/>
        <w:spacing w:before="200" w:line-rule="auto"/>
        <w:ind w:firstLine="540"/>
        <w:jc w:val="both"/>
      </w:pPr>
      <w:r>
        <w:rPr>
          <w:sz w:val="20"/>
        </w:rPr>
        <w:t xml:space="preserve">1) заемщик является юридическим лицом или индивидуальным предпринимателем, отнесенным к категории субъектов МСП в соответствии с Федеральным </w:t>
      </w:r>
      <w:hyperlink w:history="0" r:id="rId7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и состоящим в реестре субъектов МСП;</w:t>
      </w:r>
    </w:p>
    <w:p>
      <w:pPr>
        <w:pStyle w:val="0"/>
        <w:spacing w:before="200" w:line-rule="auto"/>
        <w:ind w:firstLine="540"/>
        <w:jc w:val="both"/>
      </w:pPr>
      <w:r>
        <w:rPr>
          <w:sz w:val="20"/>
        </w:rPr>
        <w:t xml:space="preserve">2) заемщик зарегистрирован и осуществляет деятельность в качестве юридического лица или индивидуального предпринимателя на территории Московской области;</w:t>
      </w:r>
    </w:p>
    <w:bookmarkStart w:id="15934" w:name="P15934"/>
    <w:bookmarkEnd w:id="15934"/>
    <w:p>
      <w:pPr>
        <w:pStyle w:val="0"/>
        <w:spacing w:before="200" w:line-rule="auto"/>
        <w:ind w:firstLine="540"/>
        <w:jc w:val="both"/>
      </w:pPr>
      <w:r>
        <w:rPr>
          <w:sz w:val="20"/>
        </w:rPr>
        <w:t xml:space="preserve">3) заемщик осуществляет деятельность в одной или нескольких приоритетных отраслях (видах деятельности), включенных в разделы "C", "H", "I", "J", класс 79 </w:t>
      </w:r>
      <w:hyperlink w:history="0" r:id="rId71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и (или) в </w:t>
      </w:r>
      <w:hyperlink w:history="0" r:id="rId713"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Перечень</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w:t>
      </w:r>
    </w:p>
    <w:p>
      <w:pPr>
        <w:pStyle w:val="0"/>
        <w:spacing w:before="200" w:line-rule="auto"/>
        <w:ind w:firstLine="540"/>
        <w:jc w:val="both"/>
      </w:pPr>
      <w:r>
        <w:rPr>
          <w:sz w:val="20"/>
        </w:rPr>
        <w:t xml:space="preserve">4) заемщик не находится в процессе реорганизации (за исключением реорганизации в форме присоединения к заемщику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pPr>
        <w:pStyle w:val="0"/>
        <w:spacing w:before="200" w:line-rule="auto"/>
        <w:ind w:firstLine="540"/>
        <w:jc w:val="both"/>
      </w:pPr>
      <w:r>
        <w:rPr>
          <w:sz w:val="20"/>
        </w:rPr>
        <w:t xml:space="preserve">5) заемщик обладает статусом налогового резидента Российской Федерации;</w:t>
      </w:r>
    </w:p>
    <w:p>
      <w:pPr>
        <w:pStyle w:val="0"/>
        <w:spacing w:before="200" w:line-rule="auto"/>
        <w:ind w:firstLine="540"/>
        <w:jc w:val="both"/>
      </w:pPr>
      <w:r>
        <w:rPr>
          <w:sz w:val="20"/>
        </w:rPr>
        <w:t xml:space="preserve">6) заемщик не относится к субъектам МСП, указанным в </w:t>
      </w:r>
      <w:hyperlink w:history="0" r:id="rId71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N 209-ФЗ;</w:t>
      </w:r>
    </w:p>
    <w:p>
      <w:pPr>
        <w:pStyle w:val="0"/>
        <w:spacing w:before="200" w:line-rule="auto"/>
        <w:ind w:firstLine="540"/>
        <w:jc w:val="both"/>
      </w:pPr>
      <w:r>
        <w:rPr>
          <w:sz w:val="20"/>
        </w:rPr>
        <w:t xml:space="preserve">7) заемщик не относится к субъектам МСП, указанным в </w:t>
      </w:r>
      <w:hyperlink w:history="0" r:id="rId71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части 4 статьи 14</w:t>
        </w:r>
      </w:hyperlink>
      <w:r>
        <w:rPr>
          <w:sz w:val="20"/>
        </w:rPr>
        <w:t xml:space="preserve"> Федерального закона N 209-ФЗ (указанное требование не распространяется на субъектов МСП, осуществляющих деятельность в соответствии с разделом "I" </w:t>
      </w:r>
      <w:hyperlink w:history="0" r:id="rId71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8) субъект МСП не участвует в уставном (складочном) капитале юридических лиц, не относящихся к субъектам МСП, с долей такого участия более 25 процентов и не имеет в качестве участника (акционера) организацию, не относящуюся к субъектам МСП, с долей прямого участия более 25 процентов. Указанное требование распространяется на заемщиков по кредитам в рамках ПСК.</w:t>
      </w:r>
    </w:p>
    <w:p>
      <w:pPr>
        <w:pStyle w:val="0"/>
        <w:spacing w:before="200" w:line-rule="auto"/>
        <w:ind w:firstLine="540"/>
        <w:jc w:val="both"/>
      </w:pPr>
      <w:r>
        <w:rPr>
          <w:sz w:val="20"/>
        </w:rPr>
        <w:t xml:space="preserve">63. Перечень документов, представляемых заемщиками получателям субсидии для заключения кредитного договора, устанавливается получателем субсидии и включает документы, подтверждающие требования к заемщикам, предусмотренные Порядком.</w:t>
      </w:r>
    </w:p>
    <w:p>
      <w:pPr>
        <w:pStyle w:val="0"/>
        <w:spacing w:before="200" w:line-rule="auto"/>
        <w:ind w:firstLine="540"/>
        <w:jc w:val="both"/>
      </w:pPr>
      <w:r>
        <w:rPr>
          <w:sz w:val="20"/>
        </w:rPr>
        <w:t xml:space="preserve">Ответственность за несоответствие заемщиков требованиям, указанным в </w:t>
      </w:r>
      <w:hyperlink w:history="0" w:anchor="P15931" w:tooltip="62. Требования к заемщикам:">
        <w:r>
          <w:rPr>
            <w:sz w:val="20"/>
            <w:color w:val="0000ff"/>
          </w:rPr>
          <w:t xml:space="preserve">пункте 62</w:t>
        </w:r>
      </w:hyperlink>
      <w:r>
        <w:rPr>
          <w:sz w:val="20"/>
        </w:rPr>
        <w:t xml:space="preserve"> Порядка, за несоответствие кредитных договоров требованиям, указанным в </w:t>
      </w:r>
      <w:hyperlink w:history="0" w:anchor="P15900" w:tooltip="61. Требования к кредитным договорам:">
        <w:r>
          <w:rPr>
            <w:sz w:val="20"/>
            <w:color w:val="0000ff"/>
          </w:rPr>
          <w:t xml:space="preserve">пункте 61</w:t>
        </w:r>
      </w:hyperlink>
      <w:r>
        <w:rPr>
          <w:sz w:val="20"/>
        </w:rPr>
        <w:t xml:space="preserve"> Порядка, а также за нецелевое использование кредита по кредитному договору несет получатель субсидии.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5945" w:name="P15945"/>
    <w:bookmarkEnd w:id="15945"/>
    <w:p>
      <w:pPr>
        <w:pStyle w:val="2"/>
        <w:jc w:val="center"/>
      </w:pPr>
      <w:r>
        <w:rPr>
          <w:sz w:val="20"/>
        </w:rPr>
        <w:t xml:space="preserve">ПЕРЕЧЕНЬ ДОКУМЕНТОВ, ПРЕДСТАВЛЯЕМЫХ ПОЛУЧАТЕЛЯМИ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277"/>
      </w:tblGrid>
      <w:tr>
        <w:tc>
          <w:tcPr>
            <w:tcW w:w="680" w:type="dxa"/>
          </w:tcPr>
          <w:p>
            <w:pPr>
              <w:pStyle w:val="0"/>
              <w:jc w:val="center"/>
            </w:pPr>
            <w:r>
              <w:rPr>
                <w:sz w:val="20"/>
              </w:rPr>
              <w:t xml:space="preserve">N п/п</w:t>
            </w:r>
          </w:p>
        </w:tc>
        <w:tc>
          <w:tcPr>
            <w:tcW w:w="8277" w:type="dxa"/>
          </w:tcPr>
          <w:p>
            <w:pPr>
              <w:pStyle w:val="0"/>
              <w:jc w:val="center"/>
            </w:pPr>
            <w:r>
              <w:rPr>
                <w:sz w:val="20"/>
              </w:rPr>
              <w:t xml:space="preserve">Наименование документа</w:t>
            </w:r>
          </w:p>
        </w:tc>
      </w:tr>
      <w:tr>
        <w:tc>
          <w:tcPr>
            <w:tcW w:w="680" w:type="dxa"/>
          </w:tcPr>
          <w:p>
            <w:pPr>
              <w:pStyle w:val="0"/>
              <w:jc w:val="center"/>
            </w:pPr>
            <w:r>
              <w:rPr>
                <w:sz w:val="20"/>
              </w:rPr>
              <w:t xml:space="preserve">1</w:t>
            </w:r>
          </w:p>
        </w:tc>
        <w:tc>
          <w:tcPr>
            <w:tcW w:w="8277" w:type="dxa"/>
          </w:tcPr>
          <w:p>
            <w:pPr>
              <w:pStyle w:val="0"/>
              <w:jc w:val="center"/>
            </w:pPr>
            <w:r>
              <w:rPr>
                <w:sz w:val="20"/>
              </w:rPr>
              <w:t xml:space="preserve">2</w:t>
            </w:r>
          </w:p>
        </w:tc>
      </w:tr>
      <w:tr>
        <w:tc>
          <w:tcPr>
            <w:tcW w:w="680" w:type="dxa"/>
          </w:tcPr>
          <w:p>
            <w:pPr>
              <w:pStyle w:val="0"/>
            </w:pPr>
            <w:r>
              <w:rPr>
                <w:sz w:val="20"/>
              </w:rPr>
              <w:t xml:space="preserve">1</w:t>
            </w:r>
          </w:p>
        </w:tc>
        <w:tc>
          <w:tcPr>
            <w:tcW w:w="8277" w:type="dxa"/>
          </w:tcPr>
          <w:p>
            <w:pPr>
              <w:pStyle w:val="0"/>
            </w:pPr>
            <w:r>
              <w:rPr>
                <w:sz w:val="20"/>
              </w:rPr>
              <w:t xml:space="preserve">Заявление на предоставление субсидии, подписанное руководителем или уполномоченным им лицом, с представлением документов, подтверждающих полномочия этого лица, по форме, утвержденной Министерством</w:t>
            </w:r>
          </w:p>
        </w:tc>
      </w:tr>
      <w:tr>
        <w:tc>
          <w:tcPr>
            <w:tcW w:w="680" w:type="dxa"/>
          </w:tcPr>
          <w:p>
            <w:pPr>
              <w:pStyle w:val="0"/>
            </w:pPr>
            <w:r>
              <w:rPr>
                <w:sz w:val="20"/>
              </w:rPr>
              <w:t xml:space="preserve">2</w:t>
            </w:r>
          </w:p>
        </w:tc>
        <w:tc>
          <w:tcPr>
            <w:tcW w:w="8277" w:type="dxa"/>
          </w:tcPr>
          <w:p>
            <w:pPr>
              <w:pStyle w:val="0"/>
            </w:pPr>
            <w:r>
              <w:rPr>
                <w:sz w:val="20"/>
              </w:rPr>
              <w:t xml:space="preserve">Реестр заемщиков, подписанный руководителем или уполномоченным им лицом, с представлением документов, подтверждающих полномочия этого лица (дополнительно представляется в формате excel), по форме, утвержденной Министерством</w:t>
            </w:r>
          </w:p>
        </w:tc>
      </w:tr>
      <w:tr>
        <w:tc>
          <w:tcPr>
            <w:tcW w:w="680" w:type="dxa"/>
          </w:tcPr>
          <w:p>
            <w:pPr>
              <w:pStyle w:val="0"/>
            </w:pPr>
            <w:r>
              <w:rPr>
                <w:sz w:val="20"/>
              </w:rPr>
              <w:t xml:space="preserve">3</w:t>
            </w:r>
          </w:p>
        </w:tc>
        <w:tc>
          <w:tcPr>
            <w:tcW w:w="8277" w:type="dxa"/>
          </w:tcPr>
          <w:p>
            <w:pPr>
              <w:pStyle w:val="0"/>
            </w:pPr>
            <w:r>
              <w:rPr>
                <w:sz w:val="20"/>
              </w:rPr>
              <w:t xml:space="preserve">Кредитные договоры, заключенные с заемщиками, включенными в реестр заемщиков в отчетном месяце, а также дополнительные соглашения к кредитным договорам с заемщиками, включенными в реестр заемщиков, заключенные в отчетном месяце и (или) в месяцах, предшествующих отчетному месяцу, если они не представлялись ранее в Министерство</w:t>
            </w:r>
          </w:p>
        </w:tc>
      </w:tr>
      <w:tr>
        <w:tc>
          <w:tcPr>
            <w:tcW w:w="680" w:type="dxa"/>
          </w:tcPr>
          <w:p>
            <w:pPr>
              <w:pStyle w:val="0"/>
            </w:pPr>
            <w:r>
              <w:rPr>
                <w:sz w:val="20"/>
              </w:rPr>
              <w:t xml:space="preserve">4</w:t>
            </w:r>
          </w:p>
        </w:tc>
        <w:tc>
          <w:tcPr>
            <w:tcW w:w="8277" w:type="dxa"/>
          </w:tcPr>
          <w:p>
            <w:pPr>
              <w:pStyle w:val="0"/>
            </w:pPr>
            <w:r>
              <w:rPr>
                <w:sz w:val="20"/>
              </w:rPr>
              <w:t xml:space="preserve">Выписки по ссудному счету, подтверждающие предоставление кредита, остаток ссудной задолженности и погашение процентов в отчетном месяце и (или) в месяцах, предшествующих отчетному месяцу, если они не представлялись ранее в Министерство</w:t>
            </w:r>
          </w:p>
        </w:tc>
      </w:tr>
      <w:tr>
        <w:tc>
          <w:tcPr>
            <w:tcW w:w="680" w:type="dxa"/>
          </w:tcPr>
          <w:p>
            <w:pPr>
              <w:pStyle w:val="0"/>
            </w:pPr>
            <w:r>
              <w:rPr>
                <w:sz w:val="20"/>
              </w:rPr>
              <w:t xml:space="preserve">5</w:t>
            </w:r>
          </w:p>
        </w:tc>
        <w:tc>
          <w:tcPr>
            <w:tcW w:w="8277" w:type="dxa"/>
          </w:tcPr>
          <w:p>
            <w:pPr>
              <w:pStyle w:val="0"/>
            </w:pPr>
            <w:r>
              <w:rPr>
                <w:sz w:val="20"/>
              </w:rPr>
              <w:t xml:space="preserve">Расчет размера субсидии за отчетный месяц (определяется в соответствии с </w:t>
            </w:r>
            <w:hyperlink w:history="0" w:anchor="P15796" w:tooltip="44. Предоставление субсидии за отчетный месяц (С) осуществляется в размере, рассчитываемом по формуле:">
              <w:r>
                <w:rPr>
                  <w:sz w:val="20"/>
                  <w:color w:val="0000ff"/>
                </w:rPr>
                <w:t xml:space="preserve">пунктом 44</w:t>
              </w:r>
            </w:hyperlink>
            <w:r>
              <w:rPr>
                <w:sz w:val="20"/>
              </w:rPr>
              <w:t xml:space="preserve"> Порядка по каждому кредитному договору)</w:t>
            </w:r>
          </w:p>
        </w:tc>
      </w:tr>
      <w:tr>
        <w:tc>
          <w:tcPr>
            <w:tcW w:w="680" w:type="dxa"/>
          </w:tcPr>
          <w:p>
            <w:pPr>
              <w:pStyle w:val="0"/>
            </w:pPr>
            <w:r>
              <w:rPr>
                <w:sz w:val="20"/>
              </w:rPr>
              <w:t xml:space="preserve">6</w:t>
            </w:r>
          </w:p>
        </w:tc>
        <w:tc>
          <w:tcPr>
            <w:tcW w:w="8277" w:type="dxa"/>
          </w:tcPr>
          <w:p>
            <w:pPr>
              <w:pStyle w:val="0"/>
            </w:pPr>
            <w:r>
              <w:rPr>
                <w:sz w:val="20"/>
              </w:rPr>
              <w:t xml:space="preserve">Отчет о целевом использовании кредитов, полученных заемщиками, подписанный руководителем получателя субсидии или уполномоченным им лицом, с представлением документов, подтверждающих полномочия этого лица, по форме, утвержденной Министерством</w:t>
            </w:r>
          </w:p>
        </w:tc>
      </w:tr>
    </w:tbl>
    <w:p>
      <w:pPr>
        <w:pStyle w:val="0"/>
        <w:jc w:val="both"/>
      </w:pPr>
      <w:r>
        <w:rPr>
          <w:sz w:val="20"/>
        </w:rPr>
      </w:r>
    </w:p>
    <w:p>
      <w:pPr>
        <w:pStyle w:val="2"/>
        <w:outlineLvl w:val="3"/>
        <w:jc w:val="center"/>
      </w:pPr>
      <w:r>
        <w:rPr>
          <w:sz w:val="20"/>
        </w:rPr>
        <w:t xml:space="preserve">7.2.6.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индивидуальным предпринимателям</w:t>
      </w:r>
    </w:p>
    <w:p>
      <w:pPr>
        <w:pStyle w:val="2"/>
        <w:jc w:val="center"/>
      </w:pPr>
      <w:r>
        <w:rPr>
          <w:sz w:val="20"/>
        </w:rPr>
        <w:t xml:space="preserve">и физическим лицам осуществляющих деятельность в рамках</w:t>
      </w:r>
    </w:p>
    <w:p>
      <w:pPr>
        <w:pStyle w:val="2"/>
        <w:jc w:val="center"/>
      </w:pPr>
      <w:r>
        <w:rPr>
          <w:sz w:val="20"/>
        </w:rPr>
        <w:t xml:space="preserve">лицензионных договоров (сублицензионных договоров),</w:t>
      </w:r>
    </w:p>
    <w:p>
      <w:pPr>
        <w:pStyle w:val="2"/>
        <w:jc w:val="center"/>
      </w:pPr>
      <w:r>
        <w:rPr>
          <w:sz w:val="20"/>
        </w:rPr>
        <w:t xml:space="preserve">договоров коммерческой концессии (субконцессии)" в рамках</w:t>
      </w:r>
    </w:p>
    <w:p>
      <w:pPr>
        <w:pStyle w:val="2"/>
        <w:jc w:val="center"/>
      </w:pPr>
      <w:r>
        <w:rPr>
          <w:sz w:val="20"/>
        </w:rPr>
        <w:t xml:space="preserve">реализации мероприятия 01.06 "Возмещение части затрат</w:t>
      </w:r>
    </w:p>
    <w:p>
      <w:pPr>
        <w:pStyle w:val="2"/>
        <w:jc w:val="center"/>
      </w:pPr>
      <w:r>
        <w:rPr>
          <w:sz w:val="20"/>
        </w:rPr>
        <w:t xml:space="preserve">субъектов малого и среднего предпринимательства,</w:t>
      </w:r>
    </w:p>
    <w:p>
      <w:pPr>
        <w:pStyle w:val="2"/>
        <w:jc w:val="center"/>
      </w:pPr>
      <w:r>
        <w:rPr>
          <w:sz w:val="20"/>
        </w:rPr>
        <w:t xml:space="preserve">осуществляющих деятельность в рамках лицензионных договоров</w:t>
      </w:r>
    </w:p>
    <w:p>
      <w:pPr>
        <w:pStyle w:val="2"/>
        <w:jc w:val="center"/>
      </w:pPr>
      <w:r>
        <w:rPr>
          <w:sz w:val="20"/>
        </w:rPr>
        <w:t xml:space="preserve">(сублицензионных договоров), договоров коммерческой</w:t>
      </w:r>
    </w:p>
    <w:p>
      <w:pPr>
        <w:pStyle w:val="2"/>
        <w:jc w:val="center"/>
      </w:pPr>
      <w:r>
        <w:rPr>
          <w:sz w:val="20"/>
        </w:rPr>
        <w:t xml:space="preserve">концессии (субконцессии)" Подпрограммы 3</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717"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 индивидуальным предпринимателям на возмещение части затрат субъектов малого и среднего предпринимательства связанных с осуществляющих деятельность в рамках лицензионных договоров (сублицензионных договоров), договоров коммерческой концессии (субконцессии)" (далее соответственно - Порядок, субсидия) в рамках реализации </w:t>
      </w:r>
      <w:hyperlink w:history="0" w:anchor="P12896" w:tooltip="Мероприятие 01.06.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
        <w:r>
          <w:rPr>
            <w:sz w:val="20"/>
            <w:color w:val="0000ff"/>
          </w:rPr>
          <w:t xml:space="preserve">мероприятия 01.06</w:t>
        </w:r>
      </w:hyperlink>
      <w:r>
        <w:rPr>
          <w:sz w:val="20"/>
        </w:rPr>
        <w:t xml:space="preserve">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 Подпрограммы 3 государственной программы разработан в соответствии со </w:t>
      </w:r>
      <w:hyperlink w:history="0" r:id="rId7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719"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Мининвеста Московской области как получателя средств бюджета Московской области на цель, указанную в </w:t>
      </w:r>
      <w:hyperlink w:history="0" w:anchor="P15990" w:tooltip="5. Целью предоставления субсидии является возмещение части затрат, связанных с возмещением части затрат, понесенных лицами, осуществляющими предпринимательскую деятельность в рамках одного или нескольких лицензионных договоров (сублицензионных договоров), договоров коммерческой концессии (субконцессии), не ранее 1 января года, предшествующего году проведения отбора.">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bookmarkStart w:id="15990" w:name="P15990"/>
    <w:bookmarkEnd w:id="15990"/>
    <w:p>
      <w:pPr>
        <w:pStyle w:val="0"/>
        <w:spacing w:before="200" w:line-rule="auto"/>
        <w:ind w:firstLine="540"/>
        <w:jc w:val="both"/>
      </w:pPr>
      <w:r>
        <w:rPr>
          <w:sz w:val="20"/>
        </w:rPr>
        <w:t xml:space="preserve">5. Целью предоставления субсидии является возмещение части затрат, связанных с возмещением части затрат, понесенных лицами, осуществляющими предпринимательскую деятельность в рамках одного или нескольких лицензионных договоров (сублицензионных договоров), договоров коммерческой концессии (субконцессии), не ранее 1 января года, предшествующего году проведения отбора.</w:t>
      </w:r>
    </w:p>
    <w:bookmarkStart w:id="15991" w:name="P15991"/>
    <w:bookmarkEnd w:id="15991"/>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субсидии</w:t>
      </w:r>
    </w:p>
    <w:p>
      <w:pPr>
        <w:pStyle w:val="0"/>
        <w:jc w:val="both"/>
      </w:pPr>
      <w:r>
        <w:rPr>
          <w:sz w:val="20"/>
        </w:rPr>
      </w:r>
    </w:p>
    <w:p>
      <w:pPr>
        <w:pStyle w:val="0"/>
        <w:ind w:firstLine="540"/>
        <w:jc w:val="both"/>
      </w:pPr>
      <w:r>
        <w:rPr>
          <w:sz w:val="20"/>
        </w:rPr>
        <w:t xml:space="preserve">7. Отбор получателей субсидий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8. Способ проведения отбора получателей субсидий - запрос предложений (далее - отбор), проводимый Мининвестом Московской области с участием АНО "АИР".</w:t>
      </w:r>
    </w:p>
    <w:p>
      <w:pPr>
        <w:pStyle w:val="0"/>
        <w:spacing w:before="200" w:line-rule="auto"/>
        <w:ind w:firstLine="540"/>
        <w:jc w:val="both"/>
      </w:pPr>
      <w:r>
        <w:rPr>
          <w:sz w:val="20"/>
        </w:rPr>
        <w:t xml:space="preserve">Получатели субсидии определяются по результатам отбора исходя из соответствия участника отбора категории и критериям отбора и очередности поступления заявок на участие в отборе получателей субсидий (далее - заявки).</w:t>
      </w:r>
    </w:p>
    <w:bookmarkStart w:id="15999" w:name="P15999"/>
    <w:bookmarkEnd w:id="15999"/>
    <w:p>
      <w:pPr>
        <w:pStyle w:val="0"/>
        <w:spacing w:before="200" w:line-rule="auto"/>
        <w:ind w:firstLine="540"/>
        <w:jc w:val="both"/>
      </w:pPr>
      <w:r>
        <w:rPr>
          <w:sz w:val="20"/>
        </w:rPr>
        <w:t xml:space="preserve">9. Категории отбора: юридические лица, индивидуальные предприниматели, являющиеся субъектами МСП в соответствии с Федеральным </w:t>
      </w:r>
      <w:hyperlink w:history="0" r:id="rId7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и состоящие в реестре субъектов МСП, за исключением категории субъектов МСП, указанной в </w:t>
      </w:r>
      <w:hyperlink w:history="0" r:id="rId72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пункте 4 части 5 статьи 14</w:t>
        </w:r>
      </w:hyperlink>
      <w:r>
        <w:rPr>
          <w:sz w:val="20"/>
        </w:rPr>
        <w:t xml:space="preserve"> Федерального закона N 209-ФЗ, зарегистрированные и осуществляющие деятельность на территории Московской области.</w:t>
      </w:r>
    </w:p>
    <w:p>
      <w:pPr>
        <w:pStyle w:val="0"/>
        <w:spacing w:before="200" w:line-rule="auto"/>
        <w:ind w:firstLine="540"/>
        <w:jc w:val="both"/>
      </w:pPr>
      <w:r>
        <w:rPr>
          <w:sz w:val="20"/>
        </w:rPr>
        <w:t xml:space="preserve">Критерии отбора:</w:t>
      </w:r>
    </w:p>
    <w:p>
      <w:pPr>
        <w:pStyle w:val="0"/>
        <w:spacing w:before="200" w:line-rule="auto"/>
        <w:ind w:firstLine="540"/>
        <w:jc w:val="both"/>
      </w:pPr>
      <w:r>
        <w:rPr>
          <w:sz w:val="20"/>
        </w:rPr>
        <w:t xml:space="preserve">юридические лица, зарегистрированные на территории Московской области в качестве юридического лица, осуществляющего деятельность в рамках лицензионных договоров (сублицензионных договоров), договоров коммерческой концессии (субконцессии) на территории Московской области, или поставленные на учет в налоговых органах по местонахождению обособленного подразделения на территории Московской области, осуществляющего деятельность в рамках лицензионных договоров (сублицензионных договоров), договоров коммерческой концессии (субконцессии);</w:t>
      </w:r>
    </w:p>
    <w:p>
      <w:pPr>
        <w:pStyle w:val="0"/>
        <w:spacing w:before="200" w:line-rule="auto"/>
        <w:ind w:firstLine="540"/>
        <w:jc w:val="both"/>
      </w:pPr>
      <w:r>
        <w:rPr>
          <w:sz w:val="20"/>
        </w:rPr>
        <w:t xml:space="preserve">индивидуальные предприниматели, зарегистрированные на территории Московской области и осуществляющие деятельность в рамках лицензионных договоров (сублицензионных договоров), договоров коммерческой концессии (субконцессии) на территории Московской области;</w:t>
      </w:r>
    </w:p>
    <w:p>
      <w:pPr>
        <w:pStyle w:val="0"/>
        <w:spacing w:before="200" w:line-rule="auto"/>
        <w:ind w:firstLine="540"/>
        <w:jc w:val="both"/>
      </w:pPr>
      <w:r>
        <w:rPr>
          <w:sz w:val="20"/>
        </w:rPr>
        <w:t xml:space="preserve">участник отбора достиг значений результатов предоставления субсидии по </w:t>
      </w:r>
      <w:hyperlink w:history="0" w:anchor="P12896" w:tooltip="Мероприятие 01.06.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
        <w:r>
          <w:rPr>
            <w:sz w:val="20"/>
            <w:color w:val="0000ff"/>
          </w:rPr>
          <w:t xml:space="preserve">мероприятию 01.06</w:t>
        </w:r>
      </w:hyperlink>
      <w:r>
        <w:rPr>
          <w:sz w:val="20"/>
        </w:rPr>
        <w:t xml:space="preserve"> "Возмещение части затрат субъектов малого и среднего предпринимательства, осуществляющих деятельность в рамках лицензионных договоров (сублицензионных договоров), договоров коммерческой концессии (субконцессии)" Подпрограммы 3 государственной программы (в случае, если участник отбора являлся получателем субсидии в году, предшествующем году проведения отбора) (далее - мероприятие 01.06).</w:t>
      </w:r>
    </w:p>
    <w:p>
      <w:pPr>
        <w:pStyle w:val="0"/>
        <w:spacing w:before="200" w:line-rule="auto"/>
        <w:ind w:firstLine="540"/>
        <w:jc w:val="both"/>
      </w:pPr>
      <w:r>
        <w:rPr>
          <w:sz w:val="20"/>
        </w:rPr>
        <w:t xml:space="preserve">10. В целях проведения отбора Мининвест Московской области издает приказ об объявлении приема заявок, в котором устанавливается:</w:t>
      </w:r>
    </w:p>
    <w:p>
      <w:pPr>
        <w:pStyle w:val="0"/>
        <w:spacing w:before="200" w:line-rule="auto"/>
        <w:ind w:firstLine="540"/>
        <w:jc w:val="both"/>
      </w:pPr>
      <w:r>
        <w:rPr>
          <w:sz w:val="20"/>
        </w:rPr>
        <w:t xml:space="preserve">дата и время начала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отбора;</w:t>
      </w:r>
    </w:p>
    <w:p>
      <w:pPr>
        <w:pStyle w:val="0"/>
        <w:spacing w:before="200" w:line-rule="auto"/>
        <w:ind w:firstLine="540"/>
        <w:jc w:val="both"/>
      </w:pPr>
      <w:r>
        <w:rPr>
          <w:sz w:val="20"/>
        </w:rPr>
        <w:t xml:space="preserve">период возмещения затрат.</w:t>
      </w:r>
    </w:p>
    <w:p>
      <w:pPr>
        <w:pStyle w:val="0"/>
        <w:spacing w:before="200" w:line-rule="auto"/>
        <w:ind w:firstLine="540"/>
        <w:jc w:val="both"/>
      </w:pPr>
      <w:r>
        <w:rPr>
          <w:sz w:val="20"/>
        </w:rPr>
        <w:t xml:space="preserve">11. В целях проведения отбора Мининвестом Московской области размещается объявление о проведении отбора в электронной форме в Информационной системе, подписанное усиленной квалифицированной электронной подписью руководителя Мининвеста Московской области (или уполномоченного им лица). Объявление размещается в Информационной системе не ранее размещения информации о субсидии в соответствии с </w:t>
      </w:r>
      <w:hyperlink w:history="0" w:anchor="P15991"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1 рабочего дня до наступления даты начала приема заявок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В объявлении о проведении отбора указывается следующая информация:</w:t>
      </w:r>
    </w:p>
    <w:p>
      <w:pPr>
        <w:pStyle w:val="0"/>
        <w:spacing w:before="200" w:line-rule="auto"/>
        <w:ind w:firstLine="540"/>
        <w:jc w:val="both"/>
      </w:pPr>
      <w:r>
        <w:rPr>
          <w:sz w:val="20"/>
        </w:rPr>
        <w:t xml:space="preserve">1) сроки проведения отбора;</w:t>
      </w:r>
    </w:p>
    <w:p>
      <w:pPr>
        <w:pStyle w:val="0"/>
        <w:spacing w:before="200" w:line-rule="auto"/>
        <w:ind w:firstLine="540"/>
        <w:jc w:val="both"/>
      </w:pPr>
      <w:r>
        <w:rPr>
          <w:sz w:val="20"/>
        </w:rPr>
        <w:t xml:space="preserve">2) дата начала подачи и окончания приема заявок, при этом дата окончания приема заявок не может быть ранее 10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 и АНО "АИР";</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6) требования к участникам отбора, которым участник отбора должен соответствовать на дату, определенную Порядком, и перечню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7) категории и критерии отбора;</w:t>
      </w:r>
    </w:p>
    <w:p>
      <w:pPr>
        <w:pStyle w:val="0"/>
        <w:spacing w:before="200" w:line-rule="auto"/>
        <w:ind w:firstLine="540"/>
        <w:jc w:val="both"/>
      </w:pPr>
      <w:r>
        <w:rPr>
          <w:sz w:val="20"/>
        </w:rPr>
        <w:t xml:space="preserve">8) порядок подачи заявок участниками отбора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установленный Порядком, правила распределения субсидии по результатам отбора, которые в том числе включают максимальный размер субсидии, предоставляемой победителю отбора;</w:t>
      </w:r>
    </w:p>
    <w:p>
      <w:pPr>
        <w:pStyle w:val="0"/>
        <w:spacing w:before="200" w:line-rule="auto"/>
        <w:ind w:firstLine="540"/>
        <w:jc w:val="both"/>
      </w:pPr>
      <w:r>
        <w:rPr>
          <w:sz w:val="20"/>
        </w:rPr>
        <w:t xml:space="preserve">14) порядок представления участникам отбора разъяснений положений объявления о проведении отбора, даты начала и окончания срока такого представления;</w:t>
      </w:r>
    </w:p>
    <w:p>
      <w:pPr>
        <w:pStyle w:val="0"/>
        <w:spacing w:before="200" w:line-rule="auto"/>
        <w:ind w:firstLine="540"/>
        <w:jc w:val="both"/>
      </w:pPr>
      <w:r>
        <w:rPr>
          <w:sz w:val="20"/>
        </w:rPr>
        <w:t xml:space="preserve">15) срок, в течение которого победитель отбора должен подписать соглашение о предоставлении субсидии, заключаемое с Мининвестом Московской области (далее - Соглашение);</w:t>
      </w:r>
    </w:p>
    <w:p>
      <w:pPr>
        <w:pStyle w:val="0"/>
        <w:spacing w:before="200" w:line-rule="auto"/>
        <w:ind w:firstLine="540"/>
        <w:jc w:val="both"/>
      </w:pPr>
      <w:r>
        <w:rPr>
          <w:sz w:val="20"/>
        </w:rPr>
        <w:t xml:space="preserve">16) 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17) сроки размещения протокола подведения итогов отбора в Информационной системе и на официальном сайте Мининвеста Московской области (</w:t>
      </w:r>
      <w:hyperlink w:history="0" r:id="rId722">
        <w:r>
          <w:rPr>
            <w:sz w:val="20"/>
            <w:color w:val="0000ff"/>
          </w:rPr>
          <w:t xml:space="preserve">https://mii.mosreg.ru</w:t>
        </w:r>
      </w:hyperlink>
      <w:r>
        <w:rPr>
          <w:sz w:val="20"/>
        </w:rPr>
        <w:t xml:space="preserve">), которые не могут быть позднее 14 календарного дня, следующего за днем определения победителя отбора.</w:t>
      </w:r>
    </w:p>
    <w:p>
      <w:pPr>
        <w:pStyle w:val="0"/>
        <w:spacing w:before="200" w:line-rule="auto"/>
        <w:ind w:firstLine="540"/>
        <w:jc w:val="both"/>
      </w:pPr>
      <w:r>
        <w:rPr>
          <w:sz w:val="20"/>
        </w:rPr>
        <w:t xml:space="preserve">Информация о странице сайта, на котором размещается объявление о проведении отбора, о его отмене, информация о ходе и результатах отбора, публикуется на едином портале.</w:t>
      </w:r>
    </w:p>
    <w:bookmarkStart w:id="16028" w:name="P16028"/>
    <w:bookmarkEnd w:id="16028"/>
    <w:p>
      <w:pPr>
        <w:pStyle w:val="0"/>
        <w:spacing w:before="200" w:line-rule="auto"/>
        <w:ind w:firstLine="540"/>
        <w:jc w:val="both"/>
      </w:pPr>
      <w:r>
        <w:rPr>
          <w:sz w:val="20"/>
        </w:rPr>
        <w:t xml:space="preserve">12. Требования к участникам отбора, которым они должны соответствовать на даты подачи заявки и заключения Соглашения:</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72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отбора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724"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отбора на едином налоговом счете отсутствует или не превышает размер, определенный </w:t>
      </w:r>
      <w:hyperlink w:history="0" r:id="rId725"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отбора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pPr>
        <w:pStyle w:val="0"/>
        <w:spacing w:before="200" w:line-rule="auto"/>
        <w:ind w:firstLine="540"/>
        <w:jc w:val="both"/>
      </w:pPr>
      <w:r>
        <w:rPr>
          <w:sz w:val="20"/>
        </w:rPr>
        <w:t xml:space="preserve">10) участник отбора в полном объеме произвел затраты, на возмещение которых предоставляется субсидия;</w:t>
      </w:r>
    </w:p>
    <w:p>
      <w:pPr>
        <w:pStyle w:val="0"/>
        <w:spacing w:before="200" w:line-rule="auto"/>
        <w:ind w:firstLine="540"/>
        <w:jc w:val="both"/>
      </w:pPr>
      <w:r>
        <w:rPr>
          <w:sz w:val="20"/>
        </w:rPr>
        <w:t xml:space="preserve">11) участник отбора представил документы согласно </w:t>
      </w:r>
      <w:hyperlink w:history="0" w:anchor="P16242" w:tooltip="ПЕРЕЧЕНЬ ДОКУМЕНТОВ, ПРЕДСТАВЛЯЕМЫХ УЧАСТНИКАМИ ОТБОРА">
        <w:r>
          <w:rPr>
            <w:sz w:val="20"/>
            <w:color w:val="0000ff"/>
          </w:rPr>
          <w:t xml:space="preserve">таблице 1</w:t>
        </w:r>
      </w:hyperlink>
      <w:r>
        <w:rPr>
          <w:sz w:val="20"/>
        </w:rPr>
        <w:t xml:space="preserve"> к Порядку;</w:t>
      </w:r>
    </w:p>
    <w:p>
      <w:pPr>
        <w:pStyle w:val="0"/>
        <w:spacing w:before="200" w:line-rule="auto"/>
        <w:ind w:firstLine="540"/>
        <w:jc w:val="both"/>
      </w:pPr>
      <w:r>
        <w:rPr>
          <w:sz w:val="20"/>
        </w:rPr>
        <w:t xml:space="preserve">12) участник отбора произвел приемку оборудования;</w:t>
      </w:r>
    </w:p>
    <w:p>
      <w:pPr>
        <w:pStyle w:val="0"/>
        <w:spacing w:before="200" w:line-rule="auto"/>
        <w:ind w:firstLine="540"/>
        <w:jc w:val="both"/>
      </w:pPr>
      <w:r>
        <w:rPr>
          <w:sz w:val="20"/>
        </w:rPr>
        <w:t xml:space="preserve">13) участник отбора соответствует категории и критериям отбора.</w:t>
      </w:r>
    </w:p>
    <w:p>
      <w:pPr>
        <w:pStyle w:val="0"/>
        <w:spacing w:before="200" w:line-rule="auto"/>
        <w:ind w:firstLine="540"/>
        <w:jc w:val="both"/>
      </w:pPr>
      <w:r>
        <w:rPr>
          <w:sz w:val="20"/>
        </w:rPr>
        <w:t xml:space="preserve">13. Представление в Мининвест Московской области заявки и документов, подтверждающих соответствие участников отбора требованиям, установленным Порядком осуществляется путем заполнения соответствующих экранных форм веб-интерфейса и представления в Информационную систему электронных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отбора для подачи заявки.</w:t>
      </w:r>
    </w:p>
    <w:bookmarkStart w:id="16043" w:name="P16043"/>
    <w:bookmarkEnd w:id="16043"/>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отбора:</w:t>
      </w:r>
    </w:p>
    <w:p>
      <w:pPr>
        <w:pStyle w:val="0"/>
        <w:spacing w:before="200" w:line-rule="auto"/>
        <w:ind w:firstLine="540"/>
        <w:jc w:val="both"/>
      </w:pPr>
      <w:r>
        <w:rPr>
          <w:sz w:val="20"/>
        </w:rPr>
        <w:t xml:space="preserve">1) заявка подается и формируется участниками отбора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отбора;</w:t>
      </w:r>
    </w:p>
    <w:p>
      <w:pPr>
        <w:pStyle w:val="0"/>
        <w:spacing w:before="200" w:line-rule="auto"/>
        <w:ind w:firstLine="540"/>
        <w:jc w:val="both"/>
      </w:pPr>
      <w:r>
        <w:rPr>
          <w:sz w:val="20"/>
        </w:rPr>
        <w:t xml:space="preserve">документы, подтверждающие соответствие участника отбора требованиям, установленным порядком, согласно </w:t>
      </w:r>
      <w:hyperlink w:history="0" w:anchor="P16242" w:tooltip="ПЕРЕЧЕНЬ ДОКУМЕНТОВ, ПРЕДСТАВЛЯЕМЫХ УЧАСТНИКАМИ ОТБОРА">
        <w:r>
          <w:rPr>
            <w:sz w:val="20"/>
            <w:color w:val="0000ff"/>
          </w:rPr>
          <w:t xml:space="preserve">таблице 1</w:t>
        </w:r>
      </w:hyperlink>
      <w:r>
        <w:rPr>
          <w:sz w:val="20"/>
        </w:rPr>
        <w:t xml:space="preserve"> к Порядку (далее - документы);</w:t>
      </w:r>
    </w:p>
    <w:p>
      <w:pPr>
        <w:pStyle w:val="0"/>
        <w:spacing w:before="200" w:line-rule="auto"/>
        <w:ind w:firstLine="540"/>
        <w:jc w:val="both"/>
      </w:pPr>
      <w:r>
        <w:rPr>
          <w:sz w:val="20"/>
        </w:rPr>
        <w:t xml:space="preserve">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3) для представления заявки участник отбора авторизуется в Информационной системе, заполняет интерактивные поля заявки, ставит отметку о согласии участника отбора:</w:t>
      </w:r>
    </w:p>
    <w:p>
      <w:pPr>
        <w:pStyle w:val="0"/>
        <w:spacing w:before="200" w:line-rule="auto"/>
        <w:ind w:firstLine="540"/>
        <w:jc w:val="both"/>
      </w:pPr>
      <w:r>
        <w:rPr>
          <w:sz w:val="20"/>
        </w:rPr>
        <w:t xml:space="preserve">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отбора;</w:t>
      </w:r>
    </w:p>
    <w:p>
      <w:pPr>
        <w:pStyle w:val="0"/>
        <w:spacing w:before="200" w:line-rule="auto"/>
        <w:ind w:firstLine="540"/>
        <w:jc w:val="both"/>
      </w:pPr>
      <w:r>
        <w:rPr>
          <w:sz w:val="20"/>
        </w:rPr>
        <w:t xml:space="preserve">на осуществление в отношении него проверок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w:history="0" r:id="rId7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заявка подписывается усиленной квалифицированной электронной подписью руководителя участника отбора - юридического лица (уполномоченного им лица) или индивидуального предпринимателя;</w:t>
      </w:r>
    </w:p>
    <w:p>
      <w:pPr>
        <w:pStyle w:val="0"/>
        <w:spacing w:before="200" w:line-rule="auto"/>
        <w:ind w:firstLine="540"/>
        <w:jc w:val="both"/>
      </w:pPr>
      <w:r>
        <w:rPr>
          <w:sz w:val="20"/>
        </w:rPr>
        <w:t xml:space="preserve">5) случае если от имени участника отбора действует иное лицо, заявка должна содержать доверенность представителя на осуществление действий от имени участника отбора,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6) доверенность представителя участника отбора - юридического лица должна быть подписана руководителем участника отбора или иным уполномоченным лицом и заверена печатью участника отбора (при наличии);</w:t>
      </w:r>
    </w:p>
    <w:p>
      <w:pPr>
        <w:pStyle w:val="0"/>
        <w:spacing w:before="200" w:line-rule="auto"/>
        <w:ind w:firstLine="540"/>
        <w:jc w:val="both"/>
      </w:pPr>
      <w:r>
        <w:rPr>
          <w:sz w:val="20"/>
        </w:rPr>
        <w:t xml:space="preserve">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w:t>
      </w:r>
    </w:p>
    <w:p>
      <w:pPr>
        <w:pStyle w:val="0"/>
        <w:spacing w:before="200" w:line-rule="auto"/>
        <w:ind w:firstLine="540"/>
        <w:jc w:val="both"/>
      </w:pPr>
      <w:r>
        <w:rPr>
          <w:sz w:val="20"/>
        </w:rPr>
        <w:t xml:space="preserve">8) требования к документам, представляемым в составе заявки в соответствии с </w:t>
      </w:r>
      <w:hyperlink w:history="0" w:anchor="P16242" w:tooltip="ПЕРЕЧЕНЬ ДОКУМЕНТОВ, ПРЕДСТАВЛЯЕМЫХ УЧАСТНИКАМИ ОТБОРА">
        <w:r>
          <w:rPr>
            <w:sz w:val="20"/>
            <w:color w:val="0000ff"/>
          </w:rPr>
          <w:t xml:space="preserve">таблицей 1</w:t>
        </w:r>
      </w:hyperlink>
      <w:r>
        <w:rPr>
          <w:sz w:val="20"/>
        </w:rPr>
        <w:t xml:space="preserve"> к Порядку:</w:t>
      </w:r>
    </w:p>
    <w:p>
      <w:pPr>
        <w:pStyle w:val="0"/>
        <w:spacing w:before="200" w:line-rule="auto"/>
        <w:ind w:firstLine="540"/>
        <w:jc w:val="both"/>
      </w:pPr>
      <w:r>
        <w:rPr>
          <w:sz w:val="20"/>
        </w:rPr>
        <w:t xml:space="preserve">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участника отбора и печатью (при наличии печати);</w:t>
      </w:r>
    </w:p>
    <w:p>
      <w:pPr>
        <w:pStyle w:val="0"/>
        <w:spacing w:before="200" w:line-rule="auto"/>
        <w:ind w:firstLine="540"/>
        <w:jc w:val="both"/>
      </w:pPr>
      <w:r>
        <w:rPr>
          <w:sz w:val="20"/>
        </w:rPr>
        <w:t xml:space="preserve">электронные образы документов подписываются ЭП;</w:t>
      </w:r>
    </w:p>
    <w:p>
      <w:pPr>
        <w:pStyle w:val="0"/>
        <w:spacing w:before="200" w:line-rule="auto"/>
        <w:ind w:firstLine="540"/>
        <w:jc w:val="both"/>
      </w:pPr>
      <w:r>
        <w:rPr>
          <w:sz w:val="20"/>
        </w:rPr>
        <w:t xml:space="preserve">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допускается формирование электронного документа путем сканирования непосредственно с оригинала документа, которое осуществляется с сохранением ориентации оригинала документа в разрешении 300-500 dpi (масштаб 1:1)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отбора участником отбора может быть подана одна заявка.</w:t>
      </w:r>
    </w:p>
    <w:p>
      <w:pPr>
        <w:pStyle w:val="0"/>
        <w:spacing w:before="200" w:line-rule="auto"/>
        <w:ind w:firstLine="540"/>
        <w:jc w:val="both"/>
      </w:pPr>
      <w:r>
        <w:rPr>
          <w:sz w:val="20"/>
        </w:rPr>
        <w:t xml:space="preserve">15. Участник отбора вправе отозвать представленную заявку путем формирования участником отбора уведомления об отзыве заявки в электронной форме в Информационной системе и направления такого уведомления в Мининвест Московской области.</w:t>
      </w:r>
    </w:p>
    <w:p>
      <w:pPr>
        <w:pStyle w:val="0"/>
        <w:spacing w:before="200" w:line-rule="auto"/>
        <w:ind w:firstLine="540"/>
        <w:jc w:val="both"/>
      </w:pPr>
      <w:r>
        <w:rPr>
          <w:sz w:val="20"/>
        </w:rPr>
        <w:t xml:space="preserve">Участник отбора вправе в случае отзыва заявки повторно представить заявку в сроки, установленные объявлением о проведении отбора.</w:t>
      </w:r>
    </w:p>
    <w:p>
      <w:pPr>
        <w:pStyle w:val="0"/>
        <w:spacing w:before="200" w:line-rule="auto"/>
        <w:ind w:firstLine="540"/>
        <w:jc w:val="both"/>
      </w:pPr>
      <w:r>
        <w:rPr>
          <w:sz w:val="20"/>
        </w:rPr>
        <w:t xml:space="preserve">16. В рамках проведения отбора АНО АИР осуществляет следующие полномочия, за исключением полномочий по размещению объявления о проведении отбора и утверждению протокола подведения итогов отбора:</w:t>
      </w:r>
    </w:p>
    <w:p>
      <w:pPr>
        <w:pStyle w:val="0"/>
        <w:spacing w:before="200" w:line-rule="auto"/>
        <w:ind w:firstLine="540"/>
        <w:jc w:val="both"/>
      </w:pPr>
      <w:r>
        <w:rPr>
          <w:sz w:val="20"/>
        </w:rPr>
        <w:t xml:space="preserve">рассмотрение заявки на соответствие требованиям, установленным </w:t>
      </w:r>
      <w:hyperlink w:history="0" w:anchor="P16043" w:tooltip="14. Требования, предъявляемые к форме и содержанию заявок, представляемых участниками отбор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проверка соответствия участника отбора категории и критериям отбора, установленным </w:t>
      </w:r>
      <w:hyperlink w:history="0" w:anchor="P15999" w:tooltip="9. Категории отбора: юридические лица,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пунктом 9</w:t>
        </w:r>
      </w:hyperlink>
      <w:r>
        <w:rPr>
          <w:sz w:val="20"/>
        </w:rPr>
        <w:t xml:space="preserve"> Порядка, и требованиям, установленным в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проверка достоверности сведений, содержащихся в заявке участника отбора, в соответствии с </w:t>
      </w:r>
      <w:hyperlink w:history="0" w:anchor="P16108" w:tooltip="21. АНО &quot;АИР&quot; со дня получения доступа к поданным заявкам в Информационной системе и не позднее 6 рабочих дней со дня окончания срока приема заявок рассматривает заявки на предмет соответствия участников отбора требованиям, установленным пунктом 12 Порядка, соблюдения требований к форме и содержанию заявки, установленных Порядком, и соответствия затрат, произведенных участником отбора, цели предоставления субсидии и направлениям затрат, установленным пунктом 30 Порядка.">
        <w:r>
          <w:rPr>
            <w:sz w:val="20"/>
            <w:color w:val="0000ff"/>
          </w:rPr>
          <w:t xml:space="preserve">пунктом 21</w:t>
        </w:r>
      </w:hyperlink>
      <w:r>
        <w:rPr>
          <w:sz w:val="20"/>
        </w:rPr>
        <w:t xml:space="preserve"> Порядка;</w:t>
      </w:r>
    </w:p>
    <w:p>
      <w:pPr>
        <w:pStyle w:val="0"/>
        <w:spacing w:before="200" w:line-rule="auto"/>
        <w:ind w:firstLine="540"/>
        <w:jc w:val="both"/>
      </w:pPr>
      <w:r>
        <w:rPr>
          <w:sz w:val="20"/>
        </w:rPr>
        <w:t xml:space="preserve">составление заключений в соответствии с </w:t>
      </w:r>
      <w:hyperlink w:history="0" w:anchor="P16117" w:tooltip="22. По результатам рассмотрения заявки, не позднее 10 рабочих дней со дня окончания срока приема заявок, АНО &quot;АИР&quot; составляет и направляет в Мининвест Московской области заключения по форме, установленной Мининвестом (далее - Заключение &quot;АНО &quot;АИР&quot;):">
        <w:r>
          <w:rPr>
            <w:sz w:val="20"/>
            <w:color w:val="0000ff"/>
          </w:rPr>
          <w:t xml:space="preserve">пунктами 22</w:t>
        </w:r>
      </w:hyperlink>
      <w:r>
        <w:rPr>
          <w:sz w:val="20"/>
        </w:rPr>
        <w:t xml:space="preserve"> Порядка;</w:t>
      </w:r>
    </w:p>
    <w:p>
      <w:pPr>
        <w:pStyle w:val="0"/>
        <w:spacing w:before="200" w:line-rule="auto"/>
        <w:ind w:firstLine="540"/>
        <w:jc w:val="both"/>
      </w:pPr>
      <w:r>
        <w:rPr>
          <w:sz w:val="20"/>
        </w:rPr>
        <w:t xml:space="preserve">разъяснение положений объявления о проведении отбора при поступлении соответствующих запросов от участников отбора в соответствии с </w:t>
      </w:r>
      <w:hyperlink w:history="0" w:anchor="P16166" w:tooltip="32. Размер субсидии составляет 50 процентов произведенных и подтвержденных затрат и не может превышать 2 млн рублей на одного участника отбора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 (лицензиарами), зарегистрированными в Московской области, или не может превышать 1 млн рублей на одного участника отбора при возмещении затрат по лицензионным догово...">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запрос сведений в ФНС России в порядке межведомственного электронного информационного взаимодействия (далее - Межведомственный запрос)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17. Взаимодействие Мининвеста Московской области и АНО "АИР" с участниками отбора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18. При проведении отбора предусмотрен возврат заявок на доработку по решению Мининвеста Московской области или АНО "АИР". Решение о возврате принимается в равной мере ко всем участникам отбора, если при рассмотрении заявок выявлены основания для их возврата на доработку. Решения о возврате заявок на доработку доводятся до участников отбора в Информационной системе.</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некорректное заполнение обязательных полей заявления в Информационной системе (отсутствие заполнения, недостоверное, неполное или неправильное, не соответствующее требованиям, установленным Порядком);</w:t>
      </w:r>
    </w:p>
    <w:p>
      <w:pPr>
        <w:pStyle w:val="0"/>
        <w:spacing w:before="200" w:line-rule="auto"/>
        <w:ind w:firstLine="540"/>
        <w:jc w:val="both"/>
      </w:pPr>
      <w:r>
        <w:rPr>
          <w:sz w:val="20"/>
        </w:rPr>
        <w:t xml:space="preserve">2) представление электронных образов документов посредством Информационной системы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3) наличие нечитаемых исправлений в представленных документах.</w:t>
      </w:r>
    </w:p>
    <w:p>
      <w:pPr>
        <w:pStyle w:val="0"/>
        <w:spacing w:before="200" w:line-rule="auto"/>
        <w:ind w:firstLine="540"/>
        <w:jc w:val="both"/>
      </w:pPr>
      <w:r>
        <w:rPr>
          <w:sz w:val="20"/>
        </w:rPr>
        <w:t xml:space="preserve">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history="0" w:anchor="P16043" w:tooltip="14. Требования, предъявляемые к форме и содержанию заявок, представляемых участниками отбор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В случае принятия решения о возврате заявки на доработку АНО "АИР" направляет участнику конкурса уведомление о доработке заявки (далее - Уведомление о доработке), в электронном виде через личный кабинет посредством использования Информационной системы. Уведомление о доработке может быть направлено участнику конкурса в пределах установленного срока рассмотрения заявок.</w:t>
      </w:r>
    </w:p>
    <w:p>
      <w:pPr>
        <w:pStyle w:val="0"/>
        <w:spacing w:before="200" w:line-rule="auto"/>
        <w:ind w:firstLine="540"/>
        <w:jc w:val="both"/>
      </w:pPr>
      <w:r>
        <w:rPr>
          <w:sz w:val="20"/>
        </w:rPr>
        <w:t xml:space="preserve">Участник отбора представляет документы и заявку, в срок не более 4 рабочих дней со дня направления Уведомления о доработке.</w:t>
      </w:r>
    </w:p>
    <w:p>
      <w:pPr>
        <w:pStyle w:val="0"/>
        <w:spacing w:before="200" w:line-rule="auto"/>
        <w:ind w:firstLine="540"/>
        <w:jc w:val="both"/>
      </w:pPr>
      <w:r>
        <w:rPr>
          <w:sz w:val="20"/>
        </w:rPr>
        <w:t xml:space="preserve">В случае выявления технических ошибок в заявке участника отбора, устранение которых не влияет на размер субсидии и не дает преимущества перед другими участниками отбора, АНО "АИР" направляет участнику отбора уведомление о необходимости устранения технических ошибок, касающихся сведений и данных (далее - Уведомление о необходимости устранения технических ошибок), в электронном виде через личный кабинет посредством использования Информационной системы. Уведомление о необходимости устранения технических ошибок может быть направлено участнику отбора повторно неограниченное количество раз в пределах установленного срока рассмотрения.</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отбора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19. Доступ Мининвесту Московской области и АНО "АИР" к поданным участниками отбора заявкам в Информационной системе для их рассмотрения открывается в день регистрации заявок.</w:t>
      </w:r>
    </w:p>
    <w:p>
      <w:pPr>
        <w:pStyle w:val="0"/>
        <w:spacing w:before="200" w:line-rule="auto"/>
        <w:ind w:firstLine="540"/>
        <w:jc w:val="both"/>
      </w:pPr>
      <w:r>
        <w:rPr>
          <w:sz w:val="20"/>
        </w:rPr>
        <w:t xml:space="preserve">Протокол вскрытия заявок размещается в Информационной системе не позднее 1 рабочего дня, следующего за днем вскрытия заявок, установленного в объявлении о проведении отбора, подписанный усиленной квалифицированной электронной подписью руководителя Мининвеста Московской области (уполномоченного им лица) в Информационной системе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отбора (для юридических лиц) или фамилия, имя, отчество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отбора размер субсидии.</w:t>
      </w:r>
    </w:p>
    <w:p>
      <w:pPr>
        <w:pStyle w:val="0"/>
        <w:spacing w:before="200" w:line-rule="auto"/>
        <w:ind w:firstLine="540"/>
        <w:jc w:val="both"/>
      </w:pPr>
      <w:r>
        <w:rPr>
          <w:sz w:val="20"/>
        </w:rPr>
        <w:t xml:space="preserve">АНО "АИР"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запрашивает у ФНС России в порядке межведомственного запроса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сведения из ЕГРЮЛ (ЕГРИП);</w:t>
      </w:r>
    </w:p>
    <w:p>
      <w:pPr>
        <w:pStyle w:val="0"/>
        <w:spacing w:before="200" w:line-rule="auto"/>
        <w:ind w:firstLine="540"/>
        <w:jc w:val="both"/>
      </w:pPr>
      <w:r>
        <w:rPr>
          <w:sz w:val="20"/>
        </w:rPr>
        <w:t xml:space="preserve">сведения из Единого реестра субъектов МСП;</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из налоговых деклараций, представленных индивидуальными предпринимателями, применяющими специальные налоговые режимы;</w:t>
      </w:r>
    </w:p>
    <w:p>
      <w:pPr>
        <w:pStyle w:val="0"/>
        <w:spacing w:before="200" w:line-rule="auto"/>
        <w:ind w:firstLine="540"/>
        <w:jc w:val="both"/>
      </w:pPr>
      <w:r>
        <w:rPr>
          <w:sz w:val="20"/>
        </w:rPr>
        <w:t xml:space="preserve">сведения о сумме фактически уплаченных налогов в бюджеты всех уровней за финансовый год, предшествующий году подачи заявки (при наличии технической возможности);</w:t>
      </w:r>
    </w:p>
    <w:p>
      <w:pPr>
        <w:pStyle w:val="0"/>
        <w:spacing w:before="200" w:line-rule="auto"/>
        <w:ind w:firstLine="540"/>
        <w:jc w:val="both"/>
      </w:pPr>
      <w:r>
        <w:rPr>
          <w:sz w:val="20"/>
        </w:rPr>
        <w:t xml:space="preserve">сведения о распределении единого налогового платежа.</w:t>
      </w:r>
    </w:p>
    <w:p>
      <w:pPr>
        <w:pStyle w:val="0"/>
        <w:spacing w:before="200" w:line-rule="auto"/>
        <w:ind w:firstLine="540"/>
        <w:jc w:val="both"/>
      </w:pPr>
      <w:r>
        <w:rPr>
          <w:sz w:val="20"/>
        </w:rPr>
        <w:t xml:space="preserve">20. Мининвест Московской области и АНО "АИР" не вправе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и критериям, определенным в </w:t>
      </w:r>
      <w:hyperlink w:history="0" w:anchor="P15999" w:tooltip="9. Категории отбора: юридические лица,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пункте 9</w:t>
        </w:r>
      </w:hyperlink>
      <w:r>
        <w:rPr>
          <w:sz w:val="20"/>
        </w:rPr>
        <w:t xml:space="preserve">,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по собственной инициативе.</w:t>
      </w:r>
    </w:p>
    <w:bookmarkStart w:id="16108" w:name="P16108"/>
    <w:bookmarkEnd w:id="16108"/>
    <w:p>
      <w:pPr>
        <w:pStyle w:val="0"/>
        <w:spacing w:before="200" w:line-rule="auto"/>
        <w:ind w:firstLine="540"/>
        <w:jc w:val="both"/>
      </w:pPr>
      <w:r>
        <w:rPr>
          <w:sz w:val="20"/>
        </w:rPr>
        <w:t xml:space="preserve">21. АНО "АИР" со дня получения доступа к поданным заявкам в Информационной системе и не позднее 6 рабочих дней со дня окончания срока приема заявок рассматривает заявки на предмет соответствия участников отбора требованиям, установленным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соблюдения требований к форме и содержанию заявки, установленных Порядком, и соответствия затрат, произведенных участником отбора, цели предоставления субсидии и направлениям затрат, установленным </w:t>
      </w:r>
      <w:hyperlink w:history="0" w:anchor="P16153" w:tooltip="30. Направления затрат, на возмещение которых предоставляется субсидия:">
        <w:r>
          <w:rPr>
            <w:sz w:val="20"/>
            <w:color w:val="0000ff"/>
          </w:rPr>
          <w:t xml:space="preserve">пунктом 30</w:t>
        </w:r>
      </w:hyperlink>
      <w:r>
        <w:rPr>
          <w:sz w:val="20"/>
        </w:rPr>
        <w:t xml:space="preserve"> Порядка.</w:t>
      </w:r>
    </w:p>
    <w:p>
      <w:pPr>
        <w:pStyle w:val="0"/>
        <w:spacing w:before="200" w:line-rule="auto"/>
        <w:ind w:firstLine="540"/>
        <w:jc w:val="both"/>
      </w:pPr>
      <w:r>
        <w:rPr>
          <w:sz w:val="20"/>
        </w:rPr>
        <w:t xml:space="preserve">АНО "АИР" направляет участнику отбора в Информационной системе уведомление о планируемых значениях результата предоставления субсидии, которые будут включены в Соглашение в случае признания участника конкурса победителем конкурса и принятия решения о предоставлении ему субсидии, по форме, утвержденной Мининвестом Московской области, которое также содержит:</w:t>
      </w:r>
    </w:p>
    <w:p>
      <w:pPr>
        <w:pStyle w:val="0"/>
        <w:spacing w:before="200" w:line-rule="auto"/>
        <w:ind w:firstLine="540"/>
        <w:jc w:val="both"/>
      </w:pPr>
      <w:r>
        <w:rPr>
          <w:sz w:val="20"/>
        </w:rPr>
        <w:t xml:space="preserve">значения налоговых отчислений за финансовый год, предшествующий году подачи заявки;</w:t>
      </w:r>
    </w:p>
    <w:p>
      <w:pPr>
        <w:pStyle w:val="0"/>
        <w:spacing w:before="200" w:line-rule="auto"/>
        <w:ind w:firstLine="540"/>
        <w:jc w:val="both"/>
      </w:pPr>
      <w:r>
        <w:rPr>
          <w:sz w:val="20"/>
        </w:rPr>
        <w:t xml:space="preserve">планируемые значения налоговых отчислений по итогам года получения субсидии.</w:t>
      </w:r>
    </w:p>
    <w:p>
      <w:pPr>
        <w:pStyle w:val="0"/>
        <w:spacing w:before="200" w:line-rule="auto"/>
        <w:ind w:firstLine="540"/>
        <w:jc w:val="both"/>
      </w:pPr>
      <w:r>
        <w:rPr>
          <w:sz w:val="20"/>
        </w:rPr>
        <w:t xml:space="preserve">АНО "АИР" проводит проверку достоверности сведений, содержащихся в заявке участника отбора,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отбора,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заявок и проверку сведений в заявках на достоверность.</w:t>
      </w:r>
    </w:p>
    <w:p>
      <w:pPr>
        <w:pStyle w:val="0"/>
        <w:spacing w:before="200" w:line-rule="auto"/>
        <w:ind w:firstLine="540"/>
        <w:jc w:val="both"/>
      </w:pPr>
      <w:r>
        <w:rPr>
          <w:sz w:val="20"/>
        </w:rPr>
        <w:t xml:space="preserve">АНО "АИР" вправе запросить у участника отбора разъяснения, касающиеся сведений и данных, указанных в заявке,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отбора.</w:t>
      </w:r>
    </w:p>
    <w:bookmarkStart w:id="16117" w:name="P16117"/>
    <w:bookmarkEnd w:id="16117"/>
    <w:p>
      <w:pPr>
        <w:pStyle w:val="0"/>
        <w:spacing w:before="200" w:line-rule="auto"/>
        <w:ind w:firstLine="540"/>
        <w:jc w:val="both"/>
      </w:pPr>
      <w:r>
        <w:rPr>
          <w:sz w:val="20"/>
        </w:rPr>
        <w:t xml:space="preserve">22. По результатам рассмотрения заявки, не позднее 10 рабочих дней со дня окончания срока приема заявок, АНО "АИР" составляет и направляет в Мининвест Московской области заключения по форме, установленной Мининвестом (далее - Заключение "АНО "АИР"):</w:t>
      </w:r>
    </w:p>
    <w:p>
      <w:pPr>
        <w:pStyle w:val="0"/>
        <w:spacing w:before="200" w:line-rule="auto"/>
        <w:ind w:firstLine="540"/>
        <w:jc w:val="both"/>
      </w:pPr>
      <w:r>
        <w:rPr>
          <w:sz w:val="20"/>
        </w:rPr>
        <w:t xml:space="preserve">о признании участника отбора допущенным к отбору;</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23. Основаниями для составления заключения об отклонении заявки по результатам рассмотрения заявок АНО "АИР"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несоответствие затрат, произведенных участником отбора,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подача участником отбора заявки после даты и времени, определенных для приема заявок.</w:t>
      </w:r>
    </w:p>
    <w:p>
      <w:pPr>
        <w:pStyle w:val="0"/>
        <w:spacing w:before="200" w:line-rule="auto"/>
        <w:ind w:firstLine="540"/>
        <w:jc w:val="both"/>
      </w:pPr>
      <w:r>
        <w:rPr>
          <w:sz w:val="20"/>
        </w:rPr>
        <w:t xml:space="preserve">24. Участник отбора признается допущенным к отбору в случае, если в отношении него составлено Заключение АНО "АИР" о признании участника отбора допущенным к отбору.</w:t>
      </w:r>
    </w:p>
    <w:p>
      <w:pPr>
        <w:pStyle w:val="0"/>
        <w:spacing w:before="200" w:line-rule="auto"/>
        <w:ind w:firstLine="540"/>
        <w:jc w:val="both"/>
      </w:pPr>
      <w:r>
        <w:rPr>
          <w:sz w:val="20"/>
        </w:rPr>
        <w:t xml:space="preserve">25. По результатам проверки заявки участника отбора, на основании Заключений АНО "АИР" Мининвест Московской области в течение 8 рабочих дней формирует протокол подведения итогов отбора, который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не позднее 14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информацию об участниках отбора, заявки которых были рассмотрены;</w:t>
      </w:r>
    </w:p>
    <w:p>
      <w:pPr>
        <w:pStyle w:val="0"/>
        <w:spacing w:before="200" w:line-rule="auto"/>
        <w:ind w:firstLine="540"/>
        <w:jc w:val="both"/>
      </w:pPr>
      <w:r>
        <w:rPr>
          <w:sz w:val="20"/>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наименования участников отбора, признанных победителями отбора, с которыми заключается Соглашение (далее - получатели субсидии), и размер предоставляемых им субсидий.</w:t>
      </w:r>
    </w:p>
    <w:bookmarkStart w:id="16134" w:name="P16134"/>
    <w:bookmarkEnd w:id="16134"/>
    <w:p>
      <w:pPr>
        <w:pStyle w:val="0"/>
        <w:spacing w:before="200" w:line-rule="auto"/>
        <w:ind w:firstLine="540"/>
        <w:jc w:val="both"/>
      </w:pPr>
      <w:r>
        <w:rPr>
          <w:sz w:val="20"/>
        </w:rPr>
        <w:t xml:space="preserve">26. Мининвест Московской области в срок не более 5 рабочих дней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w:t>
      </w:r>
    </w:p>
    <w:p>
      <w:pPr>
        <w:pStyle w:val="0"/>
        <w:spacing w:before="200" w:line-rule="auto"/>
        <w:ind w:firstLine="540"/>
        <w:jc w:val="both"/>
      </w:pPr>
      <w:r>
        <w:rPr>
          <w:sz w:val="20"/>
        </w:rPr>
        <w:t xml:space="preserve">АНО "АИР" в срок не позднее 5 рабочих дней со дня подписания протокола подведения итогов отбора на основании приказа Мининвеста Московской области направляет в личный кабинет участникам отбора в Информационной системе уведомления о предоставлении субсидии и об отказе в предоставлении субсидии с указанием оснований для отказа в предоставлении субсидии соответственно.</w:t>
      </w:r>
    </w:p>
    <w:p>
      <w:pPr>
        <w:pStyle w:val="0"/>
        <w:spacing w:before="200" w:line-rule="auto"/>
        <w:ind w:firstLine="540"/>
        <w:jc w:val="both"/>
      </w:pPr>
      <w:r>
        <w:rPr>
          <w:sz w:val="20"/>
        </w:rPr>
        <w:t xml:space="preserve">27. Отбор признается Мининвестом Московской области несостоявшимся в следующих случаях:</w:t>
      </w:r>
    </w:p>
    <w:bookmarkStart w:id="16137" w:name="P16137"/>
    <w:bookmarkEnd w:id="16137"/>
    <w:p>
      <w:pPr>
        <w:pStyle w:val="0"/>
        <w:spacing w:before="200" w:line-rule="auto"/>
        <w:ind w:firstLine="540"/>
        <w:jc w:val="both"/>
      </w:pPr>
      <w:r>
        <w:rPr>
          <w:sz w:val="20"/>
        </w:rPr>
        <w:t xml:space="preserve">1) если по окончании срока подачи заявок не подано ни одной заявки;</w:t>
      </w:r>
    </w:p>
    <w:bookmarkStart w:id="16138" w:name="P16138"/>
    <w:bookmarkEnd w:id="16138"/>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Мининвеста Московской области о признании отбора несостоявшимся, содержащее информацию о причинах признания отбора несостоявшимся, размещается в Информационной системе и на официальном сайте Мининвеста Московской области (</w:t>
      </w:r>
      <w:hyperlink w:history="0" r:id="rId728">
        <w:r>
          <w:rPr>
            <w:sz w:val="20"/>
            <w:color w:val="0000ff"/>
          </w:rPr>
          <w:t xml:space="preserve">https://mii.mosreg.ru</w:t>
        </w:r>
      </w:hyperlink>
      <w:r>
        <w:rPr>
          <w:sz w:val="20"/>
        </w:rPr>
        <w:t xml:space="preserve">), в течение 3 календарных дней со дня его принятия.</w:t>
      </w:r>
    </w:p>
    <w:p>
      <w:pPr>
        <w:pStyle w:val="0"/>
        <w:spacing w:before="200" w:line-rule="auto"/>
        <w:ind w:firstLine="540"/>
        <w:jc w:val="both"/>
      </w:pPr>
      <w:r>
        <w:rPr>
          <w:sz w:val="20"/>
        </w:rPr>
        <w:t xml:space="preserve">В случае признания отбора несостоявшимся по основаниям, указанным в </w:t>
      </w:r>
      <w:hyperlink w:history="0" w:anchor="P16137" w:tooltip="1) если по окончании срока подачи заявок не подано ни одной заявки;">
        <w:r>
          <w:rPr>
            <w:sz w:val="20"/>
            <w:color w:val="0000ff"/>
          </w:rPr>
          <w:t xml:space="preserve">подпунктах 1</w:t>
        </w:r>
      </w:hyperlink>
      <w:r>
        <w:rPr>
          <w:sz w:val="20"/>
        </w:rPr>
        <w:t xml:space="preserve"> и </w:t>
      </w:r>
      <w:hyperlink w:history="0" w:anchor="P16138" w:tooltip="2) если по результатам рассмотрения заявок отклонены все заявки.">
        <w:r>
          <w:rPr>
            <w:sz w:val="20"/>
            <w:color w:val="0000ff"/>
          </w:rPr>
          <w:t xml:space="preserve">2</w:t>
        </w:r>
      </w:hyperlink>
      <w:r>
        <w:rPr>
          <w:sz w:val="20"/>
        </w:rPr>
        <w:t xml:space="preserve"> настоящего пункта, Мининвест Московской области в течение 20 календарных дней, следующих за днем признания отбора несостоявшимся, принимает решение о проведении нового отбора.</w:t>
      </w:r>
    </w:p>
    <w:p>
      <w:pPr>
        <w:pStyle w:val="0"/>
        <w:spacing w:before="200" w:line-rule="auto"/>
        <w:ind w:firstLine="540"/>
        <w:jc w:val="both"/>
      </w:pPr>
      <w:r>
        <w:rPr>
          <w:sz w:val="20"/>
        </w:rPr>
        <w:t xml:space="preserve">28. Мининвест Московской области принимает решение об отмене отбора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Объявление об отмене отбора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и на официальном сайте Мининвеста Московской области (</w:t>
      </w:r>
      <w:hyperlink w:history="0" r:id="rId729">
        <w:r>
          <w:rPr>
            <w:sz w:val="20"/>
            <w:color w:val="0000ff"/>
          </w:rPr>
          <w:t xml:space="preserve">https://mii.mosreg.ru</w:t>
        </w:r>
      </w:hyperlink>
      <w:r>
        <w:rPr>
          <w:sz w:val="20"/>
        </w:rPr>
        <w:t xml:space="preserve">) не позднее чем за 1 рабочий день до даты окончания срока подачи заявок участниками отбора и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Информационной системе.</w:t>
      </w:r>
    </w:p>
    <w:p>
      <w:pPr>
        <w:pStyle w:val="0"/>
        <w:spacing w:before="200" w:line-rule="auto"/>
        <w:ind w:firstLine="540"/>
        <w:jc w:val="both"/>
      </w:pPr>
      <w:r>
        <w:rPr>
          <w:sz w:val="20"/>
        </w:rPr>
        <w:t xml:space="preserve">Отбор считается отмененным со дня размещения объявления о его отмене в Информационной системе.</w:t>
      </w:r>
    </w:p>
    <w:bookmarkStart w:id="16147" w:name="P16147"/>
    <w:bookmarkEnd w:id="16147"/>
    <w:p>
      <w:pPr>
        <w:pStyle w:val="0"/>
        <w:spacing w:before="200" w:line-rule="auto"/>
        <w:ind w:firstLine="540"/>
        <w:jc w:val="both"/>
      </w:pPr>
      <w:r>
        <w:rPr>
          <w:sz w:val="20"/>
        </w:rPr>
        <w:t xml:space="preserve">29.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направить в АНО "АИР" запрос о разъяснении положений объявления о проведении отбора путем формирования соответствующего запроса.</w:t>
      </w:r>
    </w:p>
    <w:p>
      <w:pPr>
        <w:pStyle w:val="0"/>
        <w:spacing w:before="200" w:line-rule="auto"/>
        <w:ind w:firstLine="540"/>
        <w:jc w:val="both"/>
      </w:pPr>
      <w:r>
        <w:rPr>
          <w:sz w:val="20"/>
        </w:rPr>
        <w:t xml:space="preserve">АНО "АИР" в ответ на запрос, указанный в </w:t>
      </w:r>
      <w:hyperlink w:history="0" w:anchor="P16147" w:tooltip="29. Участник отбора со дня размещения объявления о проведении отбор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отбора путем формирования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даты окончания приема заявок, путем направления ответа в личный кабинет участника отбора в Информационной системе. При этом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отбора.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6153" w:name="P16153"/>
    <w:bookmarkEnd w:id="16153"/>
    <w:p>
      <w:pPr>
        <w:pStyle w:val="0"/>
        <w:ind w:firstLine="540"/>
        <w:jc w:val="both"/>
      </w:pPr>
      <w:r>
        <w:rPr>
          <w:sz w:val="20"/>
        </w:rPr>
        <w:t xml:space="preserve">30. Направления затрат, на возмещение которых предоставляется субсидия:</w:t>
      </w:r>
    </w:p>
    <w:p>
      <w:pPr>
        <w:pStyle w:val="0"/>
        <w:spacing w:before="200" w:line-rule="auto"/>
        <w:ind w:firstLine="540"/>
        <w:jc w:val="both"/>
      </w:pPr>
      <w:r>
        <w:rPr>
          <w:sz w:val="20"/>
        </w:rPr>
        <w:t xml:space="preserve">приобретение необходимого для осуществления предпринимательской деятельности в рамках лицензионного договора (сублицензионного договора), договора коммерческой концессии (субконцессии) оборудования (в том числе устройств, механизмов, станков, приборов, аппаратов, агрегатов, установок, машин, спецтехники, мобильных торговых объектов, мобильных точек общественного питания), относящегося ко второй и выше амортизационным группам Классификации основных средств, включаемых в амортизационные группы, или основных средств, приобретаемых в соответствии со спецификацией, разработанной правообладателем (вторичным правообладателем) исключительных прав по лицензионному договору (сублицензионному договору), договору коммерческой концессии (субконцессии) (далее - Оборудование);</w:t>
      </w:r>
    </w:p>
    <w:p>
      <w:pPr>
        <w:pStyle w:val="0"/>
        <w:spacing w:before="200" w:line-rule="auto"/>
        <w:ind w:firstLine="540"/>
        <w:jc w:val="both"/>
      </w:pPr>
      <w:r>
        <w:rPr>
          <w:sz w:val="20"/>
        </w:rPr>
        <w:t xml:space="preserve">арендные платежи в соответствии с заключенным договором аренды (субаренды);</w:t>
      </w:r>
    </w:p>
    <w:p>
      <w:pPr>
        <w:pStyle w:val="0"/>
        <w:spacing w:before="200" w:line-rule="auto"/>
        <w:ind w:firstLine="540"/>
        <w:jc w:val="both"/>
      </w:pPr>
      <w:r>
        <w:rPr>
          <w:sz w:val="20"/>
        </w:rPr>
        <w:t xml:space="preserve">арендные платежи в соответствии с заключенным договором аренды земельного участка (при размещении нестационарных торговых объектов, мобильных торговых объектов);</w:t>
      </w:r>
    </w:p>
    <w:p>
      <w:pPr>
        <w:pStyle w:val="0"/>
        <w:spacing w:before="200" w:line-rule="auto"/>
        <w:ind w:firstLine="540"/>
        <w:jc w:val="both"/>
      </w:pPr>
      <w:r>
        <w:rPr>
          <w:sz w:val="20"/>
        </w:rPr>
        <w:t xml:space="preserve">оплату коммунальных услуг в рамках заключенных договоров на оказание коммунальных и (или) эксплуатационных услуг (далее - коммунальные услуги);</w:t>
      </w:r>
    </w:p>
    <w:p>
      <w:pPr>
        <w:pStyle w:val="0"/>
        <w:spacing w:before="200" w:line-rule="auto"/>
        <w:ind w:firstLine="540"/>
        <w:jc w:val="both"/>
      </w:pPr>
      <w:r>
        <w:rPr>
          <w:sz w:val="20"/>
        </w:rPr>
        <w:t xml:space="preserve">подключение к сетям инженерной инфраструктуры;</w:t>
      </w:r>
    </w:p>
    <w:p>
      <w:pPr>
        <w:pStyle w:val="0"/>
        <w:spacing w:before="200" w:line-rule="auto"/>
        <w:ind w:firstLine="540"/>
        <w:jc w:val="both"/>
      </w:pPr>
      <w:r>
        <w:rPr>
          <w:sz w:val="20"/>
        </w:rPr>
        <w:t xml:space="preserve">обучение персонала (повышение квалификации, переподготовка);</w:t>
      </w:r>
    </w:p>
    <w:p>
      <w:pPr>
        <w:pStyle w:val="0"/>
        <w:spacing w:before="200" w:line-rule="auto"/>
        <w:ind w:firstLine="540"/>
        <w:jc w:val="both"/>
      </w:pPr>
      <w:r>
        <w:rPr>
          <w:sz w:val="20"/>
        </w:rPr>
        <w:t xml:space="preserve">рекламу (наружная, СМИ, информационно-коммуникационная сеть).</w:t>
      </w:r>
    </w:p>
    <w:p>
      <w:pPr>
        <w:pStyle w:val="0"/>
        <w:spacing w:before="200" w:line-rule="auto"/>
        <w:ind w:firstLine="540"/>
        <w:jc w:val="both"/>
      </w:pPr>
      <w:r>
        <w:rPr>
          <w:sz w:val="20"/>
        </w:rPr>
        <w:t xml:space="preserve">Под затратами на приобретение Оборудования понимается:</w:t>
      </w:r>
    </w:p>
    <w:p>
      <w:pPr>
        <w:pStyle w:val="0"/>
        <w:spacing w:before="200" w:line-rule="auto"/>
        <w:ind w:firstLine="540"/>
        <w:jc w:val="both"/>
      </w:pPr>
      <w:r>
        <w:rPr>
          <w:sz w:val="20"/>
        </w:rPr>
        <w:t xml:space="preserve">стоимость Оборудования согласно договору (контракту) на его приобретение, а также монтаж, сборку, установку, шеф-монтаж, пусконаладку, если указанные затраты предусмотрены договором (контрактом) на приобретение Оборудования;</w:t>
      </w:r>
    </w:p>
    <w:p>
      <w:pPr>
        <w:pStyle w:val="0"/>
        <w:spacing w:before="200" w:line-rule="auto"/>
        <w:ind w:firstLine="540"/>
        <w:jc w:val="both"/>
      </w:pPr>
      <w:r>
        <w:rPr>
          <w:sz w:val="20"/>
        </w:rPr>
        <w:t xml:space="preserve">понесенные затраты по договорам лизинга Оборудования (первоначальный взнос (аванс) и текущие лизинговые платежи).</w:t>
      </w:r>
    </w:p>
    <w:p>
      <w:pPr>
        <w:pStyle w:val="0"/>
        <w:spacing w:before="200" w:line-rule="auto"/>
        <w:ind w:firstLine="540"/>
        <w:jc w:val="both"/>
      </w:pPr>
      <w:r>
        <w:rPr>
          <w:sz w:val="20"/>
        </w:rPr>
        <w:t xml:space="preserve">Возмещению подлежат подтвержденные затраты, произведенные получателем субсидии при открытии объекта не ранее 01.01.2020, при этом под объектом понимается торговая точка, точка общественного питания, коммерческое помещение, нестационарный объект, в которых участник отбора осуществляет предпринимательскую деятельность в рамках одного или нескольких лицензионных договоров (сублицензионных договоров), договоров коммерческой концессии (субконцессии).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pPr>
        <w:pStyle w:val="0"/>
        <w:spacing w:before="200" w:line-rule="auto"/>
        <w:ind w:firstLine="540"/>
        <w:jc w:val="both"/>
      </w:pPr>
      <w:r>
        <w:rPr>
          <w:sz w:val="20"/>
        </w:rPr>
        <w:t xml:space="preserve">31. Субсидия на каждый объект, открытый в рамках лицензионного договора (сублицензионного договора), договора коммерческой концессии (субконцессии), предоставляется с учетом ограничений максимальной суммы субсидии, установленной </w:t>
      </w:r>
      <w:hyperlink w:history="0" w:anchor="P16166" w:tooltip="32. Размер субсидии составляет 50 процентов произведенных и подтвержденных затрат и не может превышать 2 млн рублей на одного участника отбора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 (лицензиарами), зарегистрированными в Московской области, или не может превышать 1 млн рублей на одного участника отбора при возмещении затрат по лицензионным догово...">
        <w:r>
          <w:rPr>
            <w:sz w:val="20"/>
            <w:color w:val="0000ff"/>
          </w:rPr>
          <w:t xml:space="preserve">пунктом 32</w:t>
        </w:r>
      </w:hyperlink>
      <w:r>
        <w:rPr>
          <w:sz w:val="20"/>
        </w:rPr>
        <w:t xml:space="preserve"> Порядка.</w:t>
      </w:r>
    </w:p>
    <w:bookmarkStart w:id="16166" w:name="P16166"/>
    <w:bookmarkEnd w:id="16166"/>
    <w:p>
      <w:pPr>
        <w:pStyle w:val="0"/>
        <w:spacing w:before="200" w:line-rule="auto"/>
        <w:ind w:firstLine="540"/>
        <w:jc w:val="both"/>
      </w:pPr>
      <w:r>
        <w:rPr>
          <w:sz w:val="20"/>
        </w:rPr>
        <w:t xml:space="preserve">32. Размер субсидии составляет 50 процентов произведенных и подтвержденных затрат и не может превышать 2 млн рублей на одного участника отбора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 (лицензиарами), зарегистрированными в Московской области, или не может превышать 1 млн рублей на одного участника отбора при возмещении затрат по лицензионным договорам (сублицензионным договорам), договорам коммерческой концессии (субконцессии), заключенным с правообладателями/лицензиарами (вторичными правообладателями (лицензиарами), зарегистрированными не на территории Московской области.</w:t>
      </w:r>
    </w:p>
    <w:p>
      <w:pPr>
        <w:pStyle w:val="0"/>
        <w:spacing w:before="200" w:line-rule="auto"/>
        <w:ind w:firstLine="540"/>
        <w:jc w:val="both"/>
      </w:pPr>
      <w:r>
        <w:rPr>
          <w:sz w:val="20"/>
        </w:rPr>
        <w:t xml:space="preserve">33. По результатам отбора с победителем отбора заключается Соглашение в соответствии с положениями </w:t>
      </w:r>
      <w:hyperlink w:history="0" r:id="rId730"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 29.1</w:t>
        </w:r>
      </w:hyperlink>
      <w:r>
        <w:rPr>
          <w:sz w:val="20"/>
        </w:rPr>
        <w:t xml:space="preserve"> Порядка разработки и реализации государственных программ.</w:t>
      </w:r>
    </w:p>
    <w:p>
      <w:pPr>
        <w:pStyle w:val="0"/>
        <w:spacing w:before="200" w:line-rule="auto"/>
        <w:ind w:firstLine="540"/>
        <w:jc w:val="both"/>
      </w:pPr>
      <w:r>
        <w:rPr>
          <w:sz w:val="20"/>
        </w:rPr>
        <w:t xml:space="preserve">Порядок открытия доступа и взаимодействия в информационной системе, в которой заключается Соглашение, указывается Мининвестом Московской области в объявлении о проведении отбора.</w:t>
      </w:r>
    </w:p>
    <w:p>
      <w:pPr>
        <w:pStyle w:val="0"/>
        <w:spacing w:before="200" w:line-rule="auto"/>
        <w:ind w:firstLine="540"/>
        <w:jc w:val="both"/>
      </w:pPr>
      <w:r>
        <w:rPr>
          <w:sz w:val="20"/>
        </w:rPr>
        <w:t xml:space="preserve">34.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w:t>
      </w:r>
    </w:p>
    <w:p>
      <w:pPr>
        <w:pStyle w:val="0"/>
        <w:spacing w:before="200" w:line-rule="auto"/>
        <w:ind w:firstLine="540"/>
        <w:jc w:val="both"/>
      </w:pPr>
      <w:r>
        <w:rPr>
          <w:sz w:val="20"/>
        </w:rPr>
        <w:t xml:space="preserve">35. Соглашение заключается с победителем отбора в течение 4 рабочих дней со дня принятия Мининвестом Московской области Решения в соответствии с </w:t>
      </w:r>
      <w:hyperlink w:history="0" w:anchor="P16134" w:tooltip="26. Мининвест Московской области в срок не более 5 рабочих дней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
        <w:r>
          <w:rPr>
            <w:sz w:val="20"/>
            <w:color w:val="0000ff"/>
          </w:rPr>
          <w:t xml:space="preserve">пунктом 26</w:t>
        </w:r>
      </w:hyperlink>
      <w:r>
        <w:rPr>
          <w:sz w:val="20"/>
        </w:rPr>
        <w:t xml:space="preserve"> Порядка, в следующем порядке:</w:t>
      </w:r>
    </w:p>
    <w:p>
      <w:pPr>
        <w:pStyle w:val="0"/>
        <w:spacing w:before="200" w:line-rule="auto"/>
        <w:ind w:firstLine="540"/>
        <w:jc w:val="both"/>
      </w:pPr>
      <w:r>
        <w:rPr>
          <w:sz w:val="20"/>
        </w:rPr>
        <w:t xml:space="preserve">в течение 2 рабочих дней со дня принятия Решения Мининвест Московской области направляет победителю отбора уведомление о предоставлении субсидии и Соглашение, подписанное ЭП уполномоченного должностного лица Мининвеста Московской области, в личный кабинет победителя отбора в Информационной системе;</w:t>
      </w:r>
    </w:p>
    <w:bookmarkStart w:id="16172" w:name="P16172"/>
    <w:bookmarkEnd w:id="16172"/>
    <w:p>
      <w:pPr>
        <w:pStyle w:val="0"/>
        <w:spacing w:before="200" w:line-rule="auto"/>
        <w:ind w:firstLine="540"/>
        <w:jc w:val="both"/>
      </w:pPr>
      <w:r>
        <w:rPr>
          <w:sz w:val="20"/>
        </w:rPr>
        <w:t xml:space="preserve">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w:t>
      </w:r>
    </w:p>
    <w:p>
      <w:pPr>
        <w:pStyle w:val="0"/>
        <w:spacing w:before="200" w:line-rule="auto"/>
        <w:ind w:firstLine="540"/>
        <w:jc w:val="both"/>
      </w:pPr>
      <w:r>
        <w:rPr>
          <w:sz w:val="20"/>
        </w:rPr>
        <w:t xml:space="preserve">Победитель отбора вправе отказаться от получения субсидии, направив в Мининвест Московской области соответствующий запрос в Информационной системе.</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отбора победителем отбора;</w:t>
      </w:r>
    </w:p>
    <w:p>
      <w:pPr>
        <w:pStyle w:val="0"/>
        <w:spacing w:before="200" w:line-rule="auto"/>
        <w:ind w:firstLine="540"/>
        <w:jc w:val="both"/>
      </w:pPr>
      <w:r>
        <w:rPr>
          <w:sz w:val="20"/>
        </w:rPr>
        <w:t xml:space="preserve">соответствие победителя отбора требованиям, установленным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36.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отбора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Порядок заключения дополнительного Соглашения устанавливается Распоряжением Мининвеста Московской области.</w:t>
      </w:r>
    </w:p>
    <w:p>
      <w:pPr>
        <w:pStyle w:val="0"/>
        <w:spacing w:before="200" w:line-rule="auto"/>
        <w:ind w:firstLine="540"/>
        <w:jc w:val="both"/>
      </w:pPr>
      <w:r>
        <w:rPr>
          <w:sz w:val="20"/>
        </w:rPr>
        <w:t xml:space="preserve">37. Основаниями для отказа Мининвестом Московской области в предоставлении субсидии являются:</w:t>
      </w:r>
    </w:p>
    <w:p>
      <w:pPr>
        <w:pStyle w:val="0"/>
        <w:spacing w:before="200" w:line-rule="auto"/>
        <w:ind w:firstLine="540"/>
        <w:jc w:val="both"/>
      </w:pPr>
      <w:r>
        <w:rPr>
          <w:sz w:val="20"/>
        </w:rPr>
        <w:t xml:space="preserve">несоответствие участника отбора требованиям, установленным в </w:t>
      </w:r>
      <w:hyperlink w:history="0" w:anchor="P16028" w:tooltip="12. Требования к участникам отбор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отбора, предусмотренных Порядком;</w:t>
      </w:r>
    </w:p>
    <w:p>
      <w:pPr>
        <w:pStyle w:val="0"/>
        <w:spacing w:before="200" w:line-rule="auto"/>
        <w:ind w:firstLine="540"/>
        <w:jc w:val="both"/>
      </w:pPr>
      <w:r>
        <w:rPr>
          <w:sz w:val="20"/>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несоответствие затрат, произведенных участником отбора,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наличие иной принятой и зарегистрированной заявки участника отбора, которая не была им отозвана на дату рассмотрения заявки.</w:t>
      </w:r>
    </w:p>
    <w:p>
      <w:pPr>
        <w:pStyle w:val="0"/>
        <w:spacing w:before="200" w:line-rule="auto"/>
        <w:ind w:firstLine="540"/>
        <w:jc w:val="both"/>
      </w:pPr>
      <w:r>
        <w:rPr>
          <w:sz w:val="20"/>
        </w:rPr>
        <w:t xml:space="preserve">38. В случае неподписания победителем отбора Соглашения в срок, установленный </w:t>
      </w:r>
      <w:hyperlink w:history="0" w:anchor="P16172" w:tooltip="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
        <w:r>
          <w:rPr>
            <w:sz w:val="20"/>
            <w:color w:val="0000ff"/>
          </w:rPr>
          <w:t xml:space="preserve">абзацем третьим пункта 35</w:t>
        </w:r>
      </w:hyperlink>
      <w:r>
        <w:rPr>
          <w:sz w:val="20"/>
        </w:rPr>
        <w:t xml:space="preserve"> Порядка, победитель отбора признается уклонившимся от заключения Соглашения и субсидия не предоставляется, о чем победитель отбора уведомляется Мининвестом Московской области в письменной форме в течение 2 рабочих дней со дня, следующего за днем окончания срока, установленного абзацем третьим пункта 35 Порядка.</w:t>
      </w:r>
    </w:p>
    <w:p>
      <w:pPr>
        <w:pStyle w:val="0"/>
        <w:spacing w:before="200" w:line-rule="auto"/>
        <w:ind w:firstLine="540"/>
        <w:jc w:val="both"/>
      </w:pPr>
      <w:r>
        <w:rPr>
          <w:sz w:val="20"/>
        </w:rPr>
        <w:t xml:space="preserve">В случае подписания получателем субсидии Соглашения в Информационной системе в срок, установленный </w:t>
      </w:r>
      <w:hyperlink w:history="0" w:anchor="P16172" w:tooltip="в течение 2 рабочих дней со дня направления Соглашения победитель отбора направляет в адрес Мининвеста Московской области Соглашение, подписанное ЭП со своей стороны.">
        <w:r>
          <w:rPr>
            <w:sz w:val="20"/>
            <w:color w:val="0000ff"/>
          </w:rPr>
          <w:t xml:space="preserve">абзацем третьим пункта 35</w:t>
        </w:r>
      </w:hyperlink>
      <w:r>
        <w:rPr>
          <w:sz w:val="20"/>
        </w:rPr>
        <w:t xml:space="preserve"> Порядка, Соглашение подписывается Мининвестом Московской области в течение 1 рабочего дня, следующего за днем подписания получателем субсидии Соглашения в Информационной системе.</w:t>
      </w:r>
    </w:p>
    <w:p>
      <w:pPr>
        <w:pStyle w:val="0"/>
        <w:spacing w:before="200" w:line-rule="auto"/>
        <w:ind w:firstLine="540"/>
        <w:jc w:val="both"/>
      </w:pPr>
      <w:r>
        <w:rPr>
          <w:sz w:val="20"/>
        </w:rPr>
        <w:t xml:space="preserve">39.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7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3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результата предоставления субсидии, установленные в соответствии с заявкой (в случае, если в связи с недостаточностью бюджетных ассигнований на </w:t>
      </w:r>
      <w:hyperlink w:history="0" w:anchor="P12783" w:tooltip="Мероприятие 01.04. Возмеще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quot;Налог на профессиональный доход&quot;, связанных с оплатой услуг торговых площадок по продажам товаров, работ и услуг в информационно-телекоммуникационной сети &quot;Интернет&quot;">
        <w:r>
          <w:rPr>
            <w:sz w:val="20"/>
            <w:color w:val="0000ff"/>
          </w:rPr>
          <w:t xml:space="preserve">мероприятие 01.04</w:t>
        </w:r>
      </w:hyperlink>
      <w:r>
        <w:rPr>
          <w:sz w:val="20"/>
        </w:rPr>
        <w:t xml:space="preserve"> размер предоставленной субсидии меньше размера, указанного получателем субсидии в заявке, результаты предоставления субсидии снижаются пропорционально уменьшению размера предоставляемой субсидии).</w:t>
      </w:r>
    </w:p>
    <w:p>
      <w:pPr>
        <w:pStyle w:val="0"/>
        <w:spacing w:before="200" w:line-rule="auto"/>
        <w:ind w:firstLine="540"/>
        <w:jc w:val="both"/>
      </w:pPr>
      <w:r>
        <w:rPr>
          <w:sz w:val="20"/>
        </w:rPr>
        <w:t xml:space="preserve">40. Перечисление субсидии осуществляется не позднее 10 рабочего дня, следующего за днем принятия Мининвестом Московской области решения о предоставлении субсидии, предусмотренного </w:t>
      </w:r>
      <w:hyperlink w:history="0" w:anchor="P16134" w:tooltip="26. Мининвест Московской области в срок не более 5 рабочих дней со дня подписания протокола подведения итогов отбора принимает решения о предоставлении субсидии и об отказе в предоставлении субсидии, которые оформляются приказом Мининвеста Московской области (далее - Решение).">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Субсидии подлежат перечислению на расчетные счета получателей субсидий, открытые в кредитных организациях, указанные в Соглашениях.</w:t>
      </w:r>
    </w:p>
    <w:p>
      <w:pPr>
        <w:pStyle w:val="0"/>
        <w:spacing w:before="200" w:line-rule="auto"/>
        <w:ind w:firstLine="540"/>
        <w:jc w:val="both"/>
      </w:pPr>
      <w:r>
        <w:rPr>
          <w:sz w:val="20"/>
        </w:rPr>
        <w:t xml:space="preserve">41.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33"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 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34"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735"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42. Результатом предоставления субсидии является прирост налоговых отчислений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Значение результата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43. Получатели субсидии представляют Мининвест Московской области отчет о достижении значений результата предоставления субсидии по форме, установленной Соглашением (далее - Отчет), в электронной форме посредством личного кабинета в Информационной системе.</w:t>
      </w:r>
    </w:p>
    <w:p>
      <w:pPr>
        <w:pStyle w:val="0"/>
        <w:spacing w:before="200" w:line-rule="auto"/>
        <w:ind w:firstLine="540"/>
        <w:jc w:val="both"/>
      </w:pPr>
      <w:r>
        <w:rPr>
          <w:sz w:val="20"/>
        </w:rPr>
        <w:t xml:space="preserve">Отчетным периодом является год получения субсидии.</w:t>
      </w:r>
    </w:p>
    <w:p>
      <w:pPr>
        <w:pStyle w:val="0"/>
        <w:spacing w:before="200" w:line-rule="auto"/>
        <w:ind w:firstLine="540"/>
        <w:jc w:val="both"/>
      </w:pPr>
      <w:r>
        <w:rPr>
          <w:sz w:val="20"/>
        </w:rPr>
        <w:t xml:space="preserve">Отчет представляется ежеквартально в срок не позднее 15 рабочего дня месяца, следующего за отчетным кварталом, а по итогам отчетного периода - в срок до 15 апреля года, следующего за отчетным периодом.</w:t>
      </w:r>
    </w:p>
    <w:p>
      <w:pPr>
        <w:pStyle w:val="0"/>
        <w:spacing w:before="200" w:line-rule="auto"/>
        <w:ind w:firstLine="540"/>
        <w:jc w:val="both"/>
      </w:pPr>
      <w:r>
        <w:rPr>
          <w:sz w:val="20"/>
        </w:rPr>
        <w:t xml:space="preserve">Форма Отчета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При представлении отчетных документов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Проверка и принятие отчетности, представляемой в соответствии с настоящим разделом, осуществляется Мининвестом Московской в течение 30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Порядка Мининвест Московской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дней с даты направления уведомления, указанного в абзаце девятом настоящего пункта,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6220" w:tooltip="4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44</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Отчета в установленные сроки приравнивается к недостижению значения результата предоставления субсидии.</w:t>
      </w:r>
    </w:p>
    <w:p>
      <w:pPr>
        <w:pStyle w:val="0"/>
        <w:spacing w:before="200" w:line-rule="auto"/>
        <w:ind w:firstLine="540"/>
        <w:jc w:val="both"/>
      </w:pPr>
      <w:r>
        <w:rPr>
          <w:sz w:val="20"/>
        </w:rPr>
        <w:t xml:space="preserve">Получатель субсидии вправе по собственной инициативе в срок 25 мая года, следующего за отчетным периодом, сдать уточненный Отчет при обнаружении некорректных данных в ранее представленном Отчете. Уточненный Отчет представляется в электронной форме посредством личного кабинета в Информационной системе с приложением документов, подтверждающих внесенные в Отчет изменения.</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6220" w:name="P16220"/>
    <w:bookmarkEnd w:id="16220"/>
    <w:p>
      <w:pPr>
        <w:pStyle w:val="0"/>
        <w:ind w:firstLine="540"/>
        <w:jc w:val="both"/>
      </w:pPr>
      <w:r>
        <w:rPr>
          <w:sz w:val="20"/>
        </w:rPr>
        <w:t xml:space="preserve">44.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7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45.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30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46.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w:t>
      </w:r>
    </w:p>
    <w:p>
      <w:pPr>
        <w:pStyle w:val="0"/>
        <w:spacing w:before="200" w:line-rule="auto"/>
        <w:ind w:firstLine="540"/>
        <w:jc w:val="both"/>
      </w:pPr>
      <w:r>
        <w:rPr>
          <w:sz w:val="20"/>
        </w:rPr>
        <w:t xml:space="preserve">При недостижении значения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значению результата предоставления субсидии, установленным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jc w:val="both"/>
      </w:pPr>
      <w:r>
        <w:rPr>
          <w:sz w:val="20"/>
        </w:rPr>
      </w:r>
    </w:p>
    <w:p>
      <w:pPr>
        <w:pStyle w:val="0"/>
        <w:ind w:firstLine="540"/>
        <w:jc w:val="both"/>
      </w:pPr>
      <w:r>
        <w:rPr>
          <w:sz w:val="20"/>
        </w:rPr>
        <w:t xml:space="preserve">При непредставлении Отчета в установленные сроки субсидия подлежит возврату в полном объеме.</w:t>
      </w:r>
    </w:p>
    <w:p>
      <w:pPr>
        <w:pStyle w:val="0"/>
        <w:spacing w:before="200" w:line-rule="auto"/>
        <w:ind w:firstLine="540"/>
        <w:jc w:val="both"/>
      </w:pPr>
      <w:r>
        <w:rPr>
          <w:sz w:val="20"/>
        </w:rPr>
        <w:t xml:space="preserve">47. В случае неисполнения получателем субсидии требования о возврате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6242" w:name="P16242"/>
    <w:bookmarkEnd w:id="16242"/>
    <w:p>
      <w:pPr>
        <w:pStyle w:val="2"/>
        <w:jc w:val="center"/>
      </w:pPr>
      <w:r>
        <w:rPr>
          <w:sz w:val="20"/>
        </w:rPr>
        <w:t xml:space="preserve">ПЕРЕЧЕНЬ ДОКУМЕНТОВ, ПРЕДСТАВЛЯЕМЫХ УЧАСТНИКАМИ ОТБОРА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документам</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outlineLvl w:val="5"/>
            </w:pPr>
            <w:r>
              <w:rPr>
                <w:sz w:val="20"/>
              </w:rPr>
              <w:t xml:space="preserve">1</w:t>
            </w:r>
          </w:p>
        </w:tc>
        <w:tc>
          <w:tcPr>
            <w:gridSpan w:val="2"/>
            <w:tcW w:w="8220" w:type="dxa"/>
          </w:tcPr>
          <w:p>
            <w:pPr>
              <w:pStyle w:val="0"/>
            </w:pPr>
            <w:r>
              <w:rPr>
                <w:sz w:val="20"/>
              </w:rPr>
              <w:t xml:space="preserve">Документы по участнику Отбора:</w:t>
            </w:r>
          </w:p>
        </w:tc>
      </w:tr>
      <w:tr>
        <w:tc>
          <w:tcPr>
            <w:tcW w:w="850" w:type="dxa"/>
          </w:tcPr>
          <w:p>
            <w:pPr>
              <w:pStyle w:val="0"/>
            </w:pPr>
            <w:r>
              <w:rPr>
                <w:sz w:val="20"/>
              </w:rPr>
              <w:t xml:space="preserve">1.1</w:t>
            </w:r>
          </w:p>
        </w:tc>
        <w:tc>
          <w:tcPr>
            <w:tcW w:w="3118" w:type="dxa"/>
          </w:tcPr>
          <w:p>
            <w:pPr>
              <w:pStyle w:val="0"/>
            </w:pPr>
            <w:r>
              <w:rPr>
                <w:sz w:val="20"/>
              </w:rPr>
              <w:t xml:space="preserve">Документ, удостоверяющий личность (для индивидуальных предпринимателей)</w:t>
            </w:r>
          </w:p>
        </w:tc>
        <w:tc>
          <w:tcPr>
            <w:tcW w:w="5102" w:type="dxa"/>
          </w:tcPr>
          <w:p>
            <w:pPr>
              <w:pStyle w:val="0"/>
            </w:pPr>
            <w:r>
              <w:rPr>
                <w:sz w:val="20"/>
              </w:rPr>
              <w:t xml:space="preserve">Паспорт гражданина Российской Федерации - страницы вторая и третья, подтверждающие личность индивидуального предпринимателя, и страница с действующей регистрацией.</w:t>
            </w:r>
          </w:p>
          <w:p>
            <w:pPr>
              <w:pStyle w:val="0"/>
            </w:pPr>
            <w:r>
              <w:rPr>
                <w:sz w:val="20"/>
              </w:rPr>
              <w:t xml:space="preserve">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индивидуальных предпринимателя и страница, подтверждающая личность индивидуального предпринимателя, а также содержащая сведения о месте жительства для индивидуальных предпринимателей</w:t>
            </w:r>
          </w:p>
        </w:tc>
      </w:tr>
      <w:tr>
        <w:tc>
          <w:tcPr>
            <w:tcW w:w="850" w:type="dxa"/>
          </w:tcPr>
          <w:p>
            <w:pPr>
              <w:pStyle w:val="0"/>
            </w:pPr>
            <w:r>
              <w:rPr>
                <w:sz w:val="20"/>
              </w:rPr>
              <w:t xml:space="preserve">1.2</w:t>
            </w:r>
          </w:p>
        </w:tc>
        <w:tc>
          <w:tcPr>
            <w:gridSpan w:val="2"/>
            <w:tcW w:w="8220" w:type="dxa"/>
          </w:tcPr>
          <w:p>
            <w:pPr>
              <w:pStyle w:val="0"/>
            </w:pPr>
            <w:r>
              <w:rPr>
                <w:sz w:val="20"/>
              </w:rPr>
              <w:t xml:space="preserve">Документы, представляемые в случае подачи заявки уполномоченным руководителем юридического лица или индивидуального предпринимателя лицом:</w:t>
            </w:r>
          </w:p>
        </w:tc>
      </w:tr>
      <w:tr>
        <w:tc>
          <w:tcPr>
            <w:tcW w:w="850" w:type="dxa"/>
          </w:tcPr>
          <w:p>
            <w:pPr>
              <w:pStyle w:val="0"/>
            </w:pPr>
            <w:r>
              <w:rPr>
                <w:sz w:val="20"/>
              </w:rPr>
              <w:t xml:space="preserve">1.2.1</w:t>
            </w:r>
          </w:p>
        </w:tc>
        <w:tc>
          <w:tcPr>
            <w:tcW w:w="3118" w:type="dxa"/>
          </w:tcPr>
          <w:p>
            <w:pPr>
              <w:pStyle w:val="0"/>
            </w:pPr>
            <w:r>
              <w:rPr>
                <w:sz w:val="20"/>
              </w:rPr>
              <w:t xml:space="preserve">Доверенность, подтверждающая полномочия представителя участника отбора</w:t>
            </w:r>
          </w:p>
        </w:tc>
        <w:tc>
          <w:tcPr>
            <w:tcW w:w="5102" w:type="dxa"/>
          </w:tcPr>
          <w:p>
            <w:pPr>
              <w:pStyle w:val="0"/>
            </w:pPr>
            <w:r>
              <w:rPr>
                <w:sz w:val="20"/>
              </w:rPr>
              <w:t xml:space="preserve">В соответствии с требованиями, установленными </w:t>
            </w:r>
            <w:hyperlink w:history="0" r:id="rId738"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850" w:type="dxa"/>
          </w:tcPr>
          <w:p>
            <w:pPr>
              <w:pStyle w:val="0"/>
            </w:pPr>
            <w:r>
              <w:rPr>
                <w:sz w:val="20"/>
              </w:rPr>
              <w:t xml:space="preserve">1.2.2</w:t>
            </w:r>
          </w:p>
        </w:tc>
        <w:tc>
          <w:tcPr>
            <w:tcW w:w="3118" w:type="dxa"/>
          </w:tcPr>
          <w:p>
            <w:pPr>
              <w:pStyle w:val="0"/>
            </w:pPr>
            <w:r>
              <w:rPr>
                <w:sz w:val="20"/>
              </w:rPr>
              <w:t xml:space="preserve">Документ, удостоверяющий личность представителя участника отбора</w:t>
            </w:r>
          </w:p>
        </w:tc>
        <w:tc>
          <w:tcPr>
            <w:tcW w:w="5102" w:type="dxa"/>
          </w:tcPr>
          <w:p>
            <w:pPr>
              <w:pStyle w:val="0"/>
            </w:pPr>
            <w:r>
              <w:rPr>
                <w:sz w:val="20"/>
              </w:rPr>
              <w:t xml:space="preserve">Паспорт гражданина Российской Федерации - страницы вторая и третья, подтверждающие личность представителя</w:t>
            </w:r>
          </w:p>
        </w:tc>
      </w:tr>
      <w:tr>
        <w:tc>
          <w:tcPr>
            <w:tcW w:w="850" w:type="dxa"/>
          </w:tcPr>
          <w:p>
            <w:pPr>
              <w:pStyle w:val="0"/>
            </w:pPr>
            <w:r>
              <w:rPr>
                <w:sz w:val="20"/>
              </w:rPr>
              <w:t xml:space="preserve">1.3.</w:t>
            </w:r>
          </w:p>
        </w:tc>
        <w:tc>
          <w:tcPr>
            <w:tcW w:w="3118" w:type="dxa"/>
          </w:tcPr>
          <w:p>
            <w:pPr>
              <w:pStyle w:val="0"/>
            </w:pPr>
            <w:r>
              <w:rPr>
                <w:sz w:val="20"/>
              </w:rPr>
              <w:t xml:space="preserve">Акт сверки по налогам, содержащий информацию о сумме уплаченных налогов за предшествующий календарный год, заверенный налоговым органом </w:t>
            </w:r>
            <w:hyperlink w:history="0" w:anchor="P16531" w:tooltip="&lt;1&gt; Не представляется в случае реализации технической возможности запроса у ФНС России в порядке межведомственного электронного информационного взаимодействия сведений о сумме фактически уплаченных налогов в бюджеты всех уровней за финансовый год, предшествующий году подачи заявки.">
              <w:r>
                <w:rPr>
                  <w:sz w:val="20"/>
                  <w:color w:val="0000ff"/>
                </w:rPr>
                <w:t xml:space="preserve">&lt;1&gt;</w:t>
              </w:r>
            </w:hyperlink>
          </w:p>
        </w:tc>
        <w:tc>
          <w:tcPr>
            <w:tcW w:w="5102" w:type="dxa"/>
          </w:tcPr>
          <w:p>
            <w:pPr>
              <w:pStyle w:val="0"/>
            </w:pPr>
            <w:r>
              <w:rPr>
                <w:sz w:val="20"/>
              </w:rPr>
              <w:t xml:space="preserve">По форме Федеральной налоговой службы</w:t>
            </w:r>
          </w:p>
        </w:tc>
      </w:tr>
      <w:tr>
        <w:tc>
          <w:tcPr>
            <w:tcW w:w="850" w:type="dxa"/>
          </w:tcPr>
          <w:p>
            <w:pPr>
              <w:pStyle w:val="0"/>
            </w:pPr>
            <w:r>
              <w:rPr>
                <w:sz w:val="20"/>
              </w:rPr>
              <w:t xml:space="preserve">1.4</w:t>
            </w:r>
          </w:p>
        </w:tc>
        <w:tc>
          <w:tcPr>
            <w:tcW w:w="3118" w:type="dxa"/>
          </w:tcPr>
          <w:p>
            <w:pPr>
              <w:pStyle w:val="0"/>
            </w:pPr>
            <w:r>
              <w:rPr>
                <w:sz w:val="20"/>
              </w:rPr>
              <w:t xml:space="preserve">Согласие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(Акт сверки по налогам, содержащий информацию о сумме уплаченных налогов за предшествующий календарный год, заверенный налоговым органом)</w:t>
            </w:r>
          </w:p>
        </w:tc>
        <w:tc>
          <w:tcPr>
            <w:tcW w:w="5102" w:type="dxa"/>
          </w:tcPr>
          <w:p>
            <w:pPr>
              <w:pStyle w:val="0"/>
            </w:pPr>
            <w:r>
              <w:rPr>
                <w:sz w:val="20"/>
              </w:rPr>
              <w:t xml:space="preserve">По форме Федеральной налоговой службы</w:t>
            </w:r>
          </w:p>
        </w:tc>
      </w:tr>
      <w:tr>
        <w:tc>
          <w:tcPr>
            <w:tcW w:w="850" w:type="dxa"/>
          </w:tcPr>
          <w:p>
            <w:pPr>
              <w:pStyle w:val="0"/>
            </w:pPr>
            <w:r>
              <w:rPr>
                <w:sz w:val="20"/>
              </w:rPr>
              <w:t xml:space="preserve">1.5</w:t>
            </w:r>
          </w:p>
        </w:tc>
        <w:tc>
          <w:tcPr>
            <w:tcW w:w="3118" w:type="dxa"/>
          </w:tcPr>
          <w:p>
            <w:pPr>
              <w:pStyle w:val="0"/>
            </w:pPr>
            <w:r>
              <w:rPr>
                <w:sz w:val="20"/>
              </w:rPr>
              <w:t xml:space="preserve">Лицензионный договор (сублицензионный договор), договор коммерческой концессии (субконцессии)</w:t>
            </w:r>
          </w:p>
        </w:tc>
        <w:tc>
          <w:tcPr>
            <w:tcW w:w="5102" w:type="dxa"/>
          </w:tcPr>
          <w:p>
            <w:pPr>
              <w:pStyle w:val="0"/>
            </w:pPr>
            <w:r>
              <w:rPr>
                <w:sz w:val="20"/>
              </w:rPr>
              <w:t xml:space="preserve">Договор должен содержать:</w:t>
            </w:r>
          </w:p>
          <w:p>
            <w:pPr>
              <w:pStyle w:val="0"/>
            </w:pPr>
            <w:r>
              <w:rPr>
                <w:sz w:val="20"/>
              </w:rPr>
              <w:t xml:space="preserve">1) место и дату заключения договора (не требуется для договора-оферты);</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w:t>
            </w:r>
          </w:p>
          <w:p>
            <w:pPr>
              <w:pStyle w:val="0"/>
            </w:pPr>
            <w:r>
              <w:rPr>
                <w:sz w:val="20"/>
              </w:rPr>
              <w:t xml:space="preserve">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организационно-правовую форму, ИНН (не требуется для договора-оферты).</w:t>
            </w:r>
          </w:p>
          <w:p>
            <w:pPr>
              <w:pStyle w:val="0"/>
            </w:pPr>
            <w:r>
              <w:rPr>
                <w:sz w:val="20"/>
              </w:rPr>
              <w:t xml:space="preserve">В случае если договор составлен на языке, отличном от русского, к договору прилагается его нотариально заверенный перевод на русский язык.</w:t>
            </w:r>
          </w:p>
          <w:p>
            <w:pPr>
              <w:pStyle w:val="0"/>
            </w:pPr>
            <w:r>
              <w:rPr>
                <w:sz w:val="20"/>
              </w:rPr>
              <w:t xml:space="preserve">Договор представляется со всеми приложениями, спецификациями и дополнительными соглашениями</w:t>
            </w:r>
          </w:p>
        </w:tc>
      </w:tr>
      <w:tr>
        <w:tc>
          <w:tcPr>
            <w:tcW w:w="850" w:type="dxa"/>
          </w:tcPr>
          <w:p>
            <w:pPr>
              <w:pStyle w:val="0"/>
            </w:pPr>
            <w:r>
              <w:rPr>
                <w:sz w:val="20"/>
              </w:rPr>
              <w:t xml:space="preserve">1.6</w:t>
            </w:r>
          </w:p>
        </w:tc>
        <w:tc>
          <w:tcPr>
            <w:tcW w:w="3118" w:type="dxa"/>
          </w:tcPr>
          <w:p>
            <w:pPr>
              <w:pStyle w:val="0"/>
            </w:pPr>
            <w:r>
              <w:rPr>
                <w:sz w:val="20"/>
              </w:rPr>
              <w:t xml:space="preserve">Акт об открытии объекта по франшизе, составленный в рамках договора на франшизу, либо иной документ, заверенный правообладателем (лицензиаром) (вторичным правообладателем (лицензиаром) (в случае если договор на франшизу заключен ранее 01.01.2020)</w:t>
            </w:r>
          </w:p>
        </w:tc>
        <w:tc>
          <w:tcPr>
            <w:tcW w:w="5102" w:type="dxa"/>
          </w:tcPr>
          <w:p>
            <w:pPr>
              <w:pStyle w:val="0"/>
            </w:pPr>
            <w:r>
              <w:rPr>
                <w:sz w:val="20"/>
              </w:rPr>
              <w:t xml:space="preserve">Документ должен содержать:</w:t>
            </w:r>
          </w:p>
          <w:p>
            <w:pPr>
              <w:pStyle w:val="0"/>
            </w:pPr>
            <w:r>
              <w:rPr>
                <w:sz w:val="20"/>
              </w:rPr>
              <w:t xml:space="preserve">1) адрес объекта по франшизе;</w:t>
            </w:r>
          </w:p>
          <w:p>
            <w:pPr>
              <w:pStyle w:val="0"/>
            </w:pPr>
            <w:r>
              <w:rPr>
                <w:sz w:val="20"/>
              </w:rPr>
              <w:t xml:space="preserve">2) дату открытия объекта по франшизе;</w:t>
            </w:r>
          </w:p>
          <w:p>
            <w:pPr>
              <w:pStyle w:val="0"/>
            </w:pPr>
            <w:r>
              <w:rPr>
                <w:sz w:val="20"/>
              </w:rPr>
              <w:t xml:space="preserve">3) подписи сторон</w:t>
            </w:r>
          </w:p>
        </w:tc>
      </w:tr>
      <w:tr>
        <w:tc>
          <w:tcPr>
            <w:tcW w:w="850" w:type="dxa"/>
          </w:tcPr>
          <w:p>
            <w:pPr>
              <w:pStyle w:val="0"/>
            </w:pPr>
            <w:r>
              <w:rPr>
                <w:sz w:val="20"/>
              </w:rPr>
              <w:t xml:space="preserve">1.7</w:t>
            </w:r>
          </w:p>
        </w:tc>
        <w:tc>
          <w:tcPr>
            <w:tcW w:w="3118" w:type="dxa"/>
          </w:tcPr>
          <w:p>
            <w:pPr>
              <w:pStyle w:val="0"/>
            </w:pPr>
            <w:r>
              <w:rPr>
                <w:sz w:val="20"/>
              </w:rPr>
              <w:t xml:space="preserve">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c>
          <w:tcPr>
            <w:tcW w:w="5102" w:type="dxa"/>
          </w:tcPr>
          <w:p>
            <w:pPr>
              <w:pStyle w:val="0"/>
            </w:pPr>
            <w:r>
              <w:rPr>
                <w:sz w:val="20"/>
              </w:rPr>
              <w:t xml:space="preserve">Должны содержать съемку места ведения деятельности, включая съемку Оборудования, а также съемку входной группы и помещения, где установлено Оборудование</w:t>
            </w:r>
          </w:p>
        </w:tc>
      </w:tr>
      <w:tr>
        <w:tc>
          <w:tcPr>
            <w:tcW w:w="850" w:type="dxa"/>
          </w:tcPr>
          <w:p>
            <w:pPr>
              <w:pStyle w:val="0"/>
              <w:outlineLvl w:val="5"/>
            </w:pPr>
            <w:r>
              <w:rPr>
                <w:sz w:val="20"/>
              </w:rPr>
              <w:t xml:space="preserve">2</w:t>
            </w:r>
          </w:p>
        </w:tc>
        <w:tc>
          <w:tcPr>
            <w:gridSpan w:val="2"/>
            <w:tcW w:w="8220" w:type="dxa"/>
          </w:tcPr>
          <w:p>
            <w:pPr>
              <w:pStyle w:val="0"/>
            </w:pPr>
            <w:r>
              <w:rPr>
                <w:sz w:val="20"/>
              </w:rPr>
              <w:t xml:space="preserve">Документы по затратам:</w:t>
            </w:r>
          </w:p>
        </w:tc>
      </w:tr>
      <w:tr>
        <w:tc>
          <w:tcPr>
            <w:tcW w:w="850" w:type="dxa"/>
          </w:tcPr>
          <w:p>
            <w:pPr>
              <w:pStyle w:val="0"/>
            </w:pPr>
            <w:r>
              <w:rPr>
                <w:sz w:val="20"/>
              </w:rPr>
              <w:t xml:space="preserve">2.1</w:t>
            </w:r>
          </w:p>
        </w:tc>
        <w:tc>
          <w:tcPr>
            <w:gridSpan w:val="2"/>
            <w:tcW w:w="8220" w:type="dxa"/>
          </w:tcPr>
          <w:p>
            <w:pPr>
              <w:pStyle w:val="0"/>
            </w:pPr>
            <w:r>
              <w:rPr>
                <w:sz w:val="20"/>
              </w:rPr>
              <w:t xml:space="preserve">Документы, подтверждающие приобретение Оборудования в собственность:</w:t>
            </w:r>
          </w:p>
        </w:tc>
      </w:tr>
      <w:tr>
        <w:tc>
          <w:tcPr>
            <w:tcW w:w="850" w:type="dxa"/>
          </w:tcPr>
          <w:p>
            <w:pPr>
              <w:pStyle w:val="0"/>
            </w:pPr>
            <w:r>
              <w:rPr>
                <w:sz w:val="20"/>
              </w:rPr>
              <w:t xml:space="preserve">2.1.1</w:t>
            </w:r>
          </w:p>
        </w:tc>
        <w:tc>
          <w:tcPr>
            <w:gridSpan w:val="2"/>
            <w:tcW w:w="8220" w:type="dxa"/>
          </w:tcPr>
          <w:p>
            <w:pPr>
              <w:pStyle w:val="0"/>
            </w:pPr>
            <w:r>
              <w:rPr>
                <w:sz w:val="20"/>
              </w:rPr>
              <w:t xml:space="preserve">1. Договор (в том числе договор-оферта, счет-договор (счет-оферта) на приобретение Оборудования, включая затраты на монтаж, сборку, установку, шеф-монтаж, пусконаладку Оборудования.</w:t>
            </w:r>
          </w:p>
          <w:p>
            <w:pPr>
              <w:pStyle w:val="0"/>
            </w:pPr>
            <w:r>
              <w:rPr>
                <w:sz w:val="20"/>
              </w:rPr>
              <w:t xml:space="preserve">2. Платежные документы, подтверждающие осуществление расходов на приобретение Оборудования (платежные документы, подтверждающие оплату по договору, представляются в полном объеме):</w:t>
            </w:r>
          </w:p>
          <w:p>
            <w:pPr>
              <w:pStyle w:val="0"/>
            </w:pPr>
            <w:r>
              <w:rPr>
                <w:sz w:val="20"/>
              </w:rPr>
              <w:t xml:space="preserve">платежные поручения (для Оборудования, приобретенного на территории Российской Федерации);</w:t>
            </w:r>
          </w:p>
          <w:p>
            <w:pPr>
              <w:pStyle w:val="0"/>
            </w:pPr>
            <w:r>
              <w:rPr>
                <w:sz w:val="20"/>
              </w:rPr>
              <w:t xml:space="preserve">выписка банка, подтверждающая оплату по договору на Оборудование;</w:t>
            </w:r>
          </w:p>
          <w:p>
            <w:pPr>
              <w:pStyle w:val="0"/>
            </w:pPr>
            <w:r>
              <w:rPr>
                <w:sz w:val="2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pPr>
              <w:pStyle w:val="0"/>
            </w:pPr>
            <w:r>
              <w:rPr>
                <w:sz w:val="20"/>
              </w:rPr>
              <w:t xml:space="preserve">3. Документы, подтверждающие передачу Оборудования:</w:t>
            </w:r>
          </w:p>
          <w:p>
            <w:pPr>
              <w:pStyle w:val="0"/>
            </w:pPr>
            <w:r>
              <w:rPr>
                <w:sz w:val="20"/>
              </w:rPr>
              <w:t xml:space="preserve">акт приема-передачи Оборудования или иной документ, предусмотренный договором на Оборудование, подтверждающий передачу Оборудования от продавца покупателю;</w:t>
            </w:r>
          </w:p>
          <w:p>
            <w:pPr>
              <w:pStyle w:val="0"/>
            </w:pPr>
            <w:r>
              <w:rPr>
                <w:sz w:val="20"/>
              </w:rPr>
              <w:t xml:space="preserve">товарная накладная (форма N ТОРГ-12) либо Универсальный передаточный документ (УПД);</w:t>
            </w:r>
          </w:p>
          <w:p>
            <w:pPr>
              <w:pStyle w:val="0"/>
            </w:pPr>
            <w:r>
              <w:rPr>
                <w:sz w:val="20"/>
              </w:rPr>
              <w:t xml:space="preserve">бухгалтерские документы о постановке Оборудования на баланс (обязательно для юридических лица, для индивидуальных предпринимателей - при наличии).</w:t>
            </w:r>
          </w:p>
          <w:p>
            <w:pPr>
              <w:pStyle w:val="0"/>
            </w:pPr>
            <w:r>
              <w:rPr>
                <w:sz w:val="20"/>
              </w:rPr>
              <w:t xml:space="preserve">4. Для основных средств, приобретенных за пределами территории Российской Федерации, представляются:</w:t>
            </w:r>
          </w:p>
          <w:p>
            <w:pPr>
              <w:pStyle w:val="0"/>
            </w:pPr>
            <w:r>
              <w:rPr>
                <w:sz w:val="20"/>
              </w:rPr>
              <w:t xml:space="preserve">заявление на перевод валюты (платежное поручение не представляется);</w:t>
            </w:r>
          </w:p>
          <w:p>
            <w:pPr>
              <w:pStyle w:val="0"/>
            </w:pPr>
            <w:r>
              <w:rPr>
                <w:sz w:val="20"/>
              </w:rPr>
              <w:t xml:space="preserve">инвойс на оплату (счет не представляется);</w:t>
            </w:r>
          </w:p>
          <w:p>
            <w:pPr>
              <w:pStyle w:val="0"/>
            </w:pPr>
            <w:r>
              <w:rPr>
                <w:sz w:val="20"/>
              </w:rPr>
              <w:t xml:space="preserve">декларация на товары (акт приема-передачи, ТОРГ-12 и УПД не представляются).</w:t>
            </w:r>
          </w:p>
          <w:p>
            <w:pPr>
              <w:pStyle w:val="0"/>
            </w:pPr>
            <w:r>
              <w:rPr>
                <w:sz w:val="20"/>
              </w:rPr>
              <w:t xml:space="preserve">5. Для транспортных средств и самоходных машин:</w:t>
            </w:r>
          </w:p>
          <w:p>
            <w:pPr>
              <w:pStyle w:val="0"/>
            </w:pPr>
            <w:r>
              <w:rPr>
                <w:sz w:val="20"/>
              </w:rPr>
              <w:t xml:space="preserve">паспорт транспортного средства (самоходной машины);</w:t>
            </w:r>
          </w:p>
          <w:p>
            <w:pPr>
              <w:pStyle w:val="0"/>
            </w:pPr>
            <w:r>
              <w:rPr>
                <w:sz w:val="20"/>
              </w:rPr>
              <w:t xml:space="preserve">свидетельство о регистрации транспортного средства (самоходной машины).</w:t>
            </w:r>
          </w:p>
          <w:p>
            <w:pPr>
              <w:pStyle w:val="0"/>
            </w:pPr>
            <w:r>
              <w:rPr>
                <w:sz w:val="20"/>
              </w:rPr>
              <w:t xml:space="preserve">6. Фотографии Оборудования</w:t>
            </w:r>
          </w:p>
        </w:tc>
      </w:tr>
      <w:tr>
        <w:tc>
          <w:tcPr>
            <w:tcW w:w="850" w:type="dxa"/>
          </w:tcPr>
          <w:p>
            <w:pPr>
              <w:pStyle w:val="0"/>
            </w:pPr>
            <w:r>
              <w:rPr>
                <w:sz w:val="20"/>
              </w:rPr>
              <w:t xml:space="preserve">2.2</w:t>
            </w:r>
          </w:p>
        </w:tc>
        <w:tc>
          <w:tcPr>
            <w:gridSpan w:val="2"/>
            <w:tcW w:w="8220" w:type="dxa"/>
          </w:tcPr>
          <w:p>
            <w:pPr>
              <w:pStyle w:val="0"/>
            </w:pPr>
            <w:r>
              <w:rPr>
                <w:sz w:val="20"/>
              </w:rPr>
              <w:t xml:space="preserve">Документы, подтверждающие приобретение Оборудования в лизинг:</w:t>
            </w:r>
          </w:p>
        </w:tc>
      </w:tr>
      <w:tr>
        <w:tc>
          <w:tcPr>
            <w:tcW w:w="850" w:type="dxa"/>
          </w:tcPr>
          <w:p>
            <w:pPr>
              <w:pStyle w:val="0"/>
            </w:pPr>
            <w:r>
              <w:rPr>
                <w:sz w:val="20"/>
              </w:rPr>
              <w:t xml:space="preserve">2.2.1</w:t>
            </w:r>
          </w:p>
        </w:tc>
        <w:tc>
          <w:tcPr>
            <w:gridSpan w:val="2"/>
            <w:tcW w:w="8220" w:type="dxa"/>
          </w:tcPr>
          <w:p>
            <w:pPr>
              <w:pStyle w:val="0"/>
            </w:pPr>
            <w:r>
              <w:rPr>
                <w:sz w:val="20"/>
              </w:rPr>
              <w:t xml:space="preserve">1. Договор лизинга.</w:t>
            </w:r>
          </w:p>
          <w:p>
            <w:pPr>
              <w:pStyle w:val="0"/>
            </w:pPr>
            <w:r>
              <w:rPr>
                <w:sz w:val="20"/>
              </w:rPr>
              <w:t xml:space="preserve">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pPr>
              <w:pStyle w:val="0"/>
            </w:pPr>
            <w:r>
              <w:rPr>
                <w:sz w:val="20"/>
              </w:rPr>
              <w:t xml:space="preserve">3. Платежное поручение.</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pPr>
              <w:pStyle w:val="0"/>
            </w:pPr>
            <w:r>
              <w:rPr>
                <w:sz w:val="20"/>
              </w:rPr>
              <w:t xml:space="preserve">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pPr>
              <w:pStyle w:val="0"/>
            </w:pPr>
            <w:r>
              <w:rPr>
                <w:sz w:val="20"/>
              </w:rPr>
              <w:t xml:space="preserve">7. Для транспортных средств и самоходных машин:</w:t>
            </w:r>
          </w:p>
          <w:p>
            <w:pPr>
              <w:pStyle w:val="0"/>
            </w:pPr>
            <w:r>
              <w:rPr>
                <w:sz w:val="20"/>
              </w:rPr>
              <w:t xml:space="preserve">паспорт транспортного средства (самоходной машины);</w:t>
            </w:r>
          </w:p>
          <w:p>
            <w:pPr>
              <w:pStyle w:val="0"/>
            </w:pPr>
            <w:r>
              <w:rPr>
                <w:sz w:val="20"/>
              </w:rPr>
              <w:t xml:space="preserve">свидетельство о регистрации транспортного средства (самоходной машины).</w:t>
            </w:r>
          </w:p>
          <w:p>
            <w:pPr>
              <w:pStyle w:val="0"/>
            </w:pPr>
            <w:r>
              <w:rPr>
                <w:sz w:val="20"/>
              </w:rPr>
              <w:t xml:space="preserve">8. Фотографии Оборудования</w:t>
            </w:r>
          </w:p>
        </w:tc>
      </w:tr>
      <w:tr>
        <w:tc>
          <w:tcPr>
            <w:tcW w:w="850" w:type="dxa"/>
          </w:tcPr>
          <w:p>
            <w:pPr>
              <w:pStyle w:val="0"/>
            </w:pPr>
            <w:r>
              <w:rPr>
                <w:sz w:val="20"/>
              </w:rPr>
              <w:t xml:space="preserve">2.3</w:t>
            </w:r>
          </w:p>
        </w:tc>
        <w:tc>
          <w:tcPr>
            <w:gridSpan w:val="2"/>
            <w:tcW w:w="8220" w:type="dxa"/>
          </w:tcPr>
          <w:p>
            <w:pPr>
              <w:pStyle w:val="0"/>
            </w:pPr>
            <w:r>
              <w:rPr>
                <w:sz w:val="20"/>
              </w:rPr>
              <w:t xml:space="preserve">Документы, подтверждающие осуществление арендных платежей в соответствии с заключенными договорами аренды (субаренды):</w:t>
            </w:r>
          </w:p>
        </w:tc>
      </w:tr>
      <w:tr>
        <w:tc>
          <w:tcPr>
            <w:tcW w:w="850" w:type="dxa"/>
          </w:tcPr>
          <w:p>
            <w:pPr>
              <w:pStyle w:val="0"/>
            </w:pPr>
            <w:r>
              <w:rPr>
                <w:sz w:val="20"/>
              </w:rPr>
              <w:t xml:space="preserve">2.3.1</w:t>
            </w:r>
          </w:p>
        </w:tc>
        <w:tc>
          <w:tcPr>
            <w:gridSpan w:val="2"/>
            <w:tcW w:w="8220" w:type="dxa"/>
          </w:tcPr>
          <w:p>
            <w:pPr>
              <w:pStyle w:val="0"/>
            </w:pPr>
            <w:r>
              <w:rPr>
                <w:sz w:val="20"/>
              </w:rPr>
              <w:t xml:space="preserve">1. Договор аренды (субаренды) помещения, здания, сооружения.</w:t>
            </w:r>
          </w:p>
          <w:p>
            <w:pPr>
              <w:pStyle w:val="0"/>
            </w:pPr>
            <w:r>
              <w:rPr>
                <w:sz w:val="20"/>
              </w:rPr>
              <w:t xml:space="preserve">2. Акт приема-передачи помещения, здания, сооружения.</w:t>
            </w:r>
          </w:p>
          <w:p>
            <w:pPr>
              <w:pStyle w:val="0"/>
            </w:pPr>
            <w:r>
              <w:rPr>
                <w:sz w:val="20"/>
              </w:rPr>
              <w:t xml:space="preserve">3. Платежное поручение (со ссылкой в назначении платежа на договор (счет) и период оплаты).</w:t>
            </w:r>
          </w:p>
          <w:p>
            <w:pPr>
              <w:pStyle w:val="0"/>
            </w:pPr>
            <w:r>
              <w:rPr>
                <w:sz w:val="20"/>
              </w:rPr>
              <w:t xml:space="preserve">4. Выписка банка, подтверждающая оплату по договору.</w:t>
            </w:r>
          </w:p>
          <w:p>
            <w:pPr>
              <w:pStyle w:val="0"/>
            </w:pPr>
            <w:r>
              <w:rPr>
                <w:sz w:val="2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tc>
          <w:tcPr>
            <w:tcW w:w="850" w:type="dxa"/>
          </w:tcPr>
          <w:p>
            <w:pPr>
              <w:pStyle w:val="0"/>
            </w:pPr>
            <w:r>
              <w:rPr>
                <w:sz w:val="20"/>
              </w:rPr>
              <w:t xml:space="preserve">2.4</w:t>
            </w:r>
          </w:p>
        </w:tc>
        <w:tc>
          <w:tcPr>
            <w:gridSpan w:val="2"/>
            <w:tcW w:w="8220" w:type="dxa"/>
          </w:tcPr>
          <w:p>
            <w:pPr>
              <w:pStyle w:val="0"/>
            </w:pPr>
            <w:r>
              <w:rPr>
                <w:sz w:val="20"/>
              </w:rPr>
              <w:t xml:space="preserve">Документы, подтверждающие осуществление затрат по оплате коммунальных услуг (представляются в случае, если коммунальные услуги не учитываются в составе арендной платы либо помещение находится на праве собственности):</w:t>
            </w:r>
          </w:p>
        </w:tc>
      </w:tr>
      <w:tr>
        <w:tc>
          <w:tcPr>
            <w:tcW w:w="850" w:type="dxa"/>
          </w:tcPr>
          <w:p>
            <w:pPr>
              <w:pStyle w:val="0"/>
            </w:pPr>
            <w:r>
              <w:rPr>
                <w:sz w:val="20"/>
              </w:rPr>
              <w:t xml:space="preserve">2.4.1</w:t>
            </w:r>
          </w:p>
        </w:tc>
        <w:tc>
          <w:tcPr>
            <w:gridSpan w:val="2"/>
            <w:tcW w:w="8220" w:type="dxa"/>
          </w:tcPr>
          <w:p>
            <w:pPr>
              <w:pStyle w:val="0"/>
            </w:pPr>
            <w:r>
              <w:rPr>
                <w:sz w:val="20"/>
              </w:rPr>
              <w:t xml:space="preserve">1. Выписка из ЕГРН (если помещение находится на праве собственности).</w:t>
            </w:r>
          </w:p>
          <w:p>
            <w:pPr>
              <w:pStyle w:val="0"/>
            </w:pPr>
            <w:r>
              <w:rPr>
                <w:sz w:val="20"/>
              </w:rPr>
              <w:t xml:space="preserve">2. Договор аренды (субаренды) помещения (если помещение находится на праве аренды).</w:t>
            </w:r>
          </w:p>
          <w:p>
            <w:pPr>
              <w:pStyle w:val="0"/>
            </w:pPr>
            <w:r>
              <w:rPr>
                <w:sz w:val="20"/>
              </w:rPr>
              <w:t xml:space="preserve">3. Акт приема-передачи помещения.</w:t>
            </w:r>
          </w:p>
          <w:p>
            <w:pPr>
              <w:pStyle w:val="0"/>
            </w:pPr>
            <w:r>
              <w:rPr>
                <w:sz w:val="20"/>
              </w:rPr>
              <w:t xml:space="preserve">4. Договоры с поставщиками услуг (если оплата услуг производится собственником помещения).</w:t>
            </w:r>
          </w:p>
          <w:p>
            <w:pPr>
              <w:pStyle w:val="0"/>
            </w:pPr>
            <w:r>
              <w:rPr>
                <w:sz w:val="20"/>
              </w:rPr>
              <w:t xml:space="preserve">5. Платежное поручение.</w:t>
            </w:r>
          </w:p>
          <w:p>
            <w:pPr>
              <w:pStyle w:val="0"/>
            </w:pPr>
            <w:r>
              <w:rPr>
                <w:sz w:val="20"/>
              </w:rPr>
              <w:t xml:space="preserve">6. 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 и (или) Счет на оплату (если коммунальные платежи уплачиваются поставщикам коммунальных услуг и услуг электроснабжения).</w:t>
            </w:r>
          </w:p>
          <w:p>
            <w:pPr>
              <w:pStyle w:val="0"/>
            </w:pPr>
            <w:r>
              <w:rPr>
                <w:sz w:val="20"/>
              </w:rPr>
              <w:t xml:space="preserve">7. Выписка банка, подтверждающая оплату по договору с поставщиками услуг</w:t>
            </w:r>
          </w:p>
        </w:tc>
      </w:tr>
      <w:tr>
        <w:tc>
          <w:tcPr>
            <w:tcW w:w="850" w:type="dxa"/>
          </w:tcPr>
          <w:p>
            <w:pPr>
              <w:pStyle w:val="0"/>
            </w:pPr>
            <w:r>
              <w:rPr>
                <w:sz w:val="20"/>
              </w:rPr>
              <w:t xml:space="preserve">2.5</w:t>
            </w:r>
          </w:p>
        </w:tc>
        <w:tc>
          <w:tcPr>
            <w:gridSpan w:val="2"/>
            <w:tcW w:w="8220" w:type="dxa"/>
          </w:tcPr>
          <w:p>
            <w:pPr>
              <w:pStyle w:val="0"/>
            </w:pPr>
            <w:r>
              <w:rPr>
                <w:sz w:val="20"/>
              </w:rPr>
              <w:t xml:space="preserve">Документы, подтверждающие осуществление затрат по арендным платежам в соответствии с заключенными договорами аренды земельного участка (при размещении нестационарных торговых объектов, мобильных торговых объектов):</w:t>
            </w:r>
          </w:p>
        </w:tc>
      </w:tr>
      <w:tr>
        <w:tc>
          <w:tcPr>
            <w:tcW w:w="850" w:type="dxa"/>
          </w:tcPr>
          <w:p>
            <w:pPr>
              <w:pStyle w:val="0"/>
            </w:pPr>
            <w:r>
              <w:rPr>
                <w:sz w:val="20"/>
              </w:rPr>
              <w:t xml:space="preserve">2.5.1</w:t>
            </w:r>
          </w:p>
        </w:tc>
        <w:tc>
          <w:tcPr>
            <w:gridSpan w:val="2"/>
            <w:tcW w:w="8220" w:type="dxa"/>
          </w:tcPr>
          <w:p>
            <w:pPr>
              <w:pStyle w:val="0"/>
            </w:pPr>
            <w:r>
              <w:rPr>
                <w:sz w:val="20"/>
              </w:rPr>
              <w:t xml:space="preserve">1. Договор аренды земельного участка (договор на право размещения объекта).</w:t>
            </w:r>
          </w:p>
          <w:p>
            <w:pPr>
              <w:pStyle w:val="0"/>
            </w:pPr>
            <w:r>
              <w:rPr>
                <w:sz w:val="20"/>
              </w:rPr>
              <w:t xml:space="preserve">2. Выписка банка, подтверждающая оплату по договору аренды земельного участка (договору на право размещения объекта).</w:t>
            </w:r>
          </w:p>
          <w:p>
            <w:pPr>
              <w:pStyle w:val="0"/>
            </w:pPr>
            <w:r>
              <w:rPr>
                <w:sz w:val="20"/>
              </w:rPr>
              <w:t xml:space="preserve">3. Платежное поручение (со ссылкой в назначении платежа на договор (счет) и период оплаты).</w:t>
            </w:r>
          </w:p>
          <w:p>
            <w:pPr>
              <w:pStyle w:val="0"/>
            </w:pPr>
            <w:r>
              <w:rPr>
                <w:sz w:val="2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tc>
          <w:tcPr>
            <w:tcW w:w="850" w:type="dxa"/>
          </w:tcPr>
          <w:p>
            <w:pPr>
              <w:pStyle w:val="0"/>
            </w:pPr>
            <w:r>
              <w:rPr>
                <w:sz w:val="20"/>
              </w:rPr>
              <w:t xml:space="preserve">2.6</w:t>
            </w:r>
          </w:p>
        </w:tc>
        <w:tc>
          <w:tcPr>
            <w:gridSpan w:val="2"/>
            <w:tcW w:w="8220" w:type="dxa"/>
          </w:tcPr>
          <w:p>
            <w:pPr>
              <w:pStyle w:val="0"/>
            </w:pPr>
            <w:r>
              <w:rPr>
                <w:sz w:val="20"/>
              </w:rPr>
              <w:t xml:space="preserve">Документы, подтверждающие осуществление затрат по подключению к сетям инженерной инфраструктуры:</w:t>
            </w:r>
          </w:p>
        </w:tc>
      </w:tr>
      <w:tr>
        <w:tc>
          <w:tcPr>
            <w:tcW w:w="850" w:type="dxa"/>
          </w:tcPr>
          <w:p>
            <w:pPr>
              <w:pStyle w:val="0"/>
            </w:pPr>
            <w:r>
              <w:rPr>
                <w:sz w:val="20"/>
              </w:rPr>
              <w:t xml:space="preserve">2.6.1</w:t>
            </w:r>
          </w:p>
        </w:tc>
        <w:tc>
          <w:tcPr>
            <w:gridSpan w:val="2"/>
            <w:tcW w:w="8220" w:type="dxa"/>
          </w:tcPr>
          <w:p>
            <w:pPr>
              <w:pStyle w:val="0"/>
            </w:pPr>
            <w:r>
              <w:rPr>
                <w:sz w:val="20"/>
              </w:rPr>
              <w:t xml:space="preserve">1. Выписка из ЕГРН на объект (помещение, здание, земельный участок) (если объект принадлежит на праве собственности).</w:t>
            </w:r>
          </w:p>
          <w:p>
            <w:pPr>
              <w:pStyle w:val="0"/>
            </w:pPr>
            <w:r>
              <w:rPr>
                <w:sz w:val="20"/>
              </w:rPr>
              <w:t xml:space="preserve">2. Договор аренды земельного участка (договор на право размещения объекта) (если объект находится на праве аренды).</w:t>
            </w:r>
          </w:p>
          <w:p>
            <w:pPr>
              <w:pStyle w:val="0"/>
            </w:pPr>
            <w:r>
              <w:rPr>
                <w:sz w:val="20"/>
              </w:rPr>
              <w:t xml:space="preserve">3. Договор на подключение (технологическое присоединение), получение технических условий об осуществлении технологического присоединения (подключения) здания, сооружения, нежилого помещения к объектам инженерной инфраструктуры (электрические сети, газоснабжение, водоснабжение, водоотведение, теплоснабжение) (далее - Договор).</w:t>
            </w:r>
          </w:p>
          <w:p>
            <w:pPr>
              <w:pStyle w:val="0"/>
            </w:pPr>
            <w:r>
              <w:rPr>
                <w:sz w:val="20"/>
              </w:rPr>
              <w:t xml:space="preserve">4. Акт о технологическом присоединении к объектам инженерной инфраструктуры (электрические сети, газоснабжение, водоснабжение, водоотведение, теплоснабжение).</w:t>
            </w:r>
          </w:p>
          <w:p>
            <w:pPr>
              <w:pStyle w:val="0"/>
            </w:pPr>
            <w:r>
              <w:rPr>
                <w:sz w:val="20"/>
              </w:rPr>
              <w:t xml:space="preserve">5. Акт ввода объекта в эксплуатацию или разрешения на ввод в эксплуатацию объекта (в случае технологического присоединения (подключения) к объектам инженерной инфраструктуры здания или сооружения) (при наличии).</w:t>
            </w:r>
          </w:p>
          <w:p>
            <w:pPr>
              <w:pStyle w:val="0"/>
            </w:pPr>
            <w:r>
              <w:rPr>
                <w:sz w:val="20"/>
              </w:rPr>
              <w:t xml:space="preserve">6. Платежное поручение на оплату по Договору.</w:t>
            </w:r>
          </w:p>
          <w:p>
            <w:pPr>
              <w:pStyle w:val="0"/>
            </w:pPr>
            <w:r>
              <w:rPr>
                <w:sz w:val="2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pPr>
              <w:pStyle w:val="0"/>
            </w:pPr>
            <w:r>
              <w:rPr>
                <w:sz w:val="20"/>
              </w:rPr>
              <w:t xml:space="preserve">8. Выписка банка, подтверждающая оплату по Договору</w:t>
            </w:r>
          </w:p>
        </w:tc>
      </w:tr>
      <w:tr>
        <w:tc>
          <w:tcPr>
            <w:tcW w:w="850" w:type="dxa"/>
          </w:tcPr>
          <w:p>
            <w:pPr>
              <w:pStyle w:val="0"/>
            </w:pPr>
            <w:r>
              <w:rPr>
                <w:sz w:val="20"/>
              </w:rPr>
              <w:t xml:space="preserve">2.7</w:t>
            </w:r>
          </w:p>
        </w:tc>
        <w:tc>
          <w:tcPr>
            <w:gridSpan w:val="2"/>
            <w:tcW w:w="8220" w:type="dxa"/>
          </w:tcPr>
          <w:p>
            <w:pPr>
              <w:pStyle w:val="0"/>
            </w:pPr>
            <w:r>
              <w:rPr>
                <w:sz w:val="20"/>
              </w:rPr>
              <w:t xml:space="preserve">Документы, подтверждающие осуществление затрат на обучение персонала (повышение квалификации, переподготовка):</w:t>
            </w:r>
          </w:p>
        </w:tc>
      </w:tr>
      <w:tr>
        <w:tc>
          <w:tcPr>
            <w:tcW w:w="850" w:type="dxa"/>
          </w:tcPr>
          <w:p>
            <w:pPr>
              <w:pStyle w:val="0"/>
            </w:pPr>
            <w:r>
              <w:rPr>
                <w:sz w:val="20"/>
              </w:rPr>
              <w:t xml:space="preserve">2.7.1</w:t>
            </w:r>
          </w:p>
        </w:tc>
        <w:tc>
          <w:tcPr>
            <w:gridSpan w:val="2"/>
            <w:tcW w:w="8220" w:type="dxa"/>
          </w:tcPr>
          <w:p>
            <w:pPr>
              <w:pStyle w:val="0"/>
            </w:pPr>
            <w:r>
              <w:rPr>
                <w:sz w:val="20"/>
              </w:rPr>
              <w:t xml:space="preserve">1. Договор на оказание услуг.</w:t>
            </w:r>
          </w:p>
          <w:p>
            <w:pPr>
              <w:pStyle w:val="0"/>
            </w:pPr>
            <w:r>
              <w:rPr>
                <w:sz w:val="20"/>
              </w:rPr>
              <w:t xml:space="preserve">2. Документ, подтверждающий прохождение обучения (повышения квалификации, прохождение переподготовки).</w:t>
            </w:r>
          </w:p>
          <w:p>
            <w:pPr>
              <w:pStyle w:val="0"/>
            </w:pPr>
            <w:r>
              <w:rPr>
                <w:sz w:val="20"/>
              </w:rPr>
              <w:t xml:space="preserve">3. Выписка банка, подтверждающая оплату по договору.</w:t>
            </w:r>
          </w:p>
          <w:p>
            <w:pPr>
              <w:pStyle w:val="0"/>
            </w:pPr>
            <w:r>
              <w:rPr>
                <w:sz w:val="2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pPr>
              <w:pStyle w:val="0"/>
            </w:pPr>
            <w:r>
              <w:rPr>
                <w:sz w:val="20"/>
              </w:rPr>
              <w:t xml:space="preserve">5. Платежное поручение (со ссылкой в назначении платежа на договор (счет) и период оплаты)</w:t>
            </w:r>
          </w:p>
        </w:tc>
      </w:tr>
      <w:tr>
        <w:tc>
          <w:tcPr>
            <w:tcW w:w="850" w:type="dxa"/>
          </w:tcPr>
          <w:p>
            <w:pPr>
              <w:pStyle w:val="0"/>
            </w:pPr>
            <w:r>
              <w:rPr>
                <w:sz w:val="20"/>
              </w:rPr>
              <w:t xml:space="preserve">2.8</w:t>
            </w:r>
          </w:p>
        </w:tc>
        <w:tc>
          <w:tcPr>
            <w:gridSpan w:val="2"/>
            <w:tcW w:w="8220" w:type="dxa"/>
          </w:tcPr>
          <w:p>
            <w:pPr>
              <w:pStyle w:val="0"/>
            </w:pPr>
            <w:r>
              <w:rPr>
                <w:sz w:val="20"/>
              </w:rPr>
              <w:t xml:space="preserve">Документы, подтверждающие осуществление затрат по оплате рекламы (наружная, СМИ, информационно-коммуникационная сеть, в том числе по оплате услуг по созданию, технической поддержке, наполнению, развитию и продвижению в СМИ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tc>
      </w:tr>
      <w:tr>
        <w:tc>
          <w:tcPr>
            <w:tcW w:w="850" w:type="dxa"/>
          </w:tcPr>
          <w:p>
            <w:pPr>
              <w:pStyle w:val="0"/>
            </w:pPr>
            <w:r>
              <w:rPr>
                <w:sz w:val="20"/>
              </w:rPr>
              <w:t xml:space="preserve">2.8.1</w:t>
            </w:r>
          </w:p>
        </w:tc>
        <w:tc>
          <w:tcPr>
            <w:gridSpan w:val="2"/>
            <w:tcW w:w="8220" w:type="dxa"/>
          </w:tcPr>
          <w:p>
            <w:pPr>
              <w:pStyle w:val="0"/>
            </w:pPr>
            <w:r>
              <w:rPr>
                <w:sz w:val="20"/>
              </w:rPr>
              <w:t xml:space="preserve">1. Договор на оказание услуг по рекламе.</w:t>
            </w:r>
          </w:p>
          <w:p>
            <w:pPr>
              <w:pStyle w:val="0"/>
            </w:pPr>
            <w:r>
              <w:rPr>
                <w:sz w:val="20"/>
              </w:rPr>
              <w:t xml:space="preserve">2. Акт приемки оказанных услуг (акт оказания услуг).</w:t>
            </w:r>
          </w:p>
          <w:p>
            <w:pPr>
              <w:pStyle w:val="0"/>
            </w:pPr>
            <w:r>
              <w:rPr>
                <w:sz w:val="20"/>
              </w:rPr>
              <w:t xml:space="preserve">3. Платежное поручение.</w:t>
            </w:r>
          </w:p>
          <w:p>
            <w:pPr>
              <w:pStyle w:val="0"/>
            </w:pPr>
            <w:r>
              <w:rPr>
                <w:sz w:val="20"/>
              </w:rPr>
              <w:t xml:space="preserve">4. Счет на оплату.</w:t>
            </w:r>
          </w:p>
          <w:p>
            <w:pPr>
              <w:pStyle w:val="0"/>
            </w:pPr>
            <w:r>
              <w:rPr>
                <w:sz w:val="20"/>
              </w:rPr>
              <w:t xml:space="preserve">5. Выписка банка, подтверждающая оплату по договору на оказание услуг</w:t>
            </w:r>
          </w:p>
        </w:tc>
      </w:tr>
      <w:tr>
        <w:tc>
          <w:tcPr>
            <w:tcW w:w="850" w:type="dxa"/>
          </w:tcPr>
          <w:p>
            <w:pPr>
              <w:pStyle w:val="0"/>
              <w:outlineLvl w:val="5"/>
            </w:pPr>
            <w:r>
              <w:rPr>
                <w:sz w:val="20"/>
              </w:rPr>
              <w:t xml:space="preserve">3</w:t>
            </w:r>
          </w:p>
        </w:tc>
        <w:tc>
          <w:tcPr>
            <w:gridSpan w:val="2"/>
            <w:tcW w:w="8220" w:type="dxa"/>
          </w:tcPr>
          <w:p>
            <w:pPr>
              <w:pStyle w:val="0"/>
            </w:pPr>
            <w:r>
              <w:rPr>
                <w:sz w:val="20"/>
              </w:rPr>
              <w:t xml:space="preserve">Требования к документам по затратам:</w:t>
            </w:r>
          </w:p>
        </w:tc>
      </w:tr>
      <w:tr>
        <w:tc>
          <w:tcPr>
            <w:tcW w:w="850" w:type="dxa"/>
          </w:tcPr>
          <w:p>
            <w:pPr>
              <w:pStyle w:val="0"/>
            </w:pPr>
            <w:r>
              <w:rPr>
                <w:sz w:val="20"/>
              </w:rPr>
              <w:t xml:space="preserve">3.1</w:t>
            </w:r>
          </w:p>
        </w:tc>
        <w:tc>
          <w:tcPr>
            <w:gridSpan w:val="2"/>
            <w:tcW w:w="8220" w:type="dxa"/>
          </w:tcPr>
          <w:p>
            <w:pPr>
              <w:pStyle w:val="0"/>
            </w:pPr>
            <w:r>
              <w:rPr>
                <w:sz w:val="20"/>
              </w:rPr>
              <w:t xml:space="preserve">Договор:</w:t>
            </w:r>
          </w:p>
        </w:tc>
      </w:tr>
      <w:tr>
        <w:tc>
          <w:tcPr>
            <w:tcW w:w="850" w:type="dxa"/>
          </w:tcPr>
          <w:p>
            <w:pPr>
              <w:pStyle w:val="0"/>
            </w:pPr>
            <w:r>
              <w:rPr>
                <w:sz w:val="20"/>
              </w:rPr>
              <w:t xml:space="preserve">3.1.1</w:t>
            </w:r>
          </w:p>
        </w:tc>
        <w:tc>
          <w:tcPr>
            <w:tcW w:w="3118" w:type="dxa"/>
          </w:tcPr>
          <w:p>
            <w:pPr>
              <w:pStyle w:val="0"/>
            </w:pPr>
            <w:r>
              <w:rPr>
                <w:sz w:val="20"/>
              </w:rPr>
              <w:t xml:space="preserve">Договор</w:t>
            </w:r>
          </w:p>
        </w:tc>
        <w:tc>
          <w:tcPr>
            <w:tcW w:w="5102" w:type="dxa"/>
          </w:tcPr>
          <w:p>
            <w:pPr>
              <w:pStyle w:val="0"/>
            </w:pPr>
            <w:r>
              <w:rPr>
                <w:sz w:val="20"/>
              </w:rPr>
              <w:t xml:space="preserve">Договор должен содержать:</w:t>
            </w:r>
          </w:p>
          <w:p>
            <w:pPr>
              <w:pStyle w:val="0"/>
            </w:pPr>
            <w:r>
              <w:rPr>
                <w:sz w:val="20"/>
              </w:rPr>
              <w:t xml:space="preserve">1) место и дату заключения договора (не требуется для договора-оферты);</w:t>
            </w:r>
          </w:p>
          <w:p>
            <w:pPr>
              <w:pStyle w:val="0"/>
            </w:pPr>
            <w:r>
              <w:rPr>
                <w:sz w:val="20"/>
              </w:rPr>
              <w:t xml:space="preserve">2) стороны договора;</w:t>
            </w:r>
          </w:p>
          <w:p>
            <w:pPr>
              <w:pStyle w:val="0"/>
            </w:pPr>
            <w:r>
              <w:rPr>
                <w:sz w:val="20"/>
              </w:rPr>
              <w:t xml:space="preserve">3) предмет договора;</w:t>
            </w:r>
          </w:p>
          <w:p>
            <w:pPr>
              <w:pStyle w:val="0"/>
            </w:pPr>
            <w:r>
              <w:rPr>
                <w:sz w:val="20"/>
              </w:rPr>
              <w:t xml:space="preserve">4) цену;</w:t>
            </w:r>
          </w:p>
          <w:p>
            <w:pPr>
              <w:pStyle w:val="0"/>
            </w:pPr>
            <w:r>
              <w:rPr>
                <w:sz w:val="20"/>
              </w:rPr>
              <w:t xml:space="preserve">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организационно-правовую форму, ИНН (не требуется для договора-оферты).</w:t>
            </w:r>
          </w:p>
          <w:p>
            <w:pPr>
              <w:pStyle w:val="0"/>
            </w:pPr>
            <w:r>
              <w:rPr>
                <w:sz w:val="20"/>
              </w:rPr>
              <w:t xml:space="preserve">В случае если договор составлен на языке, отличном от русского, к договору прилагается его нотариально заверенный перевод на русский язык.</w:t>
            </w:r>
          </w:p>
          <w:p>
            <w:pPr>
              <w:pStyle w:val="0"/>
            </w:pPr>
            <w:r>
              <w:rPr>
                <w:sz w:val="20"/>
              </w:rPr>
              <w:t xml:space="preserve">Договор представляется со всеми приложениями, спецификациями и дополнительными соглашениями</w:t>
            </w:r>
          </w:p>
        </w:tc>
      </w:tr>
      <w:tr>
        <w:tc>
          <w:tcPr>
            <w:tcW w:w="850" w:type="dxa"/>
          </w:tcPr>
          <w:p>
            <w:pPr>
              <w:pStyle w:val="0"/>
            </w:pPr>
            <w:r>
              <w:rPr>
                <w:sz w:val="20"/>
              </w:rPr>
              <w:t xml:space="preserve">3.2.</w:t>
            </w:r>
          </w:p>
        </w:tc>
        <w:tc>
          <w:tcPr>
            <w:gridSpan w:val="2"/>
            <w:tcW w:w="8220" w:type="dxa"/>
          </w:tcPr>
          <w:p>
            <w:pPr>
              <w:pStyle w:val="0"/>
            </w:pPr>
            <w:r>
              <w:rPr>
                <w:sz w:val="20"/>
              </w:rPr>
              <w:t xml:space="preserve">Документы, подтверждающие передачу:</w:t>
            </w:r>
          </w:p>
        </w:tc>
      </w:tr>
      <w:tr>
        <w:tc>
          <w:tcPr>
            <w:tcW w:w="850" w:type="dxa"/>
          </w:tcPr>
          <w:p>
            <w:pPr>
              <w:pStyle w:val="0"/>
            </w:pPr>
            <w:r>
              <w:rPr>
                <w:sz w:val="20"/>
              </w:rPr>
              <w:t xml:space="preserve">3.2.1</w:t>
            </w:r>
          </w:p>
        </w:tc>
        <w:tc>
          <w:tcPr>
            <w:tcW w:w="3118" w:type="dxa"/>
          </w:tcPr>
          <w:p>
            <w:pPr>
              <w:pStyle w:val="0"/>
            </w:pPr>
            <w:r>
              <w:rPr>
                <w:sz w:val="20"/>
              </w:rPr>
              <w:t xml:space="preserve">Акт приема-передачи помещения</w:t>
            </w:r>
          </w:p>
        </w:tc>
        <w:tc>
          <w:tcPr>
            <w:tcW w:w="5102" w:type="dxa"/>
          </w:tcPr>
          <w:p>
            <w:pPr>
              <w:pStyle w:val="0"/>
            </w:pPr>
            <w:r>
              <w:rPr>
                <w:sz w:val="20"/>
              </w:rPr>
              <w:t xml:space="preserve">Акт приема-передачи помещения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 - адрес и площадь помещения;</w:t>
            </w:r>
          </w:p>
          <w:p>
            <w:pPr>
              <w:pStyle w:val="0"/>
            </w:pPr>
            <w:r>
              <w:rPr>
                <w:sz w:val="20"/>
              </w:rPr>
              <w:t xml:space="preserve">5) печати (при наличии) и подписи сторон</w:t>
            </w:r>
          </w:p>
        </w:tc>
      </w:tr>
      <w:tr>
        <w:tc>
          <w:tcPr>
            <w:tcW w:w="850" w:type="dxa"/>
          </w:tcPr>
          <w:p>
            <w:pPr>
              <w:pStyle w:val="0"/>
            </w:pPr>
            <w:r>
              <w:rPr>
                <w:sz w:val="20"/>
              </w:rPr>
              <w:t xml:space="preserve">3.2.2</w:t>
            </w:r>
          </w:p>
        </w:tc>
        <w:tc>
          <w:tcPr>
            <w:tcW w:w="3118" w:type="dxa"/>
          </w:tcPr>
          <w:p>
            <w:pPr>
              <w:pStyle w:val="0"/>
            </w:pPr>
            <w:r>
              <w:rPr>
                <w:sz w:val="20"/>
              </w:rPr>
              <w:t xml:space="preserve">Акт приема-передачи или иной документ, предусмотренный договором, подтверждающий передачу</w:t>
            </w:r>
          </w:p>
        </w:tc>
        <w:tc>
          <w:tcPr>
            <w:tcW w:w="5102" w:type="dxa"/>
          </w:tcPr>
          <w:p>
            <w:pPr>
              <w:pStyle w:val="0"/>
            </w:pPr>
            <w:r>
              <w:rPr>
                <w:sz w:val="20"/>
              </w:rPr>
              <w:t xml:space="preserve">Акт приема-передачи представляется, если он предусмотрен договором.</w:t>
            </w:r>
          </w:p>
          <w:p>
            <w:pPr>
              <w:pStyle w:val="0"/>
            </w:pPr>
            <w:r>
              <w:rPr>
                <w:sz w:val="20"/>
              </w:rPr>
              <w:t xml:space="preserve">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pPr>
              <w:pStyle w:val="0"/>
            </w:pPr>
            <w:r>
              <w:rPr>
                <w:sz w:val="20"/>
              </w:rPr>
              <w:t xml:space="preserve">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w:t>
            </w:r>
          </w:p>
          <w:p>
            <w:pPr>
              <w:pStyle w:val="0"/>
            </w:pPr>
            <w:r>
              <w:rPr>
                <w:sz w:val="20"/>
              </w:rPr>
              <w:t xml:space="preserve">5) печати (при наличии) и подписи сторон</w:t>
            </w:r>
          </w:p>
        </w:tc>
      </w:tr>
      <w:tr>
        <w:tc>
          <w:tcPr>
            <w:tcW w:w="850" w:type="dxa"/>
          </w:tcPr>
          <w:p>
            <w:pPr>
              <w:pStyle w:val="0"/>
            </w:pPr>
            <w:r>
              <w:rPr>
                <w:sz w:val="20"/>
              </w:rPr>
              <w:t xml:space="preserve">3.2.3</w:t>
            </w:r>
          </w:p>
        </w:tc>
        <w:tc>
          <w:tcPr>
            <w:tcW w:w="3118" w:type="dxa"/>
          </w:tcPr>
          <w:p>
            <w:pPr>
              <w:pStyle w:val="0"/>
            </w:pPr>
            <w:r>
              <w:rPr>
                <w:sz w:val="20"/>
              </w:rPr>
              <w:t xml:space="preserve">Товарная накладная по форме N ТОРГ-12</w:t>
            </w:r>
          </w:p>
        </w:tc>
        <w:tc>
          <w:tcPr>
            <w:tcW w:w="5102" w:type="dxa"/>
          </w:tcPr>
          <w:p>
            <w:pPr>
              <w:pStyle w:val="0"/>
            </w:pPr>
            <w:r>
              <w:rPr>
                <w:sz w:val="20"/>
              </w:rPr>
              <w:t xml:space="preserve">В случае приобретения строительных материалов в организации торговли представляется товарная </w:t>
            </w:r>
            <w:hyperlink w:history="0" r:id="rId73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Pr>
                  <w:sz w:val="20"/>
                  <w:color w:val="0000ff"/>
                </w:rPr>
                <w:t xml:space="preserve">накладная</w:t>
              </w:r>
            </w:hyperlink>
            <w:r>
              <w:rPr>
                <w:sz w:val="20"/>
              </w:rPr>
              <w:t xml:space="preserve"> по форме N ТОРГ-12, утвержденной постановлением Государственного комитета Российской Федерации по статистике от 25.12.1998 N 132 "Об утверждении унифицированных форм первичной учетной документации по учету торговых операций"</w:t>
            </w:r>
          </w:p>
        </w:tc>
      </w:tr>
      <w:tr>
        <w:tc>
          <w:tcPr>
            <w:tcW w:w="850" w:type="dxa"/>
          </w:tcPr>
          <w:p>
            <w:pPr>
              <w:pStyle w:val="0"/>
            </w:pPr>
            <w:r>
              <w:rPr>
                <w:sz w:val="20"/>
              </w:rPr>
              <w:t xml:space="preserve">3.2.4</w:t>
            </w:r>
          </w:p>
        </w:tc>
        <w:tc>
          <w:tcPr>
            <w:tcW w:w="3118" w:type="dxa"/>
          </w:tcPr>
          <w:p>
            <w:pPr>
              <w:pStyle w:val="0"/>
            </w:pPr>
            <w:r>
              <w:rPr>
                <w:sz w:val="20"/>
              </w:rPr>
              <w:t xml:space="preserve">Универсальный передаточный документ (УПД)</w:t>
            </w:r>
          </w:p>
        </w:tc>
        <w:tc>
          <w:tcPr>
            <w:tcW w:w="5102" w:type="dxa"/>
          </w:tcPr>
          <w:p>
            <w:pPr>
              <w:pStyle w:val="0"/>
            </w:pPr>
            <w:r>
              <w:rPr>
                <w:sz w:val="20"/>
              </w:rPr>
              <w:t xml:space="preserve">Для Оборудования, приобретенного на территории Российской Федерации.</w:t>
            </w:r>
          </w:p>
          <w:p>
            <w:pPr>
              <w:pStyle w:val="0"/>
            </w:pPr>
            <w:r>
              <w:rPr>
                <w:sz w:val="20"/>
              </w:rPr>
              <w:t xml:space="preserve">Представляется плательщиками НДС</w:t>
            </w:r>
          </w:p>
        </w:tc>
      </w:tr>
      <w:tr>
        <w:tc>
          <w:tcPr>
            <w:tcW w:w="850" w:type="dxa"/>
          </w:tcPr>
          <w:p>
            <w:pPr>
              <w:pStyle w:val="0"/>
            </w:pPr>
            <w:r>
              <w:rPr>
                <w:sz w:val="20"/>
              </w:rPr>
              <w:t xml:space="preserve">3.2.5</w:t>
            </w:r>
          </w:p>
        </w:tc>
        <w:tc>
          <w:tcPr>
            <w:tcW w:w="3118" w:type="dxa"/>
          </w:tcPr>
          <w:p>
            <w:pPr>
              <w:pStyle w:val="0"/>
            </w:pPr>
            <w:r>
              <w:rPr>
                <w:sz w:val="20"/>
              </w:rPr>
              <w:t xml:space="preserve">Декларация на товары</w:t>
            </w:r>
          </w:p>
        </w:tc>
        <w:tc>
          <w:tcPr>
            <w:tcW w:w="5102" w:type="dxa"/>
          </w:tcPr>
          <w:p>
            <w:pPr>
              <w:pStyle w:val="0"/>
            </w:pPr>
            <w:r>
              <w:rPr>
                <w:sz w:val="20"/>
              </w:rPr>
              <w:t xml:space="preserve">Для Оборудования, приобретенного за пределами территории Российской Федерации</w:t>
            </w:r>
          </w:p>
        </w:tc>
      </w:tr>
      <w:tr>
        <w:tc>
          <w:tcPr>
            <w:tcW w:w="850" w:type="dxa"/>
          </w:tcPr>
          <w:p>
            <w:pPr>
              <w:pStyle w:val="0"/>
            </w:pPr>
            <w:r>
              <w:rPr>
                <w:sz w:val="20"/>
              </w:rPr>
              <w:t xml:space="preserve">3.2.6</w:t>
            </w:r>
          </w:p>
        </w:tc>
        <w:tc>
          <w:tcPr>
            <w:tcW w:w="3118" w:type="dxa"/>
          </w:tcPr>
          <w:p>
            <w:pPr>
              <w:pStyle w:val="0"/>
            </w:pPr>
            <w:r>
              <w:rPr>
                <w:sz w:val="20"/>
              </w:rPr>
              <w:t xml:space="preserve">Акт приемки оказанных услуг (акт оказания услуг)</w:t>
            </w:r>
          </w:p>
        </w:tc>
        <w:tc>
          <w:tcPr>
            <w:tcW w:w="5102" w:type="dxa"/>
          </w:tcPr>
          <w:p>
            <w:pPr>
              <w:pStyle w:val="0"/>
            </w:pPr>
            <w:r>
              <w:rPr>
                <w:sz w:val="20"/>
              </w:rPr>
              <w:t xml:space="preserve">Акт приемки оказанных услуг (акт оказания услуг)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перечень оказанных услуг;</w:t>
            </w:r>
          </w:p>
          <w:p>
            <w:pPr>
              <w:pStyle w:val="0"/>
            </w:pPr>
            <w:r>
              <w:rPr>
                <w:sz w:val="20"/>
              </w:rPr>
              <w:t xml:space="preserve">5) печати (при наличии) и подписи сторон</w:t>
            </w:r>
          </w:p>
        </w:tc>
      </w:tr>
      <w:tr>
        <w:tc>
          <w:tcPr>
            <w:tcW w:w="850" w:type="dxa"/>
          </w:tcPr>
          <w:p>
            <w:pPr>
              <w:pStyle w:val="0"/>
            </w:pPr>
            <w:r>
              <w:rPr>
                <w:sz w:val="20"/>
              </w:rPr>
              <w:t xml:space="preserve">3.3</w:t>
            </w:r>
          </w:p>
        </w:tc>
        <w:tc>
          <w:tcPr>
            <w:gridSpan w:val="2"/>
            <w:tcW w:w="8220" w:type="dxa"/>
          </w:tcPr>
          <w:p>
            <w:pPr>
              <w:pStyle w:val="0"/>
            </w:pPr>
            <w:r>
              <w:rPr>
                <w:sz w:val="20"/>
              </w:rPr>
              <w:t xml:space="preserve">Счета:</w:t>
            </w:r>
          </w:p>
        </w:tc>
      </w:tr>
      <w:tr>
        <w:tc>
          <w:tcPr>
            <w:tcW w:w="850" w:type="dxa"/>
          </w:tcPr>
          <w:p>
            <w:pPr>
              <w:pStyle w:val="0"/>
            </w:pPr>
            <w:r>
              <w:rPr>
                <w:sz w:val="20"/>
              </w:rPr>
              <w:t xml:space="preserve">3.3.1</w:t>
            </w:r>
          </w:p>
        </w:tc>
        <w:tc>
          <w:tcPr>
            <w:tcW w:w="3118" w:type="dxa"/>
          </w:tcPr>
          <w:p>
            <w:pPr>
              <w:pStyle w:val="0"/>
            </w:pPr>
            <w:r>
              <w:rPr>
                <w:sz w:val="20"/>
              </w:rPr>
              <w:t xml:space="preserve">Счет на оплату</w:t>
            </w:r>
          </w:p>
        </w:tc>
        <w:tc>
          <w:tcPr>
            <w:tcW w:w="5102" w:type="dxa"/>
          </w:tcPr>
          <w:p>
            <w:pPr>
              <w:pStyle w:val="0"/>
            </w:pPr>
            <w:r>
              <w:rPr>
                <w:sz w:val="20"/>
              </w:rPr>
              <w:t xml:space="preserve">Представляется в случае, если в платежном поручении в графе "Назначение платежа" нет ссылки на договор, но присутствует ссылка на счет.</w:t>
            </w:r>
          </w:p>
          <w:p>
            <w:pPr>
              <w:pStyle w:val="0"/>
            </w:pPr>
            <w:r>
              <w:rPr>
                <w:sz w:val="20"/>
              </w:rPr>
              <w:t xml:space="preserve">В данном случае ссылка на договор должна быть в счете на оплату.</w:t>
            </w:r>
          </w:p>
          <w:p>
            <w:pPr>
              <w:pStyle w:val="0"/>
            </w:pPr>
            <w:r>
              <w:rPr>
                <w:sz w:val="20"/>
              </w:rPr>
              <w:t xml:space="preserve">Счет на оплату должен соответствовать условиям договора и в обязательном порядке содержать следующие реквизиты (информацию):</w:t>
            </w:r>
          </w:p>
          <w:p>
            <w:pPr>
              <w:pStyle w:val="0"/>
            </w:pPr>
            <w:r>
              <w:rPr>
                <w:sz w:val="20"/>
              </w:rPr>
              <w:t xml:space="preserve">1) ссылку на номер и дату договора;</w:t>
            </w:r>
          </w:p>
          <w:p>
            <w:pPr>
              <w:pStyle w:val="0"/>
            </w:pPr>
            <w:r>
              <w:rPr>
                <w:sz w:val="20"/>
              </w:rPr>
              <w:t xml:space="preserve">2) указание на лицо, выдавшее счет (наименование, Ф.И.О. индивидуального предпринимателя, ИНН, КПП);</w:t>
            </w:r>
          </w:p>
          <w:p>
            <w:pPr>
              <w:pStyle w:val="0"/>
            </w:pPr>
            <w:r>
              <w:rPr>
                <w:sz w:val="20"/>
              </w:rPr>
              <w:t xml:space="preserve">3) указание на плательщика (наименование, Ф.И.О. индивидуального предпринимателя, ИНН, КПП);</w:t>
            </w:r>
          </w:p>
          <w:p>
            <w:pPr>
              <w:pStyle w:val="0"/>
            </w:pPr>
            <w:r>
              <w:rPr>
                <w:sz w:val="20"/>
              </w:rPr>
              <w:t xml:space="preserve">4) предмет договора (за что производится оплата по счету);</w:t>
            </w:r>
          </w:p>
          <w:p>
            <w:pPr>
              <w:pStyle w:val="0"/>
            </w:pPr>
            <w:r>
              <w:rPr>
                <w:sz w:val="20"/>
              </w:rPr>
              <w:t xml:space="preserve">5) сумму платежа;</w:t>
            </w:r>
          </w:p>
          <w:p>
            <w:pPr>
              <w:pStyle w:val="0"/>
            </w:pPr>
            <w:r>
              <w:rPr>
                <w:sz w:val="20"/>
              </w:rPr>
              <w:t xml:space="preserve">6) печать и подпись лица, выдавшего счет</w:t>
            </w:r>
          </w:p>
        </w:tc>
      </w:tr>
      <w:tr>
        <w:tc>
          <w:tcPr>
            <w:tcW w:w="850" w:type="dxa"/>
          </w:tcPr>
          <w:p>
            <w:pPr>
              <w:pStyle w:val="0"/>
            </w:pPr>
            <w:r>
              <w:rPr>
                <w:sz w:val="20"/>
              </w:rPr>
              <w:t xml:space="preserve">3.3.2</w:t>
            </w:r>
          </w:p>
        </w:tc>
        <w:tc>
          <w:tcPr>
            <w:tcW w:w="3118" w:type="dxa"/>
          </w:tcPr>
          <w:p>
            <w:pPr>
              <w:pStyle w:val="0"/>
            </w:pPr>
            <w:r>
              <w:rPr>
                <w:sz w:val="20"/>
              </w:rPr>
              <w:t xml:space="preserve">Инвойс на оплату</w:t>
            </w:r>
          </w:p>
        </w:tc>
        <w:tc>
          <w:tcPr>
            <w:tcW w:w="5102" w:type="dxa"/>
          </w:tcPr>
          <w:p>
            <w:pPr>
              <w:pStyle w:val="0"/>
            </w:pPr>
            <w:r>
              <w:rPr>
                <w:sz w:val="20"/>
              </w:rPr>
              <w:t xml:space="preserve">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 (инвойс).</w:t>
            </w:r>
          </w:p>
          <w:p>
            <w:pPr>
              <w:pStyle w:val="0"/>
            </w:pPr>
            <w:r>
              <w:rPr>
                <w:sz w:val="20"/>
              </w:rPr>
              <w:t xml:space="preserve">В данном случае ссылка на договор (или контракт) должна быть в счете (инвойсе) на оплату. Счет (инвойс) на оплату должен соответствовать условиям договора (или контракта) и в обязательном порядке содержать следующие реквизиты (информацию):</w:t>
            </w:r>
          </w:p>
          <w:p>
            <w:pPr>
              <w:pStyle w:val="0"/>
            </w:pPr>
            <w:r>
              <w:rPr>
                <w:sz w:val="20"/>
              </w:rPr>
              <w:t xml:space="preserve">1) ссылку на номер и дату договора (или контракта);</w:t>
            </w:r>
          </w:p>
          <w:p>
            <w:pPr>
              <w:pStyle w:val="0"/>
            </w:pPr>
            <w:r>
              <w:rPr>
                <w:sz w:val="20"/>
              </w:rPr>
              <w:t xml:space="preserve">2) указание на лицо, выдавшее счет (инвойс) (наименование юридического лица, Ф.И.О., ИНН, КПП);</w:t>
            </w:r>
          </w:p>
          <w:p>
            <w:pPr>
              <w:pStyle w:val="0"/>
            </w:pPr>
            <w:r>
              <w:rPr>
                <w:sz w:val="20"/>
              </w:rPr>
              <w:t xml:space="preserve">3) указание на плательщика (наименование юридического лица, Ф.И.О. индивидуального предпринимателя, ИНН, КПП);</w:t>
            </w:r>
          </w:p>
          <w:p>
            <w:pPr>
              <w:pStyle w:val="0"/>
            </w:pPr>
            <w:r>
              <w:rPr>
                <w:sz w:val="20"/>
              </w:rPr>
              <w:t xml:space="preserve">4) наименование Оборудования (за что производится оплата по счету);</w:t>
            </w:r>
          </w:p>
          <w:p>
            <w:pPr>
              <w:pStyle w:val="0"/>
            </w:pPr>
            <w:r>
              <w:rPr>
                <w:sz w:val="20"/>
              </w:rPr>
              <w:t xml:space="preserve">5) сумму платежа;</w:t>
            </w:r>
          </w:p>
          <w:p>
            <w:pPr>
              <w:pStyle w:val="0"/>
            </w:pPr>
            <w:r>
              <w:rPr>
                <w:sz w:val="20"/>
              </w:rPr>
              <w:t xml:space="preserve">6) печать (при наличии) и подпись лица, выдавшего счет (инвойс)</w:t>
            </w:r>
          </w:p>
        </w:tc>
      </w:tr>
      <w:tr>
        <w:tc>
          <w:tcPr>
            <w:tcW w:w="850" w:type="dxa"/>
          </w:tcPr>
          <w:p>
            <w:pPr>
              <w:pStyle w:val="0"/>
            </w:pPr>
            <w:r>
              <w:rPr>
                <w:sz w:val="20"/>
              </w:rPr>
              <w:t xml:space="preserve">3.3.3</w:t>
            </w:r>
          </w:p>
        </w:tc>
        <w:tc>
          <w:tcPr>
            <w:tcW w:w="3118" w:type="dxa"/>
          </w:tcPr>
          <w:p>
            <w:pPr>
              <w:pStyle w:val="0"/>
            </w:pPr>
            <w:r>
              <w:rPr>
                <w:sz w:val="20"/>
              </w:rPr>
              <w:t xml:space="preserve">Счет на оплату коммунальных услуг либо расчет платы за коммунальные услуги</w:t>
            </w:r>
          </w:p>
        </w:tc>
        <w:tc>
          <w:tcPr>
            <w:tcW w:w="5102" w:type="dxa"/>
          </w:tcPr>
          <w:p>
            <w:pPr>
              <w:pStyle w:val="0"/>
            </w:pPr>
            <w:r>
              <w:rPr>
                <w:sz w:val="20"/>
              </w:rPr>
              <w:t xml:space="preserve">Представляется в случае, если в платежном поручении в графе "Назначение платежа" нет ссылки на договор.</w:t>
            </w:r>
          </w:p>
          <w:p>
            <w:pPr>
              <w:pStyle w:val="0"/>
            </w:pPr>
            <w:r>
              <w:rPr>
                <w:sz w:val="20"/>
              </w:rPr>
              <w:t xml:space="preserve">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pPr>
              <w:pStyle w:val="0"/>
            </w:pPr>
            <w:r>
              <w:rPr>
                <w:sz w:val="20"/>
              </w:rPr>
              <w:t xml:space="preserve">Составляется за подписью и печатью арендодателя</w:t>
            </w:r>
          </w:p>
        </w:tc>
      </w:tr>
      <w:tr>
        <w:tc>
          <w:tcPr>
            <w:tcW w:w="850" w:type="dxa"/>
          </w:tcPr>
          <w:p>
            <w:pPr>
              <w:pStyle w:val="0"/>
            </w:pPr>
            <w:r>
              <w:rPr>
                <w:sz w:val="20"/>
              </w:rPr>
              <w:t xml:space="preserve">3.4</w:t>
            </w:r>
          </w:p>
        </w:tc>
        <w:tc>
          <w:tcPr>
            <w:gridSpan w:val="2"/>
            <w:tcW w:w="8220" w:type="dxa"/>
          </w:tcPr>
          <w:p>
            <w:pPr>
              <w:pStyle w:val="0"/>
            </w:pPr>
            <w:r>
              <w:rPr>
                <w:sz w:val="20"/>
              </w:rPr>
              <w:t xml:space="preserve">Документы, подтверждающие оплату:</w:t>
            </w:r>
          </w:p>
        </w:tc>
      </w:tr>
      <w:tr>
        <w:tc>
          <w:tcPr>
            <w:tcW w:w="850" w:type="dxa"/>
          </w:tcPr>
          <w:p>
            <w:pPr>
              <w:pStyle w:val="0"/>
            </w:pPr>
            <w:r>
              <w:rPr>
                <w:sz w:val="20"/>
              </w:rPr>
              <w:t xml:space="preserve">3.4.1</w:t>
            </w:r>
          </w:p>
        </w:tc>
        <w:tc>
          <w:tcPr>
            <w:tcW w:w="3118" w:type="dxa"/>
          </w:tcPr>
          <w:p>
            <w:pPr>
              <w:pStyle w:val="0"/>
            </w:pPr>
            <w:r>
              <w:rPr>
                <w:sz w:val="20"/>
              </w:rPr>
              <w:t xml:space="preserve">Платежное поручение (банковский ордер)</w:t>
            </w:r>
          </w:p>
        </w:tc>
        <w:tc>
          <w:tcPr>
            <w:tcW w:w="5102" w:type="dxa"/>
          </w:tcPr>
          <w:p>
            <w:pPr>
              <w:pStyle w:val="0"/>
            </w:pPr>
            <w:r>
              <w:rPr>
                <w:sz w:val="20"/>
              </w:rPr>
              <w:t xml:space="preserve">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должен содержать отметку о списании денежных средств с указанием даты списания.</w:t>
            </w:r>
          </w:p>
          <w:p>
            <w:pPr>
              <w:pStyle w:val="0"/>
            </w:pPr>
            <w:r>
              <w:rPr>
                <w:sz w:val="20"/>
              </w:rPr>
              <w:t xml:space="preserve">В графе "Назначение платежа" платежного поручения должны быть:</w:t>
            </w:r>
          </w:p>
          <w:p>
            <w:pPr>
              <w:pStyle w:val="0"/>
            </w:pPr>
            <w:r>
              <w:rPr>
                <w:sz w:val="20"/>
              </w:rPr>
              <w:t xml:space="preserve">ссылка на договор или счет на оплату, на основании которого производится платеж;</w:t>
            </w:r>
          </w:p>
          <w:p>
            <w:pPr>
              <w:pStyle w:val="0"/>
            </w:pPr>
            <w:r>
              <w:rPr>
                <w:sz w:val="20"/>
              </w:rPr>
              <w:t xml:space="preserve">для затрат на аренду и коммунальные платежи - период, за который производится оплата аренды (месяц, год)</w:t>
            </w:r>
          </w:p>
        </w:tc>
      </w:tr>
      <w:tr>
        <w:tc>
          <w:tcPr>
            <w:tcW w:w="850" w:type="dxa"/>
          </w:tcPr>
          <w:p>
            <w:pPr>
              <w:pStyle w:val="0"/>
            </w:pPr>
            <w:r>
              <w:rPr>
                <w:sz w:val="20"/>
              </w:rPr>
              <w:t xml:space="preserve">3.4.2</w:t>
            </w:r>
          </w:p>
        </w:tc>
        <w:tc>
          <w:tcPr>
            <w:tcW w:w="3118" w:type="dxa"/>
          </w:tcPr>
          <w:p>
            <w:pPr>
              <w:pStyle w:val="0"/>
            </w:pPr>
            <w:r>
              <w:rPr>
                <w:sz w:val="20"/>
              </w:rPr>
              <w:t xml:space="preserve">Заявление на перевод валюты</w:t>
            </w:r>
          </w:p>
        </w:tc>
        <w:tc>
          <w:tcPr>
            <w:tcW w:w="5102" w:type="dxa"/>
          </w:tcPr>
          <w:p>
            <w:pPr>
              <w:pStyle w:val="0"/>
            </w:pPr>
            <w:r>
              <w:rPr>
                <w:sz w:val="20"/>
              </w:rPr>
              <w:t xml:space="preserve">Для Оборудования, приобретенного за пределами территории Российской Федерации.</w:t>
            </w:r>
          </w:p>
          <w:p>
            <w:pPr>
              <w:pStyle w:val="0"/>
            </w:pPr>
            <w:r>
              <w:rPr>
                <w:sz w:val="20"/>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w:t>
            </w:r>
          </w:p>
          <w:p>
            <w:pPr>
              <w:pStyle w:val="0"/>
            </w:pPr>
            <w:r>
              <w:rPr>
                <w:sz w:val="20"/>
              </w:rPr>
              <w:t xml:space="preserve">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tc>
          <w:tcPr>
            <w:tcW w:w="850" w:type="dxa"/>
          </w:tcPr>
          <w:p>
            <w:pPr>
              <w:pStyle w:val="0"/>
            </w:pPr>
            <w:r>
              <w:rPr>
                <w:sz w:val="20"/>
              </w:rPr>
              <w:t xml:space="preserve">3.4.3</w:t>
            </w:r>
          </w:p>
        </w:tc>
        <w:tc>
          <w:tcPr>
            <w:tcW w:w="3118" w:type="dxa"/>
          </w:tcPr>
          <w:p>
            <w:pPr>
              <w:pStyle w:val="0"/>
            </w:pPr>
            <w:r>
              <w:rPr>
                <w:sz w:val="20"/>
              </w:rPr>
              <w:t xml:space="preserve">Выписка банка, подтверждающая оплату по договору</w:t>
            </w:r>
          </w:p>
        </w:tc>
        <w:tc>
          <w:tcPr>
            <w:tcW w:w="5102" w:type="dxa"/>
          </w:tcPr>
          <w:p>
            <w:pPr>
              <w:pStyle w:val="0"/>
            </w:pPr>
            <w:r>
              <w:rPr>
                <w:sz w:val="20"/>
              </w:rPr>
              <w:t xml:space="preserve">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ЭП операциониста банка (при необходимости).</w:t>
            </w:r>
          </w:p>
          <w:p>
            <w:pPr>
              <w:pStyle w:val="0"/>
            </w:pPr>
            <w:r>
              <w:rPr>
                <w:sz w:val="20"/>
              </w:rPr>
              <w:t xml:space="preserve">Выписка банка в обязательном порядке должна содержать следующие реквизиты (информацию):</w:t>
            </w:r>
          </w:p>
          <w:p>
            <w:pPr>
              <w:pStyle w:val="0"/>
            </w:pPr>
            <w:r>
              <w:rPr>
                <w:sz w:val="20"/>
              </w:rPr>
              <w:t xml:space="preserve">1) наименование банка;</w:t>
            </w:r>
          </w:p>
          <w:p>
            <w:pPr>
              <w:pStyle w:val="0"/>
            </w:pPr>
            <w:r>
              <w:rPr>
                <w:sz w:val="20"/>
              </w:rPr>
              <w:t xml:space="preserve">2) полное наименование организации, Ф.И.О. индивидуального предпринимателя;</w:t>
            </w:r>
          </w:p>
          <w:p>
            <w:pPr>
              <w:pStyle w:val="0"/>
            </w:pPr>
            <w:r>
              <w:rPr>
                <w:sz w:val="20"/>
              </w:rPr>
              <w:t xml:space="preserve">3) номер банковского счета, по которому представляется выписка;</w:t>
            </w:r>
          </w:p>
          <w:p>
            <w:pPr>
              <w:pStyle w:val="0"/>
            </w:pPr>
            <w:r>
              <w:rPr>
                <w:sz w:val="20"/>
              </w:rPr>
              <w:t xml:space="preserve">4) период, за который представляется выписка;</w:t>
            </w:r>
          </w:p>
          <w:p>
            <w:pPr>
              <w:pStyle w:val="0"/>
            </w:pPr>
            <w:r>
              <w:rPr>
                <w:sz w:val="20"/>
              </w:rPr>
              <w:t xml:space="preserve">5) дату совершения операции (дд.мм.гг);</w:t>
            </w:r>
          </w:p>
          <w:p>
            <w:pPr>
              <w:pStyle w:val="0"/>
            </w:pPr>
            <w:r>
              <w:rPr>
                <w:sz w:val="20"/>
              </w:rPr>
              <w:t xml:space="preserve">6) реквизиты документа, на основании которого была совершена операция по счету (номер, дата);</w:t>
            </w:r>
          </w:p>
          <w:p>
            <w:pPr>
              <w:pStyle w:val="0"/>
            </w:pPr>
            <w:r>
              <w:rPr>
                <w:sz w:val="20"/>
              </w:rPr>
              <w:t xml:space="preserve">7) наименование плательщика (получателя) денежных средств;</w:t>
            </w:r>
          </w:p>
          <w:p>
            <w:pPr>
              <w:pStyle w:val="0"/>
            </w:pPr>
            <w:r>
              <w:rPr>
                <w:sz w:val="20"/>
              </w:rPr>
              <w:t xml:space="preserve">8) сумму операции по счету (дебету, кредиту);</w:t>
            </w:r>
          </w:p>
          <w:p>
            <w:pPr>
              <w:pStyle w:val="0"/>
            </w:pPr>
            <w:r>
              <w:rPr>
                <w:sz w:val="20"/>
              </w:rPr>
              <w:t xml:space="preserve">9) назначение платежа</w:t>
            </w:r>
          </w:p>
        </w:tc>
      </w:tr>
      <w:tr>
        <w:tc>
          <w:tcPr>
            <w:tcW w:w="850" w:type="dxa"/>
          </w:tcPr>
          <w:p>
            <w:pPr>
              <w:pStyle w:val="0"/>
            </w:pPr>
            <w:r>
              <w:rPr>
                <w:sz w:val="20"/>
              </w:rPr>
              <w:t xml:space="preserve">3.5</w:t>
            </w:r>
          </w:p>
        </w:tc>
        <w:tc>
          <w:tcPr>
            <w:tcW w:w="3118" w:type="dxa"/>
          </w:tcPr>
          <w:p>
            <w:pPr>
              <w:pStyle w:val="0"/>
            </w:pPr>
            <w:r>
              <w:rPr>
                <w:sz w:val="20"/>
              </w:rPr>
              <w:t xml:space="preserve">Выписка из ЕГРН</w:t>
            </w:r>
          </w:p>
        </w:tc>
        <w:tc>
          <w:tcPr>
            <w:tcW w:w="5102" w:type="dxa"/>
          </w:tcPr>
          <w:p>
            <w:pPr>
              <w:pStyle w:val="0"/>
            </w:pPr>
            <w:r>
              <w:rPr>
                <w:sz w:val="20"/>
              </w:rPr>
              <w:t xml:space="preserve">Должна быть получена не позднее первого числа месяца, предшествующего месяцу представления документов, подтверждающих затраты</w:t>
            </w:r>
          </w:p>
        </w:tc>
      </w:tr>
      <w:tr>
        <w:tc>
          <w:tcPr>
            <w:tcW w:w="850" w:type="dxa"/>
          </w:tcPr>
          <w:p>
            <w:pPr>
              <w:pStyle w:val="0"/>
            </w:pPr>
            <w:r>
              <w:rPr>
                <w:sz w:val="20"/>
              </w:rPr>
              <w:t xml:space="preserve">3.6</w:t>
            </w:r>
          </w:p>
        </w:tc>
        <w:tc>
          <w:tcPr>
            <w:gridSpan w:val="2"/>
            <w:tcW w:w="8220" w:type="dxa"/>
          </w:tcPr>
          <w:p>
            <w:pPr>
              <w:pStyle w:val="0"/>
            </w:pPr>
            <w:r>
              <w:rPr>
                <w:sz w:val="20"/>
              </w:rPr>
              <w:t xml:space="preserve">Для транспортных средств и самоходных машин, а также мобильных торговых объектов</w:t>
            </w:r>
          </w:p>
        </w:tc>
      </w:tr>
      <w:tr>
        <w:tc>
          <w:tcPr>
            <w:tcW w:w="850" w:type="dxa"/>
          </w:tcPr>
          <w:p>
            <w:pPr>
              <w:pStyle w:val="0"/>
            </w:pPr>
            <w:r>
              <w:rPr>
                <w:sz w:val="20"/>
              </w:rPr>
              <w:t xml:space="preserve">3.6.1</w:t>
            </w:r>
          </w:p>
        </w:tc>
        <w:tc>
          <w:tcPr>
            <w:tcW w:w="3118" w:type="dxa"/>
          </w:tcPr>
          <w:p>
            <w:pPr>
              <w:pStyle w:val="0"/>
            </w:pPr>
            <w:r>
              <w:rPr>
                <w:sz w:val="20"/>
              </w:rPr>
              <w:t xml:space="preserve">Паспорт транспортного средства и (или) самоходной машины</w:t>
            </w:r>
          </w:p>
        </w:tc>
        <w:tc>
          <w:tcPr>
            <w:tcW w:w="5102" w:type="dxa"/>
          </w:tcPr>
          <w:p>
            <w:pPr>
              <w:pStyle w:val="0"/>
            </w:pPr>
            <w:r>
              <w:rPr>
                <w:sz w:val="20"/>
              </w:rPr>
              <w:t xml:space="preserve">Представляется при переоборудовании транспортных средств для перевозки маломобильных групп населения, в том числе инвалидов</w:t>
            </w:r>
          </w:p>
        </w:tc>
      </w:tr>
      <w:tr>
        <w:tc>
          <w:tcPr>
            <w:tcW w:w="850" w:type="dxa"/>
          </w:tcPr>
          <w:p>
            <w:pPr>
              <w:pStyle w:val="0"/>
            </w:pPr>
            <w:r>
              <w:rPr>
                <w:sz w:val="20"/>
              </w:rPr>
              <w:t xml:space="preserve">3.6.2</w:t>
            </w:r>
          </w:p>
        </w:tc>
        <w:tc>
          <w:tcPr>
            <w:tcW w:w="3118" w:type="dxa"/>
          </w:tcPr>
          <w:p>
            <w:pPr>
              <w:pStyle w:val="0"/>
            </w:pPr>
            <w:r>
              <w:rPr>
                <w:sz w:val="20"/>
              </w:rPr>
              <w:t xml:space="preserve">Свидетельство о регистрации транспортного средства и (или) самоходной машины</w:t>
            </w:r>
          </w:p>
        </w:tc>
        <w:tc>
          <w:tcPr>
            <w:tcW w:w="5102" w:type="dxa"/>
          </w:tcPr>
          <w:p>
            <w:pPr>
              <w:pStyle w:val="0"/>
            </w:pPr>
            <w:r>
              <w:rPr>
                <w:sz w:val="20"/>
              </w:rPr>
              <w:t xml:space="preserve">По </w:t>
            </w:r>
            <w:hyperlink w:history="0" r:id="rId74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форме</w:t>
              </w:r>
            </w:hyperlink>
            <w:r>
              <w:rPr>
                <w:sz w:val="20"/>
              </w:rPr>
              <w:t xml:space="preserve"> в соответствии с приказом МВД России от 23.04.2019 N 267 "Об утверждении форм документов, идентифицирующих транспортное средство, и требований к ним"</w:t>
            </w:r>
          </w:p>
        </w:tc>
      </w:tr>
      <w:tr>
        <w:tc>
          <w:tcPr>
            <w:tcW w:w="850" w:type="dxa"/>
          </w:tcPr>
          <w:p>
            <w:pPr>
              <w:pStyle w:val="0"/>
            </w:pPr>
            <w:r>
              <w:rPr>
                <w:sz w:val="20"/>
              </w:rPr>
              <w:t xml:space="preserve">3.7</w:t>
            </w:r>
          </w:p>
        </w:tc>
        <w:tc>
          <w:tcPr>
            <w:gridSpan w:val="2"/>
            <w:tcW w:w="8220" w:type="dxa"/>
          </w:tcPr>
          <w:p>
            <w:pPr>
              <w:pStyle w:val="0"/>
            </w:pPr>
            <w:r>
              <w:rPr>
                <w:sz w:val="20"/>
              </w:rPr>
              <w:t xml:space="preserve">Бухгалтерские документы о постановке на баланс:</w:t>
            </w:r>
          </w:p>
        </w:tc>
      </w:tr>
      <w:tr>
        <w:tc>
          <w:tcPr>
            <w:tcW w:w="850" w:type="dxa"/>
          </w:tcPr>
          <w:p>
            <w:pPr>
              <w:pStyle w:val="0"/>
            </w:pPr>
            <w:r>
              <w:rPr>
                <w:sz w:val="20"/>
              </w:rPr>
              <w:t xml:space="preserve">3.7.1</w:t>
            </w:r>
          </w:p>
        </w:tc>
        <w:tc>
          <w:tcPr>
            <w:tcW w:w="3118" w:type="dxa"/>
          </w:tcPr>
          <w:p>
            <w:pPr>
              <w:pStyle w:val="0"/>
            </w:pPr>
            <w:r>
              <w:rPr>
                <w:sz w:val="20"/>
              </w:rPr>
              <w:t xml:space="preserve">Бухгалтерские документы о постановке на баланс Оборудования, основных средств, иных товарно-материальных ценностей</w:t>
            </w:r>
          </w:p>
        </w:tc>
        <w:tc>
          <w:tcPr>
            <w:tcW w:w="5102" w:type="dxa"/>
          </w:tcPr>
          <w:p>
            <w:pPr>
              <w:pStyle w:val="0"/>
            </w:pPr>
            <w:r>
              <w:rPr>
                <w:sz w:val="20"/>
              </w:rPr>
              <w:t xml:space="preserve">Представляются по выбору заявителя с обязательным заполнением всех разделов:</w:t>
            </w:r>
          </w:p>
          <w:p>
            <w:pPr>
              <w:pStyle w:val="0"/>
            </w:pPr>
            <w:r>
              <w:rPr>
                <w:sz w:val="20"/>
              </w:rPr>
              <w:t xml:space="preserve">1. Акт о приеме-передаче объекта основных средств (кроме зданий, сооружений) по форме N ОС-1.</w:t>
            </w:r>
          </w:p>
          <w:p>
            <w:pPr>
              <w:pStyle w:val="0"/>
            </w:pPr>
            <w:r>
              <w:rPr>
                <w:sz w:val="20"/>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pPr>
              <w:pStyle w:val="0"/>
            </w:pPr>
            <w:r>
              <w:rPr>
                <w:sz w:val="20"/>
              </w:rPr>
              <w:t xml:space="preserve">1) приказ об утверждении учетной политики субъекта МСП;</w:t>
            </w:r>
          </w:p>
          <w:p>
            <w:pPr>
              <w:pStyle w:val="0"/>
            </w:pPr>
            <w:r>
              <w:rPr>
                <w:sz w:val="20"/>
              </w:rPr>
              <w:t xml:space="preserve">2)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pPr>
              <w:pStyle w:val="0"/>
            </w:pPr>
            <w:r>
              <w:rPr>
                <w:sz w:val="20"/>
              </w:rPr>
              <w:t xml:space="preserve">наименование документа;</w:t>
            </w:r>
          </w:p>
          <w:p>
            <w:pPr>
              <w:pStyle w:val="0"/>
            </w:pPr>
            <w:r>
              <w:rPr>
                <w:sz w:val="20"/>
              </w:rPr>
              <w:t xml:space="preserve">дата составления документа;</w:t>
            </w:r>
          </w:p>
          <w:p>
            <w:pPr>
              <w:pStyle w:val="0"/>
            </w:pPr>
            <w:r>
              <w:rPr>
                <w:sz w:val="20"/>
              </w:rPr>
              <w:t xml:space="preserve">наименование экономического субъекта, составившего документ;</w:t>
            </w:r>
          </w:p>
          <w:p>
            <w:pPr>
              <w:pStyle w:val="0"/>
            </w:pPr>
            <w:r>
              <w:rPr>
                <w:sz w:val="20"/>
              </w:rPr>
              <w:t xml:space="preserve">содержание факта хозяйственной жизни;</w:t>
            </w:r>
          </w:p>
          <w:p>
            <w:pPr>
              <w:pStyle w:val="0"/>
            </w:pPr>
            <w:r>
              <w:rPr>
                <w:sz w:val="20"/>
              </w:rPr>
              <w:t xml:space="preserve">величина натурального и (или) денежного измерения факта хозяйственной жизни с указанием единиц измерения;</w:t>
            </w:r>
          </w:p>
          <w:p>
            <w:pPr>
              <w:pStyle w:val="0"/>
            </w:pPr>
            <w:r>
              <w:rPr>
                <w:sz w:val="20"/>
              </w:rPr>
              <w:t xml:space="preserve">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pPr>
              <w:pStyle w:val="0"/>
            </w:pPr>
            <w:r>
              <w:rPr>
                <w:sz w:val="20"/>
              </w:rPr>
              <w:t xml:space="preserve">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tc>
          <w:tcPr>
            <w:tcW w:w="850" w:type="dxa"/>
          </w:tcPr>
          <w:p>
            <w:pPr>
              <w:pStyle w:val="0"/>
            </w:pPr>
            <w:r>
              <w:rPr>
                <w:sz w:val="20"/>
              </w:rPr>
              <w:t xml:space="preserve">3.8</w:t>
            </w:r>
          </w:p>
        </w:tc>
        <w:tc>
          <w:tcPr>
            <w:tcW w:w="3118" w:type="dxa"/>
          </w:tcPr>
          <w:p>
            <w:pPr>
              <w:pStyle w:val="0"/>
            </w:pPr>
            <w:r>
              <w:rPr>
                <w:sz w:val="20"/>
              </w:rPr>
              <w:t xml:space="preserve">Фотографии объектов основных средств или Оборудования</w:t>
            </w:r>
          </w:p>
        </w:tc>
        <w:tc>
          <w:tcPr>
            <w:tcW w:w="5102" w:type="dxa"/>
          </w:tcPr>
          <w:p>
            <w:pPr>
              <w:pStyle w:val="0"/>
            </w:pPr>
            <w:r>
              <w:rPr>
                <w:sz w:val="20"/>
              </w:rPr>
              <w:t xml:space="preserve">Представляются цветные фотографии каждого объекта основных средств или Оборудования после его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r>
        <w:tc>
          <w:tcPr>
            <w:tcW w:w="850" w:type="dxa"/>
          </w:tcPr>
          <w:p>
            <w:pPr>
              <w:pStyle w:val="0"/>
            </w:pPr>
            <w:r>
              <w:rPr>
                <w:sz w:val="20"/>
              </w:rPr>
              <w:t xml:space="preserve">3.9</w:t>
            </w:r>
          </w:p>
        </w:tc>
        <w:tc>
          <w:tcPr>
            <w:gridSpan w:val="2"/>
            <w:tcW w:w="8220" w:type="dxa"/>
          </w:tcPr>
          <w:p>
            <w:pPr>
              <w:pStyle w:val="0"/>
            </w:pPr>
            <w:r>
              <w:rPr>
                <w:sz w:val="20"/>
              </w:rPr>
              <w:t xml:space="preserve">Для подтверждения затрат на обучение персонала:</w:t>
            </w:r>
          </w:p>
        </w:tc>
      </w:tr>
      <w:tr>
        <w:tc>
          <w:tcPr>
            <w:tcW w:w="850" w:type="dxa"/>
          </w:tcPr>
          <w:p>
            <w:pPr>
              <w:pStyle w:val="0"/>
            </w:pPr>
            <w:r>
              <w:rPr>
                <w:sz w:val="20"/>
              </w:rPr>
              <w:t xml:space="preserve">3.9.1</w:t>
            </w:r>
          </w:p>
        </w:tc>
        <w:tc>
          <w:tcPr>
            <w:tcW w:w="3118" w:type="dxa"/>
          </w:tcPr>
          <w:p>
            <w:pPr>
              <w:pStyle w:val="0"/>
            </w:pPr>
            <w:r>
              <w:rPr>
                <w:sz w:val="20"/>
              </w:rPr>
              <w:t xml:space="preserve">Документ, подтверждающий прохождение обучения (повышения квалификации, прохождение переподготовки)</w:t>
            </w:r>
          </w:p>
        </w:tc>
        <w:tc>
          <w:tcPr>
            <w:tcW w:w="5102" w:type="dxa"/>
          </w:tcPr>
          <w:p>
            <w:pPr>
              <w:pStyle w:val="0"/>
            </w:pPr>
            <w:r>
              <w:rPr>
                <w:sz w:val="20"/>
              </w:rPr>
              <w:t xml:space="preserve">Электронный образ оригинала документа (копия), заверенная выдавшим документ учебным заведением.</w:t>
            </w:r>
          </w:p>
          <w:p>
            <w:pPr>
              <w:pStyle w:val="0"/>
            </w:pPr>
            <w:r>
              <w:rPr>
                <w:sz w:val="20"/>
              </w:rPr>
              <w:t xml:space="preserve">Должен содержать:</w:t>
            </w:r>
          </w:p>
          <w:p>
            <w:pPr>
              <w:pStyle w:val="0"/>
            </w:pPr>
            <w:r>
              <w:rPr>
                <w:sz w:val="20"/>
              </w:rPr>
              <w:t xml:space="preserve">1) наименование организации, Ф.И.О. лиц, прошедших (проходящих) обучение;</w:t>
            </w:r>
          </w:p>
          <w:p>
            <w:pPr>
              <w:pStyle w:val="0"/>
            </w:pPr>
            <w:r>
              <w:rPr>
                <w:sz w:val="20"/>
              </w:rPr>
              <w:t xml:space="preserve">2) наименование обучающей программы;</w:t>
            </w:r>
          </w:p>
          <w:p>
            <w:pPr>
              <w:pStyle w:val="0"/>
            </w:pPr>
            <w:r>
              <w:rPr>
                <w:sz w:val="20"/>
              </w:rPr>
              <w:t xml:space="preserve">3) подпись уполномоченного лица, печать учебного заведения</w:t>
            </w:r>
          </w:p>
        </w:tc>
      </w:tr>
      <w:tr>
        <w:tc>
          <w:tcPr>
            <w:tcW w:w="850" w:type="dxa"/>
          </w:tcPr>
          <w:p>
            <w:pPr>
              <w:pStyle w:val="0"/>
            </w:pPr>
            <w:r>
              <w:rPr>
                <w:sz w:val="20"/>
              </w:rPr>
              <w:t xml:space="preserve">3.10</w:t>
            </w:r>
          </w:p>
        </w:tc>
        <w:tc>
          <w:tcPr>
            <w:gridSpan w:val="2"/>
            <w:tcW w:w="8220" w:type="dxa"/>
          </w:tcPr>
          <w:p>
            <w:pPr>
              <w:pStyle w:val="0"/>
            </w:pPr>
            <w:r>
              <w:rPr>
                <w:sz w:val="20"/>
              </w:rPr>
              <w:t xml:space="preserve">Для документов, подтверждающих подключение к сетям инженерной инфраструктуры (технологическое присоединение):</w:t>
            </w:r>
          </w:p>
        </w:tc>
      </w:tr>
      <w:tr>
        <w:tc>
          <w:tcPr>
            <w:tcW w:w="850" w:type="dxa"/>
          </w:tcPr>
          <w:p>
            <w:pPr>
              <w:pStyle w:val="0"/>
            </w:pPr>
            <w:r>
              <w:rPr>
                <w:sz w:val="20"/>
              </w:rPr>
              <w:t xml:space="preserve">3.10.1</w:t>
            </w:r>
          </w:p>
        </w:tc>
        <w:tc>
          <w:tcPr>
            <w:tcW w:w="3118" w:type="dxa"/>
          </w:tcPr>
          <w:p>
            <w:pPr>
              <w:pStyle w:val="0"/>
            </w:pPr>
            <w:r>
              <w:rPr>
                <w:sz w:val="20"/>
              </w:rPr>
              <w:t xml:space="preserve">Акт о технологическом присоединении к объектам инженерной инфраструктуры (электрические сети, газоснабжение, водоснабжение, водоотведение, теплоснабжение)</w:t>
            </w:r>
          </w:p>
        </w:tc>
        <w:tc>
          <w:tcPr>
            <w:tcW w:w="5102" w:type="dxa"/>
          </w:tcPr>
          <w:p>
            <w:pPr>
              <w:pStyle w:val="0"/>
            </w:pPr>
            <w:r>
              <w:rPr>
                <w:sz w:val="20"/>
              </w:rPr>
              <w:t xml:space="preserve">Электронный образ оригинала документа</w:t>
            </w:r>
          </w:p>
        </w:tc>
      </w:tr>
      <w:tr>
        <w:tc>
          <w:tcPr>
            <w:tcW w:w="850" w:type="dxa"/>
          </w:tcPr>
          <w:p>
            <w:pPr>
              <w:pStyle w:val="0"/>
            </w:pPr>
            <w:r>
              <w:rPr>
                <w:sz w:val="20"/>
              </w:rPr>
              <w:t xml:space="preserve">3.10.2</w:t>
            </w:r>
          </w:p>
        </w:tc>
        <w:tc>
          <w:tcPr>
            <w:tcW w:w="3118" w:type="dxa"/>
          </w:tcPr>
          <w:p>
            <w:pPr>
              <w:pStyle w:val="0"/>
            </w:pPr>
            <w:r>
              <w:rPr>
                <w:sz w:val="20"/>
              </w:rPr>
              <w:t xml:space="preserve">Акт ввода объекта в эксплуатацию или разрешения на ввод в эксплуатацию объекта (в случае технологического присоединения (подключения) к объектам инженерной инфраструктуры здания или сооружения)</w:t>
            </w:r>
          </w:p>
        </w:tc>
        <w:tc>
          <w:tcPr>
            <w:tcW w:w="5102" w:type="dxa"/>
          </w:tcPr>
          <w:p>
            <w:pPr>
              <w:pStyle w:val="0"/>
            </w:pPr>
            <w:r>
              <w:rPr>
                <w:sz w:val="20"/>
              </w:rPr>
              <w:t xml:space="preserve">Электронный образ оригинала документа</w:t>
            </w:r>
          </w:p>
        </w:tc>
      </w:tr>
    </w:tbl>
    <w:p>
      <w:pPr>
        <w:pStyle w:val="0"/>
        <w:jc w:val="both"/>
      </w:pPr>
      <w:r>
        <w:rPr>
          <w:sz w:val="20"/>
        </w:rPr>
      </w:r>
    </w:p>
    <w:p>
      <w:pPr>
        <w:pStyle w:val="0"/>
        <w:ind w:firstLine="540"/>
        <w:jc w:val="both"/>
      </w:pPr>
      <w:r>
        <w:rPr>
          <w:sz w:val="20"/>
        </w:rPr>
        <w:t xml:space="preserve">--------------------------------</w:t>
      </w:r>
    </w:p>
    <w:bookmarkStart w:id="16531" w:name="P16531"/>
    <w:bookmarkEnd w:id="16531"/>
    <w:p>
      <w:pPr>
        <w:pStyle w:val="0"/>
        <w:spacing w:before="200" w:line-rule="auto"/>
        <w:ind w:firstLine="540"/>
        <w:jc w:val="both"/>
      </w:pPr>
      <w:r>
        <w:rPr>
          <w:sz w:val="20"/>
        </w:rPr>
        <w:t xml:space="preserve">&lt;1&gt; Не представляется в случае реализации технической возможности запроса у ФНС России в порядке межведомственного электронного информационного взаимодействия сведений о сумме фактически уплаченных налогов в бюджеты всех уровней за финансовый год, предшествующий году подачи заявки.</w:t>
      </w:r>
    </w:p>
    <w:p>
      <w:pPr>
        <w:pStyle w:val="0"/>
        <w:jc w:val="both"/>
      </w:pPr>
      <w:r>
        <w:rPr>
          <w:sz w:val="20"/>
        </w:rPr>
      </w:r>
    </w:p>
    <w:p>
      <w:pPr>
        <w:pStyle w:val="2"/>
        <w:outlineLvl w:val="3"/>
        <w:jc w:val="center"/>
      </w:pPr>
      <w:r>
        <w:rPr>
          <w:sz w:val="20"/>
        </w:rPr>
        <w:t xml:space="preserve">7.2.7. Порядок предоставления грантов в форме субсидий</w:t>
      </w:r>
    </w:p>
    <w:p>
      <w:pPr>
        <w:pStyle w:val="2"/>
        <w:jc w:val="center"/>
      </w:pPr>
      <w:r>
        <w:rPr>
          <w:sz w:val="20"/>
        </w:rPr>
        <w:t xml:space="preserve">из бюджета Московской области юридическим лицам,</w:t>
      </w:r>
    </w:p>
    <w:p>
      <w:pPr>
        <w:pStyle w:val="2"/>
        <w:jc w:val="center"/>
      </w:pPr>
      <w:r>
        <w:rPr>
          <w:sz w:val="20"/>
        </w:rPr>
        <w:t xml:space="preserve">индивидуальным предпринимателям, физическим лицам в рамках</w:t>
      </w:r>
    </w:p>
    <w:p>
      <w:pPr>
        <w:pStyle w:val="2"/>
        <w:jc w:val="center"/>
      </w:pPr>
      <w:r>
        <w:rPr>
          <w:sz w:val="20"/>
        </w:rPr>
        <w:t xml:space="preserve">реализации мероприятия I4.02 "Финансовая поддержка</w:t>
      </w:r>
    </w:p>
    <w:p>
      <w:pPr>
        <w:pStyle w:val="2"/>
        <w:jc w:val="center"/>
      </w:pPr>
      <w:r>
        <w:rPr>
          <w:sz w:val="20"/>
        </w:rPr>
        <w:t xml:space="preserve">социальных предприятий и молодых предпринимателей"</w:t>
      </w:r>
    </w:p>
    <w:p>
      <w:pPr>
        <w:pStyle w:val="2"/>
        <w:jc w:val="center"/>
      </w:pPr>
      <w:r>
        <w:rPr>
          <w:sz w:val="20"/>
        </w:rPr>
        <w:t xml:space="preserve">Подпрограммы 3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41"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7.2.8. Порядок предоставления из бюджета Московской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и индивидуальным</w:t>
      </w:r>
    </w:p>
    <w:p>
      <w:pPr>
        <w:pStyle w:val="2"/>
        <w:jc w:val="center"/>
      </w:pPr>
      <w:r>
        <w:rPr>
          <w:sz w:val="20"/>
        </w:rPr>
        <w:t xml:space="preserve">предпринимателям на возмещение части затрат субъектов малого</w:t>
      </w:r>
    </w:p>
    <w:p>
      <w:pPr>
        <w:pStyle w:val="2"/>
        <w:jc w:val="center"/>
      </w:pPr>
      <w:r>
        <w:rPr>
          <w:sz w:val="20"/>
        </w:rPr>
        <w:t xml:space="preserve">и среднего предпринимательства, связанных с уплатой первого</w:t>
      </w:r>
    </w:p>
    <w:p>
      <w:pPr>
        <w:pStyle w:val="2"/>
        <w:jc w:val="center"/>
      </w:pPr>
      <w:r>
        <w:rPr>
          <w:sz w:val="20"/>
        </w:rPr>
        <w:t xml:space="preserve">взноса (аванса) при заключении договора лизинга оборудования</w:t>
      </w:r>
    </w:p>
    <w:p>
      <w:pPr>
        <w:pStyle w:val="2"/>
        <w:jc w:val="center"/>
      </w:pPr>
      <w:r>
        <w:rPr>
          <w:sz w:val="20"/>
        </w:rPr>
        <w:t xml:space="preserve">в рамках реализации мероприятия 01.07 "Возмещение части</w:t>
      </w:r>
    </w:p>
    <w:p>
      <w:pPr>
        <w:pStyle w:val="2"/>
        <w:jc w:val="center"/>
      </w:pPr>
      <w:r>
        <w:rPr>
          <w:sz w:val="20"/>
        </w:rPr>
        <w:t xml:space="preserve">затрат субъектов малого и среднего предпринимательства,</w:t>
      </w:r>
    </w:p>
    <w:p>
      <w:pPr>
        <w:pStyle w:val="2"/>
        <w:jc w:val="center"/>
      </w:pPr>
      <w:r>
        <w:rPr>
          <w:sz w:val="20"/>
        </w:rPr>
        <w:t xml:space="preserve">связанных с уплатой первого взноса (аванса) при заключении</w:t>
      </w:r>
    </w:p>
    <w:p>
      <w:pPr>
        <w:pStyle w:val="2"/>
        <w:jc w:val="center"/>
      </w:pPr>
      <w:r>
        <w:rPr>
          <w:sz w:val="20"/>
        </w:rPr>
        <w:t xml:space="preserve">договора лизинга оборудования" Подпрограммы 3</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(введен </w:t>
      </w:r>
      <w:hyperlink w:history="0" r:id="rId742"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субсидий юридическим лицам (за исключением государственных (муниципальных) учреждений) и индивидуальным предпринимателям на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в рамках реализации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мероприятия 01.07</w:t>
        </w:r>
      </w:hyperlink>
      <w:r>
        <w:rPr>
          <w:sz w:val="20"/>
        </w:rPr>
        <w:t xml:space="preserve">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Подпрограммы 3 государственной программы (далее соответственно - Порядок, субсидия) разработан в соответствии со </w:t>
      </w:r>
      <w:hyperlink w:history="0" r:id="rId7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744"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порядок проведения отбора получателей субсидии;</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2. Субсидия предоставляется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на соответствующий финансовый год и на плановый период и в пределах утвержденных лимитов бюджетных обязательств, а также лимитов бюджетных обязательств на предоставление субсидий, доведенных до Мининвеста Московской области.</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возмещение затрат.</w:t>
      </w:r>
    </w:p>
    <w:p>
      <w:pPr>
        <w:pStyle w:val="0"/>
        <w:spacing w:before="200" w:line-rule="auto"/>
        <w:ind w:firstLine="540"/>
        <w:jc w:val="both"/>
      </w:pPr>
      <w:r>
        <w:rPr>
          <w:sz w:val="20"/>
        </w:rPr>
        <w:t xml:space="preserve">5. Целью предоставления субсидии является возмещение части затрат, связанных с уплатой первого взноса (аванса) при заключении договора лизинга оборудования, 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330.32.50 согласно Общероссийскому </w:t>
      </w:r>
      <w:hyperlink w:history="0" r:id="rId745" w:tooltip="&quot;ОК 013-2014 (СНС 2008). Общероссийский классификатор основных фондов&quot; (принят и введен в действие Приказом Росстандарта от 12.12.2014 N 2018-ст) (ред. от 02.05.2024) {КонсультантПлюс}">
        <w:r>
          <w:rPr>
            <w:sz w:val="20"/>
            <w:color w:val="0000ff"/>
          </w:rPr>
          <w:t xml:space="preserve">классификатору</w:t>
        </w:r>
      </w:hyperlink>
      <w:r>
        <w:rPr>
          <w:sz w:val="20"/>
        </w:rPr>
        <w:t xml:space="preserve">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bookmarkStart w:id="16569" w:name="P16569"/>
    <w:bookmarkEnd w:id="16569"/>
    <w:p>
      <w:pPr>
        <w:pStyle w:val="0"/>
        <w:spacing w:before="200" w:line-rule="auto"/>
        <w:ind w:firstLine="540"/>
        <w:jc w:val="both"/>
      </w:pPr>
      <w:r>
        <w:rPr>
          <w:sz w:val="20"/>
        </w:rPr>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4"/>
        <w:jc w:val="center"/>
      </w:pPr>
      <w:r>
        <w:rPr>
          <w:sz w:val="20"/>
        </w:rPr>
        <w:t xml:space="preserve">II. Порядок проведения отбора получателей субсидий</w:t>
      </w:r>
    </w:p>
    <w:p>
      <w:pPr>
        <w:pStyle w:val="0"/>
        <w:jc w:val="both"/>
      </w:pPr>
      <w:r>
        <w:rPr>
          <w:sz w:val="20"/>
        </w:rPr>
      </w:r>
    </w:p>
    <w:p>
      <w:pPr>
        <w:pStyle w:val="0"/>
        <w:ind w:firstLine="540"/>
        <w:jc w:val="both"/>
      </w:pPr>
      <w:r>
        <w:rPr>
          <w:sz w:val="20"/>
        </w:rPr>
        <w:t xml:space="preserve">7. Отбор получателей субсидий проводится в электронной форме в государственной информационной системе Московской области "Портал государственных и муниципальных услуг (функций) Московской области" (далее - Информационная система).</w:t>
      </w:r>
    </w:p>
    <w:p>
      <w:pPr>
        <w:pStyle w:val="0"/>
        <w:spacing w:before="200" w:line-rule="auto"/>
        <w:ind w:firstLine="540"/>
        <w:jc w:val="both"/>
      </w:pPr>
      <w:r>
        <w:rPr>
          <w:sz w:val="20"/>
        </w:rPr>
        <w:t xml:space="preserve">Обеспечение доступа к Информационной системе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Мининвеста Московской области и АНО "АИР" осуществляется с использованием документов в электронной форме в государственной информационной системе Московской области "Единая информационная система обеспечения выполнения государственных функций и предоставления государственных услуг в сферах аккредитации, лицензионной и разрешительной деятельности" (далее - ИС ЛОД).</w:t>
      </w:r>
    </w:p>
    <w:p>
      <w:pPr>
        <w:pStyle w:val="0"/>
        <w:spacing w:before="200" w:line-rule="auto"/>
        <w:ind w:firstLine="540"/>
        <w:jc w:val="both"/>
      </w:pPr>
      <w:r>
        <w:rPr>
          <w:sz w:val="20"/>
        </w:rPr>
        <w:t xml:space="preserve">8. Способ проведения отбора получателей субсидий - конкурс (далее - конкурс), проводимый Мининвестом Московской области с участием АНО "АИР".</w:t>
      </w:r>
    </w:p>
    <w:p>
      <w:pPr>
        <w:pStyle w:val="0"/>
        <w:spacing w:before="200" w:line-rule="auto"/>
        <w:ind w:firstLine="540"/>
        <w:jc w:val="both"/>
      </w:pPr>
      <w:r>
        <w:rPr>
          <w:sz w:val="20"/>
        </w:rPr>
        <w:t xml:space="preserve">Получатели субсидии определяются по результатам конкурса исходя из наилучших условий достижения результата предоставления субсидии.</w:t>
      </w:r>
    </w:p>
    <w:p>
      <w:pPr>
        <w:pStyle w:val="0"/>
        <w:spacing w:before="200" w:line-rule="auto"/>
        <w:ind w:firstLine="540"/>
        <w:jc w:val="both"/>
      </w:pPr>
      <w:r>
        <w:rPr>
          <w:sz w:val="20"/>
        </w:rPr>
        <w:t xml:space="preserve">Наилучшие условия достижения результата предоставления субсидии определяются исходя из критериев оценки заявок об участии в конкурсе, поданных участниками конкурса (далее - заявки).</w:t>
      </w:r>
    </w:p>
    <w:bookmarkStart w:id="16579" w:name="P16579"/>
    <w:bookmarkEnd w:id="16579"/>
    <w:p>
      <w:pPr>
        <w:pStyle w:val="0"/>
        <w:spacing w:before="200" w:line-rule="auto"/>
        <w:ind w:firstLine="540"/>
        <w:jc w:val="both"/>
      </w:pPr>
      <w:r>
        <w:rPr>
          <w:sz w:val="20"/>
        </w:rPr>
        <w:t xml:space="preserve">9. Категория получателей субсидии: юридические лица и индивидуальные предприниматели, являющиеся субъектами МСП в соответствии с Федеральным </w:t>
      </w:r>
      <w:hyperlink w:history="0" r:id="rId7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 и состоящие в реестре субъектов МСП, за исключением категории субъектов МСП, указанной в </w:t>
      </w:r>
      <w:hyperlink w:history="0" r:id="rId74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пункте 4 части 5 статьи 14</w:t>
        </w:r>
      </w:hyperlink>
      <w:r>
        <w:rPr>
          <w:sz w:val="20"/>
        </w:rPr>
        <w:t xml:space="preserve"> Федерального закона N 209-ФЗ, зарегистрированные и осуществляющие деятельность на территории Московской области.</w:t>
      </w:r>
    </w:p>
    <w:p>
      <w:pPr>
        <w:pStyle w:val="0"/>
        <w:spacing w:before="200" w:line-rule="auto"/>
        <w:ind w:firstLine="540"/>
        <w:jc w:val="both"/>
      </w:pPr>
      <w:hyperlink w:history="0" w:anchor="P16885" w:tooltip="КРИТЕРИИ ОЦЕНКИ ЗАЯВОК, ПОДАВАЕМЫХ УЧАСТНИКАМИ КОНКУРСА">
        <w:r>
          <w:rPr>
            <w:sz w:val="20"/>
            <w:color w:val="0000ff"/>
          </w:rPr>
          <w:t xml:space="preserve">Критерии</w:t>
        </w:r>
      </w:hyperlink>
      <w:r>
        <w:rPr>
          <w:sz w:val="20"/>
        </w:rPr>
        <w:t xml:space="preserve"> оценки заявок и их весовое значение в общей оценке установлены в таблице 1 к Порядку.</w:t>
      </w:r>
    </w:p>
    <w:p>
      <w:pPr>
        <w:pStyle w:val="0"/>
        <w:spacing w:before="200" w:line-rule="auto"/>
        <w:ind w:firstLine="540"/>
        <w:jc w:val="both"/>
      </w:pPr>
      <w:r>
        <w:rPr>
          <w:sz w:val="20"/>
        </w:rPr>
        <w:t xml:space="preserve">Сумма величин значимости всех применяемых критериев оценки составляет 100 процентов.</w:t>
      </w:r>
    </w:p>
    <w:p>
      <w:pPr>
        <w:pStyle w:val="0"/>
        <w:spacing w:before="200" w:line-rule="auto"/>
        <w:ind w:firstLine="540"/>
        <w:jc w:val="both"/>
      </w:pPr>
      <w:r>
        <w:rPr>
          <w:sz w:val="20"/>
        </w:rPr>
        <w:t xml:space="preserve">Начисление баллов по критериям оценки осуществляется с использованием 100-балльной шкалы оценки.</w:t>
      </w:r>
    </w:p>
    <w:p>
      <w:pPr>
        <w:pStyle w:val="0"/>
        <w:spacing w:before="200" w:line-rule="auto"/>
        <w:ind w:firstLine="540"/>
        <w:jc w:val="both"/>
      </w:pPr>
      <w:r>
        <w:rPr>
          <w:sz w:val="20"/>
        </w:rPr>
        <w:t xml:space="preserve">Шкалы оценки по критериям оценки имеют конкретные значения.</w:t>
      </w:r>
    </w:p>
    <w:p>
      <w:pPr>
        <w:pStyle w:val="0"/>
        <w:spacing w:before="200" w:line-rule="auto"/>
        <w:ind w:firstLine="540"/>
        <w:jc w:val="both"/>
      </w:pPr>
      <w:r>
        <w:rPr>
          <w:sz w:val="20"/>
        </w:rPr>
        <w:t xml:space="preserve">10. В целях проведения конкурса Мининвест Московской области издает приказ об объявлении приема заявок на получение субсидии, в котором устанавливается:</w:t>
      </w:r>
    </w:p>
    <w:p>
      <w:pPr>
        <w:pStyle w:val="0"/>
        <w:spacing w:before="200" w:line-rule="auto"/>
        <w:ind w:firstLine="540"/>
        <w:jc w:val="both"/>
      </w:pPr>
      <w:r>
        <w:rPr>
          <w:sz w:val="20"/>
        </w:rPr>
        <w:t xml:space="preserve">даты и время начала и окончания приема заявок;</w:t>
      </w:r>
    </w:p>
    <w:p>
      <w:pPr>
        <w:pStyle w:val="0"/>
        <w:spacing w:before="200" w:line-rule="auto"/>
        <w:ind w:firstLine="540"/>
        <w:jc w:val="both"/>
      </w:pPr>
      <w:r>
        <w:rPr>
          <w:sz w:val="20"/>
        </w:rPr>
        <w:t xml:space="preserve">размер бюджетных ассигнований, распределяемых в рамках конкурса;</w:t>
      </w:r>
    </w:p>
    <w:p>
      <w:pPr>
        <w:pStyle w:val="0"/>
        <w:spacing w:before="200" w:line-rule="auto"/>
        <w:ind w:firstLine="540"/>
        <w:jc w:val="both"/>
      </w:pPr>
      <w:r>
        <w:rPr>
          <w:sz w:val="20"/>
        </w:rPr>
        <w:t xml:space="preserve">период возмещения затрат.</w:t>
      </w:r>
    </w:p>
    <w:p>
      <w:pPr>
        <w:pStyle w:val="0"/>
        <w:spacing w:before="200" w:line-rule="auto"/>
        <w:ind w:firstLine="540"/>
        <w:jc w:val="both"/>
      </w:pPr>
      <w:r>
        <w:rPr>
          <w:sz w:val="20"/>
        </w:rPr>
        <w:t xml:space="preserve">11. В целях проведения конкурса Мининвестом Московской области формируется объявление о проведении конкурса на бумажном носителе, которое подписывается руководителем Мининвеста Московской области или уполномоченным им лицом. Объявление о проведении конкурса размещается в Информационной системе не ранее размещения информации о субсидии в соответствии с </w:t>
      </w:r>
      <w:hyperlink w:history="0" w:anchor="P16569" w:tooltip="6. Информация о субсидии размещается на едином портале бюджетной системы Российской Федерации в информационно-телекоммуникационной сети &quot;Интернет&quot; (далее - единый портал) (в разделе единого портала) в порядке, установленном Министерством финансов Российской Федерации.">
        <w:r>
          <w:rPr>
            <w:sz w:val="20"/>
            <w:color w:val="0000ff"/>
          </w:rPr>
          <w:t xml:space="preserve">пунктом 6</w:t>
        </w:r>
      </w:hyperlink>
      <w:r>
        <w:rPr>
          <w:sz w:val="20"/>
        </w:rPr>
        <w:t xml:space="preserve"> Порядка и не позднее 1 рабочего дня до наступления даты начала приема заявок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В объявлении о проведении конкурса указывается следующая информация:</w:t>
      </w:r>
    </w:p>
    <w:p>
      <w:pPr>
        <w:pStyle w:val="0"/>
        <w:spacing w:before="200" w:line-rule="auto"/>
        <w:ind w:firstLine="540"/>
        <w:jc w:val="both"/>
      </w:pPr>
      <w:r>
        <w:rPr>
          <w:sz w:val="20"/>
        </w:rPr>
        <w:t xml:space="preserve">1) сроки проведения конкурса;</w:t>
      </w:r>
    </w:p>
    <w:p>
      <w:pPr>
        <w:pStyle w:val="0"/>
        <w:spacing w:before="200" w:line-rule="auto"/>
        <w:ind w:firstLine="540"/>
        <w:jc w:val="both"/>
      </w:pPr>
      <w:r>
        <w:rPr>
          <w:sz w:val="20"/>
        </w:rPr>
        <w:t xml:space="preserve">2) даты начала и окончания приема заявок участников конкурса, при этом дата окончания приема заявок не может быть ранее 30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3) наименование, место нахождения, почтовый адрес, адрес электронной почты Мининвеста Московской области и АНО "АИР";</w:t>
      </w:r>
    </w:p>
    <w:p>
      <w:pPr>
        <w:pStyle w:val="0"/>
        <w:spacing w:before="200" w:line-rule="auto"/>
        <w:ind w:firstLine="540"/>
        <w:jc w:val="both"/>
      </w:pPr>
      <w:r>
        <w:rPr>
          <w:sz w:val="20"/>
        </w:rPr>
        <w:t xml:space="preserve">4) результат предоставления субсидии;</w:t>
      </w:r>
    </w:p>
    <w:p>
      <w:pPr>
        <w:pStyle w:val="0"/>
        <w:spacing w:before="200" w:line-rule="auto"/>
        <w:ind w:firstLine="540"/>
        <w:jc w:val="both"/>
      </w:pPr>
      <w:r>
        <w:rPr>
          <w:sz w:val="20"/>
        </w:rPr>
        <w:t xml:space="preserve">5) доменное имя и (или) указатель страниц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6) требования к участникам конкурса, которым участник конкурса должен соответствовать на дату, определенную Порядком, и перечню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7) категории получателей субсидий и критерии оценки;</w:t>
      </w:r>
    </w:p>
    <w:p>
      <w:pPr>
        <w:pStyle w:val="0"/>
        <w:spacing w:before="200" w:line-rule="auto"/>
        <w:ind w:firstLine="540"/>
        <w:jc w:val="both"/>
      </w:pPr>
      <w:r>
        <w:rPr>
          <w:sz w:val="20"/>
        </w:rPr>
        <w:t xml:space="preserve">8) порядок подачи заявок участниками конкурса и требования, предъявляемые к форме и содержанию заявок;</w:t>
      </w:r>
    </w:p>
    <w:p>
      <w:pPr>
        <w:pStyle w:val="0"/>
        <w:spacing w:before="200" w:line-rule="auto"/>
        <w:ind w:firstLine="540"/>
        <w:jc w:val="both"/>
      </w:pPr>
      <w:r>
        <w:rPr>
          <w:sz w:val="20"/>
        </w:rPr>
        <w:t xml:space="preserve">9)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10) правила рассмотрения заявок;</w:t>
      </w:r>
    </w:p>
    <w:p>
      <w:pPr>
        <w:pStyle w:val="0"/>
        <w:spacing w:before="200" w:line-rule="auto"/>
        <w:ind w:firstLine="540"/>
        <w:jc w:val="both"/>
      </w:pPr>
      <w:r>
        <w:rPr>
          <w:sz w:val="20"/>
        </w:rPr>
        <w:t xml:space="preserve">11) порядок возврата заявок на доработку;</w:t>
      </w:r>
    </w:p>
    <w:p>
      <w:pPr>
        <w:pStyle w:val="0"/>
        <w:spacing w:before="200" w:line-rule="auto"/>
        <w:ind w:firstLine="540"/>
        <w:jc w:val="both"/>
      </w:pPr>
      <w:r>
        <w:rPr>
          <w:sz w:val="20"/>
        </w:rPr>
        <w:t xml:space="preserve">12)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13) порядок оценки заявок, включающий критерии оценки и их весовое значение в общей оценке, необходимую для представления участником конкурса информацию по каждому критерию оценки, сведения, документы и материалы, подтверждающие такую информацию, сроки оценки заявок, информация о неучастии комиссии и экспертов (экспертных организаций) в оценке заявок;</w:t>
      </w:r>
    </w:p>
    <w:p>
      <w:pPr>
        <w:pStyle w:val="0"/>
        <w:spacing w:before="200" w:line-rule="auto"/>
        <w:ind w:firstLine="540"/>
        <w:jc w:val="both"/>
      </w:pPr>
      <w:r>
        <w:rPr>
          <w:sz w:val="20"/>
        </w:rPr>
        <w:t xml:space="preserve">14) объем распределяемой субсидии в рамках конкурса, порядок расчета размера субсидии, установленный Порядком, правила распределения субсидии по результатам конкурса, которые в том числе включают максимальный размер субсидии, предоставляемой победителю конкурса;</w:t>
      </w:r>
    </w:p>
    <w:p>
      <w:pPr>
        <w:pStyle w:val="0"/>
        <w:spacing w:before="200" w:line-rule="auto"/>
        <w:ind w:firstLine="540"/>
        <w:jc w:val="both"/>
      </w:pPr>
      <w:r>
        <w:rPr>
          <w:sz w:val="20"/>
        </w:rPr>
        <w:t xml:space="preserve">15) порядок представления участникам конкурса разъяснений положений объявления о проведении конкурса, даты начала и окончания срока такого представления;</w:t>
      </w:r>
    </w:p>
    <w:p>
      <w:pPr>
        <w:pStyle w:val="0"/>
        <w:spacing w:before="200" w:line-rule="auto"/>
        <w:ind w:firstLine="540"/>
        <w:jc w:val="both"/>
      </w:pPr>
      <w:r>
        <w:rPr>
          <w:sz w:val="20"/>
        </w:rPr>
        <w:t xml:space="preserve">16) срок, в течение которого победитель конкурса должен подписать соглашение о предоставлении субсидии, заключаемое с Мининвестом Московской области (далее - Соглашение);</w:t>
      </w:r>
    </w:p>
    <w:p>
      <w:pPr>
        <w:pStyle w:val="0"/>
        <w:spacing w:before="200" w:line-rule="auto"/>
        <w:ind w:firstLine="540"/>
        <w:jc w:val="both"/>
      </w:pPr>
      <w:r>
        <w:rPr>
          <w:sz w:val="20"/>
        </w:rPr>
        <w:t xml:space="preserve">17) 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конкурса (документа об итогах проведения конкурса) в Информационной системе и на официальном сайте Мининвеста Московской области (</w:t>
      </w:r>
      <w:hyperlink w:history="0" r:id="rId748">
        <w:r>
          <w:rPr>
            <w:sz w:val="20"/>
            <w:color w:val="0000ff"/>
          </w:rPr>
          <w:t xml:space="preserve">https://mii.mosreg.ru</w:t>
        </w:r>
      </w:hyperlink>
      <w:r>
        <w:rPr>
          <w:sz w:val="20"/>
        </w:rPr>
        <w:t xml:space="preserve">) с размещением указателя страницы сайта на едином портале, которые не могут быть позднее 14 календарного дня, следующего за днем определения победителя конкурса.</w:t>
      </w:r>
    </w:p>
    <w:bookmarkStart w:id="16608" w:name="P16608"/>
    <w:bookmarkEnd w:id="16608"/>
    <w:p>
      <w:pPr>
        <w:pStyle w:val="0"/>
        <w:spacing w:before="200" w:line-rule="auto"/>
        <w:ind w:firstLine="540"/>
        <w:jc w:val="both"/>
      </w:pPr>
      <w:r>
        <w:rPr>
          <w:sz w:val="20"/>
        </w:rPr>
        <w:t xml:space="preserve">12. Требования к участникам конкурса, которым они должны соответствовать на даты подачи заявки и заключения Соглашения:</w:t>
      </w:r>
    </w:p>
    <w:p>
      <w:pPr>
        <w:pStyle w:val="0"/>
        <w:spacing w:before="200" w:line-rule="auto"/>
        <w:ind w:firstLine="540"/>
        <w:jc w:val="both"/>
      </w:pPr>
      <w:r>
        <w:rPr>
          <w:sz w:val="20"/>
        </w:rPr>
        <w:t xml:space="preserve">1)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конкурса не находится в составляемых в рамках реализации полномочий, предусмотренных </w:t>
      </w:r>
      <w:hyperlink w:history="0" r:id="rId74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конкурса не получает средства из бюджета Московской области на основании иных нормативных правовых актов Московской области на цель, установленную Порядком;</w:t>
      </w:r>
    </w:p>
    <w:p>
      <w:pPr>
        <w:pStyle w:val="0"/>
        <w:spacing w:before="200" w:line-rule="auto"/>
        <w:ind w:firstLine="540"/>
        <w:jc w:val="both"/>
      </w:pPr>
      <w:r>
        <w:rPr>
          <w:sz w:val="20"/>
        </w:rPr>
        <w:t xml:space="preserve">5) участник конкурса не является иностранным агентом в соответствии с Федеральным </w:t>
      </w:r>
      <w:hyperlink w:history="0" r:id="rId750"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конкурса на едином налоговом счете отсутствует или не превышает размер, определенный </w:t>
      </w:r>
      <w:hyperlink w:history="0" r:id="rId751"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конкурса отсутствует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p>
      <w:pPr>
        <w:pStyle w:val="0"/>
        <w:spacing w:before="200" w:line-rule="auto"/>
        <w:ind w:firstLine="540"/>
        <w:jc w:val="both"/>
      </w:pPr>
      <w:r>
        <w:rPr>
          <w:sz w:val="20"/>
        </w:rPr>
        <w:t xml:space="preserve">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являющемся участником конкурса;</w:t>
      </w:r>
    </w:p>
    <w:p>
      <w:pPr>
        <w:pStyle w:val="0"/>
        <w:spacing w:before="200" w:line-rule="auto"/>
        <w:ind w:firstLine="540"/>
        <w:jc w:val="both"/>
      </w:pPr>
      <w:r>
        <w:rPr>
          <w:sz w:val="20"/>
        </w:rPr>
        <w:t xml:space="preserve">10) участник конкурса соответствует категории получателей субсидий, установленной </w:t>
      </w:r>
      <w:hyperlink w:history="0" w:anchor="P16579"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11) участник конкурса осуществляет деятельность в сфере производства товаров (работ, услуг) по видам деятельности в соответствии с разделами "A", "B", "C", "D", "E", "F", "H", "I", "J", "P", "Q", "R", классами 71, 75, 95, 96 </w:t>
      </w:r>
      <w:hyperlink w:history="0" r:id="rId75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 за исключением производства и (или) реализации подакцизных товаров, а также добычи и (или) реализации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pPr>
        <w:pStyle w:val="0"/>
        <w:spacing w:before="200" w:line-rule="auto"/>
        <w:ind w:firstLine="540"/>
        <w:jc w:val="both"/>
      </w:pPr>
      <w:r>
        <w:rPr>
          <w:sz w:val="20"/>
        </w:rPr>
        <w:t xml:space="preserve">12) участник конкурса достиг значений результатов предоставления субсидии по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мероприятию 01.01</w:t>
        </w:r>
      </w:hyperlink>
      <w:r>
        <w:rPr>
          <w:sz w:val="20"/>
        </w:rPr>
        <w:t xml:space="preserve">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Подпрограммы 3 государственной программы (далее - мероприятие 01.01) (в случае, если участник конкурса являлся получателем субсидии в году, предшествующем году проведения конкурса);</w:t>
      </w:r>
    </w:p>
    <w:bookmarkStart w:id="16621" w:name="P16621"/>
    <w:bookmarkEnd w:id="16621"/>
    <w:p>
      <w:pPr>
        <w:pStyle w:val="0"/>
        <w:spacing w:before="200" w:line-rule="auto"/>
        <w:ind w:firstLine="540"/>
        <w:jc w:val="both"/>
      </w:pPr>
      <w:r>
        <w:rPr>
          <w:sz w:val="20"/>
        </w:rPr>
        <w:t xml:space="preserve">13) наличие обязательства участника конкурса о представлении документов, в соответствии с </w:t>
      </w:r>
      <w:hyperlink w:history="0" w:anchor="P16982" w:tooltip="ПЕРЕЧЕНЬ ДОКУМЕНТОВ, ПРЕДСТАВЛЯЕМЫХ УЧАСТНИКАМИ КОНКУРСА">
        <w:r>
          <w:rPr>
            <w:sz w:val="20"/>
            <w:color w:val="0000ff"/>
          </w:rPr>
          <w:t xml:space="preserve">таблицей 3</w:t>
        </w:r>
      </w:hyperlink>
      <w:r>
        <w:rPr>
          <w:sz w:val="20"/>
        </w:rPr>
        <w:t xml:space="preserve"> к Порядку, подтверждающих произведенные затраты по уплате первого взноса (аванса) по договору лизинга в размере 100 процентов и произведение приемки указанного Оборудования по договорам лизинга;</w:t>
      </w:r>
    </w:p>
    <w:p>
      <w:pPr>
        <w:pStyle w:val="0"/>
        <w:spacing w:before="200" w:line-rule="auto"/>
        <w:ind w:firstLine="540"/>
        <w:jc w:val="both"/>
      </w:pPr>
      <w:r>
        <w:rPr>
          <w:sz w:val="20"/>
        </w:rPr>
        <w:t xml:space="preserve">14) участник конкурса представил документы согласно </w:t>
      </w:r>
      <w:hyperlink w:history="0" w:anchor="P16956"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13. Представление в Мининвест Московской области заявки и документов, подтверждающих соответствие участников конкурса требованиям, установленным Порядком, а также сведений, документов и материалов, подтверждающих информацию по критериям оценки, осуществляется с использованием Информационной системы путем заполнения соответствующих экранных форм веб-интерфейса и представления в Информационную систему электронных документов, а также копий документов (документов на бумажном носителе, преобразованных в электронную форму путем сканирования) в срок, установленный в объявлении о проведении конкурса для подачи заявки.</w:t>
      </w:r>
    </w:p>
    <w:p>
      <w:pPr>
        <w:pStyle w:val="0"/>
        <w:spacing w:before="200" w:line-rule="auto"/>
        <w:ind w:firstLine="540"/>
        <w:jc w:val="both"/>
      </w:pPr>
      <w:r>
        <w:rPr>
          <w:sz w:val="20"/>
        </w:rPr>
        <w:t xml:space="preserve">Участник конкурса представляет в Министерство документы, подтверждающие соответствие участника конкурса требованиям, установленным Порядком, а также сведения, документы и материалы, подтверждающие информацию по критериям оценки, в соответствии с </w:t>
      </w:r>
      <w:hyperlink w:history="0" w:anchor="P16956" w:tooltip="ПЕРЕЧЕНЬ ДОКУМЕНТОВ, ПРЕДСТАВЛЯЕМЫХ УЧАСТНИКАМИ КОНКУРСА">
        <w:r>
          <w:rPr>
            <w:sz w:val="20"/>
            <w:color w:val="0000ff"/>
          </w:rPr>
          <w:t xml:space="preserve">таблицей 2</w:t>
        </w:r>
      </w:hyperlink>
      <w:r>
        <w:rPr>
          <w:sz w:val="20"/>
        </w:rPr>
        <w:t xml:space="preserve"> к Порядку.</w:t>
      </w:r>
    </w:p>
    <w:bookmarkStart w:id="16625" w:name="P16625"/>
    <w:bookmarkEnd w:id="16625"/>
    <w:p>
      <w:pPr>
        <w:pStyle w:val="0"/>
        <w:spacing w:before="200" w:line-rule="auto"/>
        <w:ind w:firstLine="540"/>
        <w:jc w:val="both"/>
      </w:pPr>
      <w:r>
        <w:rPr>
          <w:sz w:val="20"/>
        </w:rPr>
        <w:t xml:space="preserve">14. Требования, предъявляемые к форме и содержанию заявок, представляемых участниками конкурса:</w:t>
      </w:r>
    </w:p>
    <w:p>
      <w:pPr>
        <w:pStyle w:val="0"/>
        <w:spacing w:before="200" w:line-rule="auto"/>
        <w:ind w:firstLine="540"/>
        <w:jc w:val="both"/>
      </w:pPr>
      <w:r>
        <w:rPr>
          <w:sz w:val="20"/>
        </w:rPr>
        <w:t xml:space="preserve">1) заявка подается в соответствии с требованиями и в сроки, указанные в объявлении о проведении конкурса, и формируется участниками конкурса в электронной форме посредством заполнения соответствующих экранных форм веб-интерфейса Информационной системы;</w:t>
      </w:r>
    </w:p>
    <w:p>
      <w:pPr>
        <w:pStyle w:val="0"/>
        <w:spacing w:before="200" w:line-rule="auto"/>
        <w:ind w:firstLine="540"/>
        <w:jc w:val="both"/>
      </w:pPr>
      <w:r>
        <w:rPr>
          <w:sz w:val="20"/>
        </w:rPr>
        <w:t xml:space="preserve">2) формируемая заявка должна содержать:</w:t>
      </w:r>
    </w:p>
    <w:p>
      <w:pPr>
        <w:pStyle w:val="0"/>
        <w:spacing w:before="200" w:line-rule="auto"/>
        <w:ind w:firstLine="540"/>
        <w:jc w:val="both"/>
      </w:pPr>
      <w:r>
        <w:rPr>
          <w:sz w:val="20"/>
        </w:rPr>
        <w:t xml:space="preserve">информацию об участнике конкурса;</w:t>
      </w:r>
    </w:p>
    <w:p>
      <w:pPr>
        <w:pStyle w:val="0"/>
        <w:spacing w:before="200" w:line-rule="auto"/>
        <w:ind w:firstLine="540"/>
        <w:jc w:val="both"/>
      </w:pPr>
      <w:r>
        <w:rPr>
          <w:sz w:val="20"/>
        </w:rPr>
        <w:t xml:space="preserve">документы согласно </w:t>
      </w:r>
      <w:hyperlink w:history="0" w:anchor="P16956" w:tooltip="ПЕРЕЧЕНЬ ДОКУМЕНТОВ, ПРЕДСТАВЛЯЕМЫХ УЧАСТНИКАМИ КОНКУРСА">
        <w:r>
          <w:rPr>
            <w:sz w:val="20"/>
            <w:color w:val="0000ff"/>
          </w:rPr>
          <w:t xml:space="preserve">таблице 2</w:t>
        </w:r>
      </w:hyperlink>
      <w:r>
        <w:rPr>
          <w:sz w:val="20"/>
        </w:rPr>
        <w:t xml:space="preserve"> к Порядку (далее - документы);</w:t>
      </w:r>
    </w:p>
    <w:p>
      <w:pPr>
        <w:pStyle w:val="0"/>
        <w:spacing w:before="200" w:line-rule="auto"/>
        <w:ind w:firstLine="540"/>
        <w:jc w:val="both"/>
      </w:pPr>
      <w:r>
        <w:rPr>
          <w:sz w:val="20"/>
        </w:rPr>
        <w:t xml:space="preserve">предлагаемые участником конкурса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информацию по каждому критерию оценки;</w:t>
      </w:r>
    </w:p>
    <w:p>
      <w:pPr>
        <w:pStyle w:val="0"/>
        <w:spacing w:before="200" w:line-rule="auto"/>
        <w:ind w:firstLine="540"/>
        <w:jc w:val="both"/>
      </w:pPr>
      <w:r>
        <w:rPr>
          <w:sz w:val="20"/>
        </w:rPr>
        <w:t xml:space="preserve">обязательство, предусмотренное </w:t>
      </w:r>
      <w:hyperlink w:history="0" w:anchor="P16621" w:tooltip="13) наличие обязательства участника конкурса о представлении документов, в соответствии с таблицей 3 к Порядку, подтверждающих произведенные затраты по уплате первого взноса (аванса) по договору лизинга в размере 100 процентов и произведение приемки указанного Оборудования по договорам лизинга;">
        <w:r>
          <w:rPr>
            <w:sz w:val="20"/>
            <w:color w:val="0000ff"/>
          </w:rPr>
          <w:t xml:space="preserve">подпунктом 13 пункта 12</w:t>
        </w:r>
      </w:hyperlink>
      <w:r>
        <w:rPr>
          <w:sz w:val="20"/>
        </w:rPr>
        <w:t xml:space="preserve"> Порядка;</w:t>
      </w:r>
    </w:p>
    <w:p>
      <w:pPr>
        <w:pStyle w:val="0"/>
        <w:spacing w:before="200" w:line-rule="auto"/>
        <w:ind w:firstLine="540"/>
        <w:jc w:val="both"/>
      </w:pPr>
      <w:r>
        <w:rPr>
          <w:sz w:val="20"/>
        </w:rPr>
        <w:t xml:space="preserve">3) для представления заявки участник конкурса авторизуется в Информационной системе, заполняет интерактивные поля заявки, ставит отметку о согласии участника конкурса:</w:t>
      </w:r>
    </w:p>
    <w:p>
      <w:pPr>
        <w:pStyle w:val="0"/>
        <w:spacing w:before="200" w:line-rule="auto"/>
        <w:ind w:firstLine="540"/>
        <w:jc w:val="both"/>
      </w:pPr>
      <w:r>
        <w:rPr>
          <w:sz w:val="20"/>
        </w:rPr>
        <w:t xml:space="preserve">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pPr>
        <w:pStyle w:val="0"/>
        <w:spacing w:before="200" w:line-rule="auto"/>
        <w:ind w:firstLine="540"/>
        <w:jc w:val="both"/>
      </w:pPr>
      <w:r>
        <w:rPr>
          <w:sz w:val="20"/>
        </w:rPr>
        <w:t xml:space="preserve">на осуществление Мининвестом Московской области и АНО "АИР" проверок (обследований), документов и (или) сведений, представленных для получения субсидии, и запрос информации, уточняющей представленные в заявке сведения;</w:t>
      </w:r>
    </w:p>
    <w:p>
      <w:pPr>
        <w:pStyle w:val="0"/>
        <w:spacing w:before="200" w:line-rule="auto"/>
        <w:ind w:firstLine="540"/>
        <w:jc w:val="both"/>
      </w:pPr>
      <w:r>
        <w:rPr>
          <w:sz w:val="20"/>
        </w:rPr>
        <w:t xml:space="preserve">на уменьшение размера субсидии при недостаточности бюджетных ассигнований для предоставления субсидии в подтвержденном объеме, в соответствии с </w:t>
      </w:r>
      <w:hyperlink w:history="0" w:anchor="P16799" w:tooltip="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
        <w:r>
          <w:rPr>
            <w:sz w:val="20"/>
            <w:color w:val="0000ff"/>
          </w:rPr>
          <w:t xml:space="preserve">пунктом 44</w:t>
        </w:r>
      </w:hyperlink>
      <w:r>
        <w:rPr>
          <w:sz w:val="20"/>
        </w:rPr>
        <w:t xml:space="preserve"> Порядка;</w:t>
      </w:r>
    </w:p>
    <w:p>
      <w:pPr>
        <w:pStyle w:val="0"/>
        <w:spacing w:before="200" w:line-rule="auto"/>
        <w:ind w:firstLine="540"/>
        <w:jc w:val="both"/>
      </w:pPr>
      <w:r>
        <w:rPr>
          <w:sz w:val="20"/>
        </w:rPr>
        <w:t xml:space="preserve">4) заявка подписывается усиленной квалифицированной электронной подписью руководителя участника конкурса - юридического лица (уполномоченного им лица) или индивидуального предпринимателя;</w:t>
      </w:r>
    </w:p>
    <w:p>
      <w:pPr>
        <w:pStyle w:val="0"/>
        <w:spacing w:before="200" w:line-rule="auto"/>
        <w:ind w:firstLine="540"/>
        <w:jc w:val="both"/>
      </w:pPr>
      <w:r>
        <w:rPr>
          <w:sz w:val="20"/>
        </w:rPr>
        <w:t xml:space="preserve">5) в случае если от имени участника конкурса действует иное лицо, заявка должна содержать доверенность представителя на осуществление действий от имени участника конкурса, соответствующую требованиям, предъявляемым законодательством Российской Федерации к такой доверенности;</w:t>
      </w:r>
    </w:p>
    <w:p>
      <w:pPr>
        <w:pStyle w:val="0"/>
        <w:spacing w:before="200" w:line-rule="auto"/>
        <w:ind w:firstLine="540"/>
        <w:jc w:val="both"/>
      </w:pPr>
      <w:r>
        <w:rPr>
          <w:sz w:val="20"/>
        </w:rPr>
        <w:t xml:space="preserve">6) доверенность представителя участника конкурса - юридического лица должна быть подписана руководителем участника конкурса или иным уполномоченным лицом и заверена печатью участника конкурса (при наличии);</w:t>
      </w:r>
    </w:p>
    <w:p>
      <w:pPr>
        <w:pStyle w:val="0"/>
        <w:spacing w:before="200" w:line-rule="auto"/>
        <w:ind w:firstLine="540"/>
        <w:jc w:val="both"/>
      </w:pPr>
      <w:r>
        <w:rPr>
          <w:sz w:val="20"/>
        </w:rPr>
        <w:t xml:space="preserve">7) требования к документам и материалам, включаемым в заявку, согласно </w:t>
      </w:r>
      <w:hyperlink w:history="0" w:anchor="P16956" w:tooltip="ПЕРЕЧЕНЬ ДОКУМЕНТОВ, ПРЕДСТАВЛЯЕМЫХ УЧАСТНИКАМИ КОНКУРСА">
        <w:r>
          <w:rPr>
            <w:sz w:val="20"/>
            <w:color w:val="0000ff"/>
          </w:rPr>
          <w:t xml:space="preserve">таблицам 2</w:t>
        </w:r>
      </w:hyperlink>
      <w:r>
        <w:rPr>
          <w:sz w:val="20"/>
        </w:rPr>
        <w:t xml:space="preserve"> и </w:t>
      </w:r>
      <w:hyperlink w:history="0" w:anchor="P16982" w:tooltip="ПЕРЕЧЕНЬ ДОКУМЕНТОВ, ПРЕДСТАВЛЯЕМЫХ УЧАСТНИКАМИ КОНКУРСА">
        <w:r>
          <w:rPr>
            <w:sz w:val="20"/>
            <w:color w:val="0000ff"/>
          </w:rPr>
          <w:t xml:space="preserve">3</w:t>
        </w:r>
      </w:hyperlink>
      <w:r>
        <w:rPr>
          <w:sz w:val="20"/>
        </w:rPr>
        <w:t xml:space="preserve"> к Порядку:</w:t>
      </w:r>
    </w:p>
    <w:p>
      <w:pPr>
        <w:pStyle w:val="0"/>
        <w:spacing w:before="200" w:line-rule="auto"/>
        <w:ind w:firstLine="540"/>
        <w:jc w:val="both"/>
      </w:pPr>
      <w:r>
        <w:rPr>
          <w:sz w:val="20"/>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или технологических средств (для документов с текстовым содержанием, в том числе включающих формулы и (или) графические изображения, а также документов с графическим содержанием - в форматах pdf, jpg, jpeg);</w:t>
      </w:r>
    </w:p>
    <w:p>
      <w:pPr>
        <w:pStyle w:val="0"/>
        <w:spacing w:before="200" w:line-rule="auto"/>
        <w:ind w:firstLine="540"/>
        <w:jc w:val="both"/>
      </w:pPr>
      <w:r>
        <w:rPr>
          <w:sz w:val="20"/>
        </w:rPr>
        <w:t xml:space="preserve">представленные электронные образы документов (электронных документов) позволяют в полном объеме прочитать текст документа и (или) распознать реквизиты документа;</w:t>
      </w:r>
    </w:p>
    <w:p>
      <w:pPr>
        <w:pStyle w:val="0"/>
        <w:spacing w:before="200" w:line-rule="auto"/>
        <w:ind w:firstLine="540"/>
        <w:jc w:val="both"/>
      </w:pPr>
      <w:r>
        <w:rPr>
          <w:sz w:val="20"/>
        </w:rPr>
        <w:t xml:space="preserve">все исправления в документах должны быть заверены подписью руководителя заявителя или уполномоченного им лица и печатью (при наличии печати);</w:t>
      </w:r>
    </w:p>
    <w:p>
      <w:pPr>
        <w:pStyle w:val="0"/>
        <w:spacing w:before="200" w:line-rule="auto"/>
        <w:ind w:firstLine="540"/>
        <w:jc w:val="both"/>
      </w:pPr>
      <w:r>
        <w:rPr>
          <w:sz w:val="20"/>
        </w:rPr>
        <w:t xml:space="preserve">электронные образы документов должны быть подписаны усиленной квалифицированной ЭП руководителя или уполномоченного им лица;</w:t>
      </w:r>
    </w:p>
    <w:p>
      <w:pPr>
        <w:pStyle w:val="0"/>
        <w:spacing w:before="200" w:line-rule="auto"/>
        <w:ind w:firstLine="540"/>
        <w:jc w:val="both"/>
      </w:pPr>
      <w:r>
        <w:rPr>
          <w:sz w:val="20"/>
        </w:rPr>
        <w:t xml:space="preserve">формирование электронного документа путем сканирования непосредственно с оригинала документа, которое осуществляется с сохранением ориентации оригинала документа в разрешении 300-500 dpi (масштаб 1:1) с сохранением всех аутентичных признаков подлинности, а именно: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8) ответственность за полноту и достоверность информации, представленной в заявке и прилагаемых к ней документах, несет участник конкурса в соответствии с законодательством Российской Федерации;</w:t>
      </w:r>
    </w:p>
    <w:p>
      <w:pPr>
        <w:pStyle w:val="0"/>
        <w:spacing w:before="200" w:line-rule="auto"/>
        <w:ind w:firstLine="540"/>
        <w:jc w:val="both"/>
      </w:pPr>
      <w:r>
        <w:rPr>
          <w:sz w:val="20"/>
        </w:rPr>
        <w:t xml:space="preserve">9) датой и временем представления участником конкурса заявки считается дата и время подписания участником конкурса указанной заявки с присвоением ей регистрационного номера в Информационной системе.</w:t>
      </w:r>
    </w:p>
    <w:p>
      <w:pPr>
        <w:pStyle w:val="0"/>
        <w:spacing w:before="200" w:line-rule="auto"/>
        <w:ind w:firstLine="540"/>
        <w:jc w:val="both"/>
      </w:pPr>
      <w:r>
        <w:rPr>
          <w:sz w:val="20"/>
        </w:rPr>
        <w:t xml:space="preserve">В рамках одного конкурса участником конкурса может быть подана одна заявка.</w:t>
      </w:r>
    </w:p>
    <w:p>
      <w:pPr>
        <w:pStyle w:val="0"/>
        <w:spacing w:before="200" w:line-rule="auto"/>
        <w:ind w:firstLine="540"/>
        <w:jc w:val="both"/>
      </w:pPr>
      <w:r>
        <w:rPr>
          <w:sz w:val="20"/>
        </w:rPr>
        <w:t xml:space="preserve">15. Участник конкурса вправе отозвать представленную заявку путем формирования участником конкурса уведомления об отзыве заявки в электронной форме в Информационной системе и направления такого уведомления в Мининвест Московской области.</w:t>
      </w:r>
    </w:p>
    <w:p>
      <w:pPr>
        <w:pStyle w:val="0"/>
        <w:spacing w:before="200" w:line-rule="auto"/>
        <w:ind w:firstLine="540"/>
        <w:jc w:val="both"/>
      </w:pPr>
      <w:r>
        <w:rPr>
          <w:sz w:val="20"/>
        </w:rPr>
        <w:t xml:space="preserve">Участник конкурса вправе в случае отзыва заявки повторно представить заявку в сроки, установленные объявлением о проведении конкурса, до окончания срока подачи заявок. При этом регистрация заявки будет осуществлена в порядке очередности в день повторного представления заявки на участие в конкурсе.</w:t>
      </w:r>
    </w:p>
    <w:p>
      <w:pPr>
        <w:pStyle w:val="0"/>
        <w:spacing w:before="200" w:line-rule="auto"/>
        <w:ind w:firstLine="540"/>
        <w:jc w:val="both"/>
      </w:pPr>
      <w:r>
        <w:rPr>
          <w:sz w:val="20"/>
        </w:rPr>
        <w:t xml:space="preserve">Внесение изменений в заявку осуществляется участником конкурса в порядке, аналогичном порядку формирования заявки участником конкурса, указанному в </w:t>
      </w:r>
      <w:hyperlink w:history="0" w:anchor="P16625" w:tooltip="14. Требования, предъявляемые к форме и содержанию заявок, представляемых участниками конкурса:">
        <w:r>
          <w:rPr>
            <w:sz w:val="20"/>
            <w:color w:val="0000ff"/>
          </w:rPr>
          <w:t xml:space="preserve">пункте 14</w:t>
        </w:r>
      </w:hyperlink>
      <w:r>
        <w:rPr>
          <w:sz w:val="20"/>
        </w:rPr>
        <w:t xml:space="preserve"> Порядка, до окончания срока подачи заявок.</w:t>
      </w:r>
    </w:p>
    <w:p>
      <w:pPr>
        <w:pStyle w:val="0"/>
        <w:spacing w:before="200" w:line-rule="auto"/>
        <w:ind w:firstLine="540"/>
        <w:jc w:val="both"/>
      </w:pPr>
      <w:r>
        <w:rPr>
          <w:sz w:val="20"/>
        </w:rPr>
        <w:t xml:space="preserve">16. В рамках проведения Конкурса АНО "АИР" осуществляет следующие полномочия, за исключением полномочий по размещению объявления о проведении конкурса и утверждению протокола подведения итогов конкурса:</w:t>
      </w:r>
    </w:p>
    <w:p>
      <w:pPr>
        <w:pStyle w:val="0"/>
        <w:spacing w:before="200" w:line-rule="auto"/>
        <w:ind w:firstLine="540"/>
        <w:jc w:val="both"/>
      </w:pPr>
      <w:r>
        <w:rPr>
          <w:sz w:val="20"/>
        </w:rPr>
        <w:t xml:space="preserve">рассмотрение заявки на соответствие требованиям, установленным </w:t>
      </w:r>
      <w:hyperlink w:history="0" w:anchor="P16625" w:tooltip="14. Требования, предъявляемые к форме и содержанию заявок, представляемых участниками конкурса:">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проверка соответствия участника конкурса категории получателей субсидии, установленной </w:t>
      </w:r>
      <w:hyperlink w:history="0" w:anchor="P16579" w:tooltip="9. Категория получателей субсидии: юридические лица и индивидуальные предприниматели, являющиеся субъектами МСП в соответствии с Федеральным законом N 209-ФЗ и состоящие в реестре субъектов МСП, за исключением категории субъектов МСП, указанной в пункте 4 части 5 статьи 14 Федерального закона N 209-ФЗ, зарегистрированные и осуществляющие деятельность на территории Московской области.">
        <w:r>
          <w:rPr>
            <w:sz w:val="20"/>
            <w:color w:val="0000ff"/>
          </w:rPr>
          <w:t xml:space="preserve">пунктом 9</w:t>
        </w:r>
      </w:hyperlink>
      <w:r>
        <w:rPr>
          <w:sz w:val="20"/>
        </w:rPr>
        <w:t xml:space="preserve"> Порядка, и требованиям, установленным в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проверка достоверности сведений, содержащихся в заявке участника конкурса, в соответствии с </w:t>
      </w:r>
      <w:hyperlink w:history="0" w:anchor="P16682" w:tooltip="19. Доступ Мининвесту Московской области и АНО &quot;АИР&quot; к поданным участниками конкурса заявкам в Информационной системе для их рассмотрения и оценки открывается в день регистрации заявок.">
        <w:r>
          <w:rPr>
            <w:sz w:val="20"/>
            <w:color w:val="0000ff"/>
          </w:rPr>
          <w:t xml:space="preserve">пунктом 19</w:t>
        </w:r>
      </w:hyperlink>
      <w:r>
        <w:rPr>
          <w:sz w:val="20"/>
        </w:rPr>
        <w:t xml:space="preserve"> Порядка;</w:t>
      </w:r>
    </w:p>
    <w:p>
      <w:pPr>
        <w:pStyle w:val="0"/>
        <w:spacing w:before="200" w:line-rule="auto"/>
        <w:ind w:firstLine="540"/>
        <w:jc w:val="both"/>
      </w:pPr>
      <w:r>
        <w:rPr>
          <w:sz w:val="20"/>
        </w:rPr>
        <w:t xml:space="preserve">составление заключений в соответствии с </w:t>
      </w:r>
      <w:hyperlink w:history="0" w:anchor="P16709" w:tooltip="22. По результатам рассмотрения заявки АНО &quot;АИР&quot; составляет одно из следующих заключений по форме, установленной Мининвестом (далее - Заключение &quot;АНО &quot;АИР&quot;):">
        <w:r>
          <w:rPr>
            <w:sz w:val="20"/>
            <w:color w:val="0000ff"/>
          </w:rPr>
          <w:t xml:space="preserve">пунктами 22</w:t>
        </w:r>
      </w:hyperlink>
      <w:r>
        <w:rPr>
          <w:sz w:val="20"/>
        </w:rPr>
        <w:t xml:space="preserve">, </w:t>
      </w:r>
      <w:hyperlink w:history="0" w:anchor="P16739" w:tooltip="30. В течение 20 рабочих дней со дня окончания срока, указанного в уведомлениях, указанных в пункте 29 Порядка, АНО &quot;АИР&quot; рассматривает документы на Оборудование, на соответствие затрат, произведенных участником конкурса, цели предоставления субсидии и направлениям затрат, установленным пунктом 38 Порядка, а также проверяет полноту, комплектность и соответствие установленным требованиям документов на Оборудование согласно таблице 3 к Порядку.">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направление уведомлений участникам конкурса в соответствии с </w:t>
      </w:r>
      <w:hyperlink w:history="0" w:anchor="P16733" w:tooltip="28. АНО &quot;АИР&quot; осуществляет оценку заявок в срок не более 20 рабочих дней со дня принятия Мининвестом Московской области решения в соответствии с подпунктом 2 пункта 27 Порядка на основании критериев оценки заявок в соответствии с их весовым значением в общей оценке, предусмотренных таблицей 1 к Порядку.">
        <w:r>
          <w:rPr>
            <w:sz w:val="20"/>
            <w:color w:val="0000ff"/>
          </w:rPr>
          <w:t xml:space="preserve">пунктом 28</w:t>
        </w:r>
      </w:hyperlink>
      <w:r>
        <w:rPr>
          <w:sz w:val="20"/>
        </w:rPr>
        <w:t xml:space="preserve"> Порядка;</w:t>
      </w:r>
    </w:p>
    <w:p>
      <w:pPr>
        <w:pStyle w:val="0"/>
        <w:spacing w:before="200" w:line-rule="auto"/>
        <w:ind w:firstLine="540"/>
        <w:jc w:val="both"/>
      </w:pPr>
      <w:r>
        <w:rPr>
          <w:sz w:val="20"/>
        </w:rPr>
        <w:t xml:space="preserve">составление проекта рейтингового списка;</w:t>
      </w:r>
    </w:p>
    <w:p>
      <w:pPr>
        <w:pStyle w:val="0"/>
        <w:spacing w:before="200" w:line-rule="auto"/>
        <w:ind w:firstLine="540"/>
        <w:jc w:val="both"/>
      </w:pPr>
      <w:r>
        <w:rPr>
          <w:sz w:val="20"/>
        </w:rPr>
        <w:t xml:space="preserve">оценка заявок;</w:t>
      </w:r>
    </w:p>
    <w:p>
      <w:pPr>
        <w:pStyle w:val="0"/>
        <w:spacing w:before="200" w:line-rule="auto"/>
        <w:ind w:firstLine="540"/>
        <w:jc w:val="both"/>
      </w:pPr>
      <w:r>
        <w:rPr>
          <w:sz w:val="20"/>
        </w:rPr>
        <w:t xml:space="preserve">рассмотрение документов согласно </w:t>
      </w:r>
      <w:hyperlink w:history="0" w:anchor="P16982" w:tooltip="ПЕРЕЧЕНЬ ДОКУМЕНТОВ, ПРЕДСТАВЛЯЕМЫХ УЧАСТНИКАМИ КОНКУРСА">
        <w:r>
          <w:rPr>
            <w:sz w:val="20"/>
            <w:color w:val="0000ff"/>
          </w:rPr>
          <w:t xml:space="preserve">таблице 3</w:t>
        </w:r>
      </w:hyperlink>
      <w:r>
        <w:rPr>
          <w:sz w:val="20"/>
        </w:rPr>
        <w:t xml:space="preserve"> к Порядку (далее - документы на Оборудование) и документов согласно </w:t>
      </w:r>
      <w:hyperlink w:history="0" w:anchor="P16956" w:tooltip="ПЕРЕЧЕНЬ ДОКУМЕНТОВ, ПРЕДСТАВЛЯЕМЫХ УЧАСТНИКАМИ КОНКУРСА">
        <w:r>
          <w:rPr>
            <w:sz w:val="20"/>
            <w:color w:val="0000ff"/>
          </w:rPr>
          <w:t xml:space="preserve">таблице 2</w:t>
        </w:r>
      </w:hyperlink>
      <w:r>
        <w:rPr>
          <w:sz w:val="20"/>
        </w:rPr>
        <w:t xml:space="preserve"> к Порядку;</w:t>
      </w:r>
    </w:p>
    <w:p>
      <w:pPr>
        <w:pStyle w:val="0"/>
        <w:spacing w:before="200" w:line-rule="auto"/>
        <w:ind w:firstLine="540"/>
        <w:jc w:val="both"/>
      </w:pPr>
      <w:r>
        <w:rPr>
          <w:sz w:val="20"/>
        </w:rPr>
        <w:t xml:space="preserve">осуществление запроса у участника конкурса разъяснения в отношении представленных им документов и информации;</w:t>
      </w:r>
    </w:p>
    <w:p>
      <w:pPr>
        <w:pStyle w:val="0"/>
        <w:spacing w:before="200" w:line-rule="auto"/>
        <w:ind w:firstLine="540"/>
        <w:jc w:val="both"/>
      </w:pPr>
      <w:r>
        <w:rPr>
          <w:sz w:val="20"/>
        </w:rPr>
        <w:t xml:space="preserve">возврат заявок на доработку;</w:t>
      </w:r>
    </w:p>
    <w:p>
      <w:pPr>
        <w:pStyle w:val="0"/>
        <w:spacing w:before="200" w:line-rule="auto"/>
        <w:ind w:firstLine="540"/>
        <w:jc w:val="both"/>
      </w:pPr>
      <w:r>
        <w:rPr>
          <w:sz w:val="20"/>
        </w:rPr>
        <w:t xml:space="preserve">разъяснение положений объявления о проведении конкурса при поступлении соответствующих запросов от участников конкурса в соответствии с </w:t>
      </w:r>
      <w:hyperlink w:history="0" w:anchor="P16767"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пунктом 37</w:t>
        </w:r>
      </w:hyperlink>
      <w:r>
        <w:rPr>
          <w:sz w:val="20"/>
        </w:rPr>
        <w:t xml:space="preserve"> Порядка;</w:t>
      </w:r>
    </w:p>
    <w:p>
      <w:pPr>
        <w:pStyle w:val="0"/>
        <w:spacing w:before="200" w:line-rule="auto"/>
        <w:ind w:firstLine="540"/>
        <w:jc w:val="both"/>
      </w:pPr>
      <w:r>
        <w:rPr>
          <w:sz w:val="20"/>
        </w:rPr>
        <w:t xml:space="preserve">запрос сведений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запрос в государственные и муниципальные органы, касающийся сведений и данных, указанных в заявке.</w:t>
      </w:r>
    </w:p>
    <w:p>
      <w:pPr>
        <w:pStyle w:val="0"/>
        <w:spacing w:before="200" w:line-rule="auto"/>
        <w:ind w:firstLine="540"/>
        <w:jc w:val="both"/>
      </w:pPr>
      <w:r>
        <w:rPr>
          <w:sz w:val="20"/>
        </w:rPr>
        <w:t xml:space="preserve">АНО "АИР" несет ответственность за качество рассмотрения и оценки заявок участников конкурса, проверку сведений в заявках на достоверность и рассмотрение документов.</w:t>
      </w:r>
    </w:p>
    <w:p>
      <w:pPr>
        <w:pStyle w:val="0"/>
        <w:spacing w:before="200" w:line-rule="auto"/>
        <w:ind w:firstLine="540"/>
        <w:jc w:val="both"/>
      </w:pPr>
      <w:r>
        <w:rPr>
          <w:sz w:val="20"/>
        </w:rPr>
        <w:t xml:space="preserve">17. Взаимодействие Мининвеста Московской области и АНО "АИР" с участниками конкурса осуществляется с использованием документов в электронной форме в Информационной системе.</w:t>
      </w:r>
    </w:p>
    <w:p>
      <w:pPr>
        <w:pStyle w:val="0"/>
        <w:spacing w:before="200" w:line-rule="auto"/>
        <w:ind w:firstLine="540"/>
        <w:jc w:val="both"/>
      </w:pPr>
      <w:r>
        <w:rPr>
          <w:sz w:val="20"/>
        </w:rPr>
        <w:t xml:space="preserve">18. При проведении конкурса предусмотрен возврат заявок на доработку по решению АНО "АИР". Решение о возврате принимается в равной мере ко всем участникам конкурса, если при рассмотрении заявок выявлены основания для их возврата на доработку. Решения о возврате заявок на доработку доводятся до участников конкурса в Информационной системе.</w:t>
      </w:r>
    </w:p>
    <w:p>
      <w:pPr>
        <w:pStyle w:val="0"/>
        <w:spacing w:before="200" w:line-rule="auto"/>
        <w:ind w:firstLine="540"/>
        <w:jc w:val="both"/>
      </w:pPr>
      <w:r>
        <w:rPr>
          <w:sz w:val="20"/>
        </w:rPr>
        <w:t xml:space="preserve">В случае принятия решения о возврате заявки на доработку АНО "АИР" направляет участнику конкурса уведомление о доработке заявки (далее - Уведомление о доработке), в электронном виде через личный кабинет посредством использования Информационной системы. Уведомление о доработке может быть направлено участнику конкурса в пределах установленного срока рассмотрения заявок.</w:t>
      </w:r>
    </w:p>
    <w:p>
      <w:pPr>
        <w:pStyle w:val="0"/>
        <w:spacing w:before="200" w:line-rule="auto"/>
        <w:ind w:firstLine="540"/>
        <w:jc w:val="both"/>
      </w:pPr>
      <w:r>
        <w:rPr>
          <w:sz w:val="20"/>
        </w:rPr>
        <w:t xml:space="preserve">Основаниями для возврата заявки на доработку являются:</w:t>
      </w:r>
    </w:p>
    <w:p>
      <w:pPr>
        <w:pStyle w:val="0"/>
        <w:spacing w:before="200" w:line-rule="auto"/>
        <w:ind w:firstLine="540"/>
        <w:jc w:val="both"/>
      </w:pPr>
      <w:r>
        <w:rPr>
          <w:sz w:val="20"/>
        </w:rPr>
        <w:t xml:space="preserve">1) некорректное заполнение обязательных полей заявления в Информационной системе (отсутствие заполнения, недостоверное, неполное или неправильное, не соответствующее требованиям, установленным Порядком);</w:t>
      </w:r>
    </w:p>
    <w:p>
      <w:pPr>
        <w:pStyle w:val="0"/>
        <w:spacing w:before="200" w:line-rule="auto"/>
        <w:ind w:firstLine="540"/>
        <w:jc w:val="both"/>
      </w:pPr>
      <w:r>
        <w:rPr>
          <w:sz w:val="20"/>
        </w:rPr>
        <w:t xml:space="preserve">2) представление электронных образов документов посредством Информационной системы не позволяет в полном объеме прочитать текст документа и (или) распознать обязательные реквизиты документов;</w:t>
      </w:r>
    </w:p>
    <w:p>
      <w:pPr>
        <w:pStyle w:val="0"/>
        <w:spacing w:before="200" w:line-rule="auto"/>
        <w:ind w:firstLine="540"/>
        <w:jc w:val="both"/>
      </w:pPr>
      <w:r>
        <w:rPr>
          <w:sz w:val="20"/>
        </w:rPr>
        <w:t xml:space="preserve">3) наличие нечитаемых исправлений в представленных документах;</w:t>
      </w:r>
    </w:p>
    <w:p>
      <w:pPr>
        <w:pStyle w:val="0"/>
        <w:spacing w:before="200" w:line-rule="auto"/>
        <w:ind w:firstLine="540"/>
        <w:jc w:val="both"/>
      </w:pPr>
      <w:r>
        <w:rPr>
          <w:sz w:val="20"/>
        </w:rPr>
        <w:t xml:space="preserve">4) технические ошибки.</w:t>
      </w:r>
    </w:p>
    <w:p>
      <w:pPr>
        <w:pStyle w:val="0"/>
        <w:spacing w:before="200" w:line-rule="auto"/>
        <w:ind w:firstLine="540"/>
        <w:jc w:val="both"/>
      </w:pPr>
      <w:r>
        <w:rPr>
          <w:sz w:val="20"/>
        </w:rPr>
        <w:t xml:space="preserve">При этом техническими ошибками для целей Порядка признаются: описка, опечатка, арифметическая ошибка, допущенные участником конкурса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Конкурса представляет документы и заявку, в срок не более 4 рабочих дней со дня направления Уведомления о доработке, но не позднее даты окончания срока рассмотрения заявок.</w:t>
      </w:r>
    </w:p>
    <w:bookmarkStart w:id="16682" w:name="P16682"/>
    <w:bookmarkEnd w:id="16682"/>
    <w:p>
      <w:pPr>
        <w:pStyle w:val="0"/>
        <w:spacing w:before="200" w:line-rule="auto"/>
        <w:ind w:firstLine="540"/>
        <w:jc w:val="both"/>
      </w:pPr>
      <w:r>
        <w:rPr>
          <w:sz w:val="20"/>
        </w:rPr>
        <w:t xml:space="preserve">19. Доступ Мининвесту Московской области и АНО "АИР" к поданным участниками конкурса заявкам в Информационной системе для их рассмотрения и оценки открывается в день регистрации заявок.</w:t>
      </w:r>
    </w:p>
    <w:p>
      <w:pPr>
        <w:pStyle w:val="0"/>
        <w:spacing w:before="200" w:line-rule="auto"/>
        <w:ind w:firstLine="540"/>
        <w:jc w:val="both"/>
      </w:pPr>
      <w:r>
        <w:rPr>
          <w:sz w:val="20"/>
        </w:rPr>
        <w:t xml:space="preserve">Протокол вскрытия заявок формируется на бумажном носителе, подписывается руководителем Мининвеста Московской области (уполномоченным им лицом) не позднее 1 рабочего дня, следующего за днем вскрытия заявок и размещается в Информационной системе не позднее 1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вскрытия заявок содержит следующую информацию:</w:t>
      </w:r>
    </w:p>
    <w:p>
      <w:pPr>
        <w:pStyle w:val="0"/>
        <w:spacing w:before="200" w:line-rule="auto"/>
        <w:ind w:firstLine="540"/>
        <w:jc w:val="both"/>
      </w:pPr>
      <w:r>
        <w:rPr>
          <w:sz w:val="20"/>
        </w:rPr>
        <w:t xml:space="preserve">1) регистрационный номер заявки;</w:t>
      </w:r>
    </w:p>
    <w:p>
      <w:pPr>
        <w:pStyle w:val="0"/>
        <w:spacing w:before="200" w:line-rule="auto"/>
        <w:ind w:firstLine="540"/>
        <w:jc w:val="both"/>
      </w:pPr>
      <w:r>
        <w:rPr>
          <w:sz w:val="20"/>
        </w:rPr>
        <w:t xml:space="preserve">2) дату и время поступления заявки;</w:t>
      </w:r>
    </w:p>
    <w:p>
      <w:pPr>
        <w:pStyle w:val="0"/>
        <w:spacing w:before="200" w:line-rule="auto"/>
        <w:ind w:firstLine="540"/>
        <w:jc w:val="both"/>
      </w:pPr>
      <w:r>
        <w:rPr>
          <w:sz w:val="20"/>
        </w:rPr>
        <w:t xml:space="preserve">3) полное наименование участника конкурса (для юридических лиц) или фамилия, имя, отчество (последнее - при наличии) (для индивидуальных предпринимателей);</w:t>
      </w:r>
    </w:p>
    <w:p>
      <w:pPr>
        <w:pStyle w:val="0"/>
        <w:spacing w:before="200" w:line-rule="auto"/>
        <w:ind w:firstLine="540"/>
        <w:jc w:val="both"/>
      </w:pPr>
      <w:r>
        <w:rPr>
          <w:sz w:val="20"/>
        </w:rPr>
        <w:t xml:space="preserve">4) адрес юридического лица (для юридических лиц) или адрес регистрации (для индивидуальных предпринимателей);</w:t>
      </w:r>
    </w:p>
    <w:p>
      <w:pPr>
        <w:pStyle w:val="0"/>
        <w:spacing w:before="200" w:line-rule="auto"/>
        <w:ind w:firstLine="540"/>
        <w:jc w:val="both"/>
      </w:pPr>
      <w:r>
        <w:rPr>
          <w:sz w:val="20"/>
        </w:rPr>
        <w:t xml:space="preserve">5) запрашиваемый участником конкурса размер субсидии.</w:t>
      </w:r>
    </w:p>
    <w:p>
      <w:pPr>
        <w:pStyle w:val="0"/>
        <w:spacing w:before="200" w:line-rule="auto"/>
        <w:ind w:firstLine="540"/>
        <w:jc w:val="both"/>
      </w:pPr>
      <w:r>
        <w:rPr>
          <w:sz w:val="20"/>
        </w:rPr>
        <w:t xml:space="preserve">АНО "АИР" не позднее 1 рабочего дня со дня получения доступа к поданным заявкам в Информационной системе:</w:t>
      </w:r>
    </w:p>
    <w:p>
      <w:pPr>
        <w:pStyle w:val="0"/>
        <w:spacing w:before="200" w:line-rule="auto"/>
        <w:ind w:firstLine="540"/>
        <w:jc w:val="both"/>
      </w:pPr>
      <w:r>
        <w:rPr>
          <w:sz w:val="20"/>
        </w:rPr>
        <w:t xml:space="preserve">1) запрашивает в ФНС России в порядке межведомственного электронного информационного взаимодействия либо посредством взаимодействия через платформу поставки данных "Внешней поставки данных" ФНС России:</w:t>
      </w:r>
    </w:p>
    <w:p>
      <w:pPr>
        <w:pStyle w:val="0"/>
        <w:spacing w:before="200" w:line-rule="auto"/>
        <w:ind w:firstLine="540"/>
        <w:jc w:val="both"/>
      </w:pPr>
      <w:r>
        <w:rPr>
          <w:sz w:val="20"/>
        </w:rPr>
        <w:t xml:space="preserve">сведения из ЕГРЮЛ (ЕГРИП);</w:t>
      </w:r>
    </w:p>
    <w:p>
      <w:pPr>
        <w:pStyle w:val="0"/>
        <w:spacing w:before="200" w:line-rule="auto"/>
        <w:ind w:firstLine="540"/>
        <w:jc w:val="both"/>
      </w:pPr>
      <w:r>
        <w:rPr>
          <w:sz w:val="20"/>
        </w:rPr>
        <w:t xml:space="preserve">сведения из Единого реестра субъектов МСП;</w:t>
      </w:r>
    </w:p>
    <w:p>
      <w:pPr>
        <w:pStyle w:val="0"/>
        <w:spacing w:before="200" w:line-rule="auto"/>
        <w:ind w:firstLine="540"/>
        <w:jc w:val="both"/>
      </w:pPr>
      <w:r>
        <w:rPr>
          <w:sz w:val="20"/>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сведения из налоговых деклараций, представленных индивидуальными предпринимателями, применяющими специальные налоговые режимы, за финансовый год, предшествующий году подачи заявки;</w:t>
      </w:r>
    </w:p>
    <w:p>
      <w:pPr>
        <w:pStyle w:val="0"/>
        <w:spacing w:before="200" w:line-rule="auto"/>
        <w:ind w:firstLine="540"/>
        <w:jc w:val="both"/>
      </w:pPr>
      <w:r>
        <w:rPr>
          <w:sz w:val="20"/>
        </w:rPr>
        <w:t xml:space="preserve">сведения о сумме фактически уплаченных налогов в бюджеты всех уровней за финансовый год, предшествующий году подачи заявки;</w:t>
      </w:r>
    </w:p>
    <w:p>
      <w:pPr>
        <w:pStyle w:val="0"/>
        <w:spacing w:before="200" w:line-rule="auto"/>
        <w:ind w:firstLine="540"/>
        <w:jc w:val="both"/>
      </w:pPr>
      <w:r>
        <w:rPr>
          <w:sz w:val="20"/>
        </w:rPr>
        <w:t xml:space="preserve">сведения о распределении единого налогового платежа за финансовый год, предшествующий году подачи заявки;</w:t>
      </w:r>
    </w:p>
    <w:p>
      <w:pPr>
        <w:pStyle w:val="0"/>
        <w:spacing w:before="200" w:line-rule="auto"/>
        <w:ind w:firstLine="540"/>
        <w:jc w:val="both"/>
      </w:pPr>
      <w:r>
        <w:rPr>
          <w:sz w:val="20"/>
        </w:rPr>
        <w:t xml:space="preserve">2) проводит проверку достоверности сведений, содержащихся в заявке участника конкурса, следующими способами:</w:t>
      </w:r>
    </w:p>
    <w:p>
      <w:pPr>
        <w:pStyle w:val="0"/>
        <w:spacing w:before="200" w:line-rule="auto"/>
        <w:ind w:firstLine="540"/>
        <w:jc w:val="both"/>
      </w:pPr>
      <w:r>
        <w:rPr>
          <w:sz w:val="20"/>
        </w:rPr>
        <w:t xml:space="preserve">проводит сравнение сведений, содержащихся в заявке участника конкурса, с данными из открытых источников на сайте ФНС России;</w:t>
      </w:r>
    </w:p>
    <w:p>
      <w:pPr>
        <w:pStyle w:val="0"/>
        <w:spacing w:before="200" w:line-rule="auto"/>
        <w:ind w:firstLine="540"/>
        <w:jc w:val="both"/>
      </w:pPr>
      <w:r>
        <w:rPr>
          <w:sz w:val="20"/>
        </w:rPr>
        <w:t xml:space="preserve">направляет в государственные и муниципальные органы запросы, касающиеся сведений и данных, указанных в заявке.</w:t>
      </w:r>
    </w:p>
    <w:p>
      <w:pPr>
        <w:pStyle w:val="0"/>
        <w:spacing w:before="200" w:line-rule="auto"/>
        <w:ind w:firstLine="540"/>
        <w:jc w:val="both"/>
      </w:pPr>
      <w:r>
        <w:rPr>
          <w:sz w:val="20"/>
        </w:rPr>
        <w:t xml:space="preserve">20. Мининвест Московской области и АНО "АИР" не вправе требовать от участника конкурса представления документов и информации в целях подтверждения соответствия участника конкурса требованиям, определенным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при наличии соответствующей информации в государственных информационных системах, доступ к которым у Мининвеста Московской области и АНО "АИР"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pPr>
        <w:pStyle w:val="0"/>
        <w:spacing w:before="200" w:line-rule="auto"/>
        <w:ind w:firstLine="540"/>
        <w:jc w:val="both"/>
      </w:pPr>
      <w:r>
        <w:rPr>
          <w:sz w:val="20"/>
        </w:rPr>
        <w:t xml:space="preserve">21. АНО "АИР" со дня получения доступа к поданным заявкам в Информационной системе и не позднее 10 рабочих дней со дня окончания срока приема заявок рассматривает заявки на предмет соответствия участников конкурса категории получателей субсидий и требованиям, установленным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 и соблюдения требований к форме и содержанию заявки, установленных Порядком.</w:t>
      </w:r>
    </w:p>
    <w:p>
      <w:pPr>
        <w:pStyle w:val="0"/>
        <w:spacing w:before="200" w:line-rule="auto"/>
        <w:ind w:firstLine="540"/>
        <w:jc w:val="both"/>
      </w:pPr>
      <w:r>
        <w:rPr>
          <w:sz w:val="20"/>
        </w:rPr>
        <w:t xml:space="preserve">АНО "АИР" направляет участнику конкурса в Информационной системе уведомление о планируемых значениях результата предоставления субсидии, которые будут включены в Соглашение в случае признания участника конкурса победителем конкурса и принятия решения о предоставлении ему субсидии, по форме, утвержденной Мининвестом Московской области, которое также содержит:</w:t>
      </w:r>
    </w:p>
    <w:p>
      <w:pPr>
        <w:pStyle w:val="0"/>
        <w:spacing w:before="200" w:line-rule="auto"/>
        <w:ind w:firstLine="540"/>
        <w:jc w:val="both"/>
      </w:pPr>
      <w:r>
        <w:rPr>
          <w:sz w:val="20"/>
        </w:rPr>
        <w:t xml:space="preserve">значения налоговых отчислений за финансовый год, предшествующий году подачи заявки;</w:t>
      </w:r>
    </w:p>
    <w:p>
      <w:pPr>
        <w:pStyle w:val="0"/>
        <w:spacing w:before="200" w:line-rule="auto"/>
        <w:ind w:firstLine="540"/>
        <w:jc w:val="both"/>
      </w:pPr>
      <w:r>
        <w:rPr>
          <w:sz w:val="20"/>
        </w:rPr>
        <w:t xml:space="preserve">планируемые значения налоговых отчислений по итогам года получения субсидии.</w:t>
      </w:r>
    </w:p>
    <w:p>
      <w:pPr>
        <w:pStyle w:val="0"/>
        <w:spacing w:before="200" w:line-rule="auto"/>
        <w:ind w:firstLine="540"/>
        <w:jc w:val="both"/>
      </w:pPr>
      <w:r>
        <w:rPr>
          <w:sz w:val="20"/>
        </w:rPr>
        <w:t xml:space="preserve">АНО "АИР" вправе запросить у участника конкурса разъяснения в отношении представленных им документов и информации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В запросе АНО "АИР" устанавливает срок представления участником конкурса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не позднее даты окончания срока рассмотрения заявок.</w:t>
      </w:r>
    </w:p>
    <w:p>
      <w:pPr>
        <w:pStyle w:val="0"/>
        <w:spacing w:before="200" w:line-rule="auto"/>
        <w:ind w:firstLine="540"/>
        <w:jc w:val="both"/>
      </w:pPr>
      <w:r>
        <w:rPr>
          <w:sz w:val="20"/>
        </w:rPr>
        <w:t xml:space="preserve">Участник конкурса формирует и представляет в Информационную систему разъяснения, запрашиваемые АНО "АИР" в сроки, установленные соответствующим запросом.</w:t>
      </w:r>
    </w:p>
    <w:bookmarkStart w:id="16709" w:name="P16709"/>
    <w:bookmarkEnd w:id="16709"/>
    <w:p>
      <w:pPr>
        <w:pStyle w:val="0"/>
        <w:spacing w:before="200" w:line-rule="auto"/>
        <w:ind w:firstLine="540"/>
        <w:jc w:val="both"/>
      </w:pPr>
      <w:r>
        <w:rPr>
          <w:sz w:val="20"/>
        </w:rPr>
        <w:t xml:space="preserve">22. По результатам рассмотрения заявки АНО "АИР" составляет одно из следующих заключений по форме, установленной Мининвестом (далее - Заключение "АНО "АИР"):</w:t>
      </w:r>
    </w:p>
    <w:p>
      <w:pPr>
        <w:pStyle w:val="0"/>
        <w:spacing w:before="200" w:line-rule="auto"/>
        <w:ind w:firstLine="540"/>
        <w:jc w:val="both"/>
      </w:pPr>
      <w:r>
        <w:rPr>
          <w:sz w:val="20"/>
        </w:rPr>
        <w:t xml:space="preserve">о признании участника конкурса допущенным к конкурсу;</w:t>
      </w:r>
    </w:p>
    <w:p>
      <w:pPr>
        <w:pStyle w:val="0"/>
        <w:spacing w:before="200" w:line-rule="auto"/>
        <w:ind w:firstLine="540"/>
        <w:jc w:val="both"/>
      </w:pPr>
      <w:r>
        <w:rPr>
          <w:sz w:val="20"/>
        </w:rPr>
        <w:t xml:space="preserve">об отклонении заявки с указанием оснований для ее отклонения.</w:t>
      </w:r>
    </w:p>
    <w:p>
      <w:pPr>
        <w:pStyle w:val="0"/>
        <w:spacing w:before="200" w:line-rule="auto"/>
        <w:ind w:firstLine="540"/>
        <w:jc w:val="both"/>
      </w:pPr>
      <w:r>
        <w:rPr>
          <w:sz w:val="20"/>
        </w:rPr>
        <w:t xml:space="preserve">В срок не позднее 10 рабочих дней со дня окончания срока приема заявок АНО "АИР" посредством ИС ЛОД направляет в Мининвест Московской области Заключения АНО "АИР".</w:t>
      </w:r>
    </w:p>
    <w:p>
      <w:pPr>
        <w:pStyle w:val="0"/>
        <w:spacing w:before="200" w:line-rule="auto"/>
        <w:ind w:firstLine="540"/>
        <w:jc w:val="both"/>
      </w:pPr>
      <w:r>
        <w:rPr>
          <w:sz w:val="20"/>
        </w:rPr>
        <w:t xml:space="preserve">23. Основаниями для составления заключения об отклонении заявки по результатам рассмотрения заявок АНО "АИР"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предусмотренным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p>
      <w:pPr>
        <w:pStyle w:val="0"/>
        <w:spacing w:before="200" w:line-rule="auto"/>
        <w:ind w:firstLine="540"/>
        <w:jc w:val="both"/>
      </w:pPr>
      <w:r>
        <w:rPr>
          <w:sz w:val="20"/>
        </w:rPr>
        <w:t xml:space="preserve">24. Участник конкурса признается допущенным к конкурсу в случае, если в отношении него составлено Заключение АНО "АИР" о признании участника конкурса допущенным к конкурсу.</w:t>
      </w:r>
    </w:p>
    <w:p>
      <w:pPr>
        <w:pStyle w:val="0"/>
        <w:spacing w:before="200" w:line-rule="auto"/>
        <w:ind w:firstLine="540"/>
        <w:jc w:val="both"/>
      </w:pPr>
      <w:r>
        <w:rPr>
          <w:sz w:val="20"/>
        </w:rPr>
        <w:t xml:space="preserve">25. Мининвест Московской области осуществляет проверку Заключений АНО "АИР" в срок, не превышающий 4 рабочих дней со дня их получения.</w:t>
      </w:r>
    </w:p>
    <w:p>
      <w:pPr>
        <w:pStyle w:val="0"/>
        <w:spacing w:before="200" w:line-rule="auto"/>
        <w:ind w:firstLine="540"/>
        <w:jc w:val="both"/>
      </w:pPr>
      <w:r>
        <w:rPr>
          <w:sz w:val="20"/>
        </w:rPr>
        <w:t xml:space="preserve">26. Основаниями для отклонения Мининвестом Московской области заявки участника конкурса являются:</w:t>
      </w:r>
    </w:p>
    <w:p>
      <w:pPr>
        <w:pStyle w:val="0"/>
        <w:spacing w:before="200" w:line-rule="auto"/>
        <w:ind w:firstLine="540"/>
        <w:jc w:val="both"/>
      </w:pPr>
      <w:r>
        <w:rPr>
          <w:sz w:val="20"/>
        </w:rPr>
        <w:t xml:space="preserve">несоответствие участника конкурса требованиям, установленным в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объявлении о проведении конкурса, предусмотренных Порядком;</w:t>
      </w:r>
    </w:p>
    <w:p>
      <w:pPr>
        <w:pStyle w:val="0"/>
        <w:spacing w:before="200" w:line-rule="auto"/>
        <w:ind w:firstLine="540"/>
        <w:jc w:val="both"/>
      </w:pPr>
      <w:r>
        <w:rPr>
          <w:sz w:val="20"/>
        </w:rPr>
        <w:t xml:space="preserve">несоответствие представленных участником конкурса заявок и (или) документов требованиям, установленным в объявлении о проведении конкурса, предусмотренных Порядком;</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конкурса в целях подтверждения соответствия установленным Порядком требованиям;</w:t>
      </w:r>
    </w:p>
    <w:p>
      <w:pPr>
        <w:pStyle w:val="0"/>
        <w:spacing w:before="200" w:line-rule="auto"/>
        <w:ind w:firstLine="540"/>
        <w:jc w:val="both"/>
      </w:pPr>
      <w:r>
        <w:rPr>
          <w:sz w:val="20"/>
        </w:rPr>
        <w:t xml:space="preserve">подача участником конкурса заявки после даты и (или) времени, определенных для подачи заявок;</w:t>
      </w:r>
    </w:p>
    <w:p>
      <w:pPr>
        <w:pStyle w:val="0"/>
        <w:spacing w:before="200" w:line-rule="auto"/>
        <w:ind w:firstLine="540"/>
        <w:jc w:val="both"/>
      </w:pPr>
      <w:r>
        <w:rPr>
          <w:sz w:val="20"/>
        </w:rPr>
        <w:t xml:space="preserve">наличие иной принятой и зарегистрированной заявки участника конкурса, которая не была им отозвана на дату рассмотрения заявки.</w:t>
      </w:r>
    </w:p>
    <w:bookmarkStart w:id="16729" w:name="P16729"/>
    <w:bookmarkEnd w:id="16729"/>
    <w:p>
      <w:pPr>
        <w:pStyle w:val="0"/>
        <w:spacing w:before="200" w:line-rule="auto"/>
        <w:ind w:firstLine="540"/>
        <w:jc w:val="both"/>
      </w:pPr>
      <w:r>
        <w:rPr>
          <w:sz w:val="20"/>
        </w:rPr>
        <w:t xml:space="preserve">27. Мининвест Московской области с учетом Заключений АНО "АИР" принимает решения:</w:t>
      </w:r>
    </w:p>
    <w:p>
      <w:pPr>
        <w:pStyle w:val="0"/>
        <w:spacing w:before="200" w:line-rule="auto"/>
        <w:ind w:firstLine="540"/>
        <w:jc w:val="both"/>
      </w:pPr>
      <w:r>
        <w:rPr>
          <w:sz w:val="20"/>
        </w:rPr>
        <w:t xml:space="preserve">1) об отклонении заявок участников конкурса;</w:t>
      </w:r>
    </w:p>
    <w:bookmarkStart w:id="16731" w:name="P16731"/>
    <w:bookmarkEnd w:id="16731"/>
    <w:p>
      <w:pPr>
        <w:pStyle w:val="0"/>
        <w:spacing w:before="200" w:line-rule="auto"/>
        <w:ind w:firstLine="540"/>
        <w:jc w:val="both"/>
      </w:pPr>
      <w:r>
        <w:rPr>
          <w:sz w:val="20"/>
        </w:rPr>
        <w:t xml:space="preserve">2) о признании участников конкурса соответствующими требованиям.</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 и размещаются в Информационной системе, не позднее 5 рабочих дней с даты принятия.</w:t>
      </w:r>
    </w:p>
    <w:bookmarkStart w:id="16733" w:name="P16733"/>
    <w:bookmarkEnd w:id="16733"/>
    <w:p>
      <w:pPr>
        <w:pStyle w:val="0"/>
        <w:spacing w:before="200" w:line-rule="auto"/>
        <w:ind w:firstLine="540"/>
        <w:jc w:val="both"/>
      </w:pPr>
      <w:r>
        <w:rPr>
          <w:sz w:val="20"/>
        </w:rPr>
        <w:t xml:space="preserve">28. АНО "АИР" осуществляет оценку заявок в срок не более 20 рабочих дней со дня принятия Мининвестом Московской области решения в соответствии с </w:t>
      </w:r>
      <w:hyperlink w:history="0" w:anchor="P16731" w:tooltip="2) о признании участников конкурса соответствующими требованиям.">
        <w:r>
          <w:rPr>
            <w:sz w:val="20"/>
            <w:color w:val="0000ff"/>
          </w:rPr>
          <w:t xml:space="preserve">подпунктом 2 пункта 27</w:t>
        </w:r>
      </w:hyperlink>
      <w:r>
        <w:rPr>
          <w:sz w:val="20"/>
        </w:rPr>
        <w:t xml:space="preserve"> Порядка на основании </w:t>
      </w:r>
      <w:hyperlink w:history="0" w:anchor="P16885" w:tooltip="КРИТЕРИИ ОЦЕНКИ ЗАЯВОК, ПОДАВАЕМЫХ УЧАСТНИКАМИ КОНКУРСА">
        <w:r>
          <w:rPr>
            <w:sz w:val="20"/>
            <w:color w:val="0000ff"/>
          </w:rPr>
          <w:t xml:space="preserve">критериев</w:t>
        </w:r>
      </w:hyperlink>
      <w:r>
        <w:rPr>
          <w:sz w:val="20"/>
        </w:rPr>
        <w:t xml:space="preserve"> оценки заявок в соответствии с их весовым значением в общей оценке, предусмотренных таблицей 1 к Порядку.</w:t>
      </w:r>
    </w:p>
    <w:p>
      <w:pPr>
        <w:pStyle w:val="0"/>
        <w:spacing w:before="200" w:line-rule="auto"/>
        <w:ind w:firstLine="540"/>
        <w:jc w:val="both"/>
      </w:pPr>
      <w:r>
        <w:rPr>
          <w:sz w:val="20"/>
        </w:rPr>
        <w:t xml:space="preserve">Ранжирование заявок участников конкурса, допущенных к конкурсу, осуществляется по мере уменьшения итоговой суммы баллов, полученных по итогам оценки заявок, и очередности их поступления в случае равенства количества полученных баллов.</w:t>
      </w:r>
    </w:p>
    <w:p>
      <w:pPr>
        <w:pStyle w:val="0"/>
        <w:spacing w:before="200" w:line-rule="auto"/>
        <w:ind w:firstLine="540"/>
        <w:jc w:val="both"/>
      </w:pPr>
      <w:r>
        <w:rPr>
          <w:sz w:val="20"/>
        </w:rPr>
        <w:t xml:space="preserve">По итогам оценки заявок АНО "АИР" составляет проект рейтингового списка участников конкурса.</w:t>
      </w:r>
    </w:p>
    <w:p>
      <w:pPr>
        <w:pStyle w:val="0"/>
        <w:spacing w:before="200" w:line-rule="auto"/>
        <w:ind w:firstLine="540"/>
        <w:jc w:val="both"/>
      </w:pPr>
      <w:r>
        <w:rPr>
          <w:sz w:val="20"/>
        </w:rPr>
        <w:t xml:space="preserve">Порядковый номер в рейтинговом списке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bookmarkStart w:id="16737" w:name="P16737"/>
    <w:bookmarkEnd w:id="16737"/>
    <w:p>
      <w:pPr>
        <w:pStyle w:val="0"/>
        <w:spacing w:before="200" w:line-rule="auto"/>
        <w:ind w:firstLine="540"/>
        <w:jc w:val="both"/>
      </w:pPr>
      <w:r>
        <w:rPr>
          <w:sz w:val="20"/>
        </w:rPr>
        <w:t xml:space="preserve">29. АНО "АИР" направляет уведомления о принятых в соответствии с </w:t>
      </w:r>
      <w:hyperlink w:history="0" w:anchor="P16729" w:tooltip="27. Мининвест Московской области с учетом Заключений АНО &quot;АИР&quot; принимает решения:">
        <w:r>
          <w:rPr>
            <w:sz w:val="20"/>
            <w:color w:val="0000ff"/>
          </w:rPr>
          <w:t xml:space="preserve">пунктом 27</w:t>
        </w:r>
      </w:hyperlink>
      <w:r>
        <w:rPr>
          <w:sz w:val="20"/>
        </w:rPr>
        <w:t xml:space="preserve">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w:t>
      </w:r>
    </w:p>
    <w:p>
      <w:pPr>
        <w:pStyle w:val="0"/>
        <w:spacing w:before="200" w:line-rule="auto"/>
        <w:ind w:firstLine="540"/>
        <w:jc w:val="both"/>
      </w:pPr>
      <w:r>
        <w:rPr>
          <w:sz w:val="20"/>
        </w:rPr>
        <w:t xml:space="preserve">В уведомлениях, направленных участникам конкурса, признанных соответствующих требованиям указывается срок, в течение которого им необходимо представить документы на Оборудование, в соответствии с </w:t>
      </w:r>
      <w:hyperlink w:history="0" w:anchor="P16982" w:tooltip="ПЕРЕЧЕНЬ ДОКУМЕНТОВ, ПРЕДСТАВЛЯЕМЫХ УЧАСТНИКАМИ КОНКУРСА">
        <w:r>
          <w:rPr>
            <w:sz w:val="20"/>
            <w:color w:val="0000ff"/>
          </w:rPr>
          <w:t xml:space="preserve">таблицей 3</w:t>
        </w:r>
      </w:hyperlink>
      <w:r>
        <w:rPr>
          <w:sz w:val="20"/>
        </w:rPr>
        <w:t xml:space="preserve"> к Порядку.</w:t>
      </w:r>
    </w:p>
    <w:bookmarkStart w:id="16739" w:name="P16739"/>
    <w:bookmarkEnd w:id="16739"/>
    <w:p>
      <w:pPr>
        <w:pStyle w:val="0"/>
        <w:spacing w:before="200" w:line-rule="auto"/>
        <w:ind w:firstLine="540"/>
        <w:jc w:val="both"/>
      </w:pPr>
      <w:r>
        <w:rPr>
          <w:sz w:val="20"/>
        </w:rPr>
        <w:t xml:space="preserve">30. В течение 20 рабочих дней со дня окончания срока, указанного в уведомлениях, указанных в </w:t>
      </w:r>
      <w:hyperlink w:history="0" w:anchor="P16737" w:tooltip="29. АНО &quot;АИР&quot; направляет уведомления о принятых в соответствии с пунктом 27 Порядка решениях участникам конкурса в срок не позднее 1 рабочего дня в личный кабинет участника конкурса в Информационной системе со дня их принятия Мининвестом Московской области.">
        <w:r>
          <w:rPr>
            <w:sz w:val="20"/>
            <w:color w:val="0000ff"/>
          </w:rPr>
          <w:t xml:space="preserve">пункте 29</w:t>
        </w:r>
      </w:hyperlink>
      <w:r>
        <w:rPr>
          <w:sz w:val="20"/>
        </w:rPr>
        <w:t xml:space="preserve"> Порядка, АНО "АИР" рассматривает документы на Оборудование, на соответствие затрат, произведенных участником конкурса, цели предоставления субсидии и направлениям затрат, установленным </w:t>
      </w:r>
      <w:hyperlink w:history="0" w:anchor="P16773" w:tooltip="38. Направления затрат, на возмещение которых предоставляется субсидия, являются затраты на уплату первого взноса (аванса), предусмотренного договором лизинга Оборудования.">
        <w:r>
          <w:rPr>
            <w:sz w:val="20"/>
            <w:color w:val="0000ff"/>
          </w:rPr>
          <w:t xml:space="preserve">пунктом 38</w:t>
        </w:r>
      </w:hyperlink>
      <w:r>
        <w:rPr>
          <w:sz w:val="20"/>
        </w:rPr>
        <w:t xml:space="preserve"> Порядка, а также проверяет полноту, комплектность и соответствие установленным требованиям документов на Оборудование согласно </w:t>
      </w:r>
      <w:hyperlink w:history="0" w:anchor="P16982" w:tooltip="ПЕРЕЧЕНЬ ДОКУМЕНТОВ, ПРЕДСТАВЛЯЕМЫХ УЧАСТНИКАМИ КОНКУРСА">
        <w:r>
          <w:rPr>
            <w:sz w:val="20"/>
            <w:color w:val="0000ff"/>
          </w:rPr>
          <w:t xml:space="preserve">таблице 3</w:t>
        </w:r>
      </w:hyperlink>
      <w:r>
        <w:rPr>
          <w:sz w:val="20"/>
        </w:rPr>
        <w:t xml:space="preserve"> к Порядку.</w:t>
      </w:r>
    </w:p>
    <w:p>
      <w:pPr>
        <w:pStyle w:val="0"/>
        <w:spacing w:before="200" w:line-rule="auto"/>
        <w:ind w:firstLine="540"/>
        <w:jc w:val="both"/>
      </w:pPr>
      <w:r>
        <w:rPr>
          <w:sz w:val="20"/>
        </w:rPr>
        <w:t xml:space="preserve">АНО "АИР" запрашивает у участника конкурса разъяснения, касающиеся сведений и данных, указанных в документах на Оборудование, путем направления запроса в личный кабинет в Информационной системе. Факт непредставления запрошенных разъяснений не может являться основанием для отклонения заявки участника конкурса.</w:t>
      </w:r>
    </w:p>
    <w:p>
      <w:pPr>
        <w:pStyle w:val="0"/>
        <w:spacing w:before="200" w:line-rule="auto"/>
        <w:ind w:firstLine="540"/>
        <w:jc w:val="both"/>
      </w:pPr>
      <w:r>
        <w:rPr>
          <w:sz w:val="20"/>
        </w:rPr>
        <w:t xml:space="preserve">31. По результатам рассмотрения документов на Оборудование АНО "АИР" составляет заключение о подтверждении затрат, произведенных участником конкурса, признанным соответствующим требованиям, либо об отсутствии подтверждения произведенных затрат по форме, установленной Мининвестом Московской области (далее - Заключение по затратам).</w:t>
      </w:r>
    </w:p>
    <w:p>
      <w:pPr>
        <w:pStyle w:val="0"/>
        <w:spacing w:before="200" w:line-rule="auto"/>
        <w:ind w:firstLine="540"/>
        <w:jc w:val="both"/>
      </w:pPr>
      <w:r>
        <w:rPr>
          <w:sz w:val="20"/>
        </w:rPr>
        <w:t xml:space="preserve">Заключение по затратам и документы на Оборудование направляются посредством ИС ЛОД в Мининвест Московской области в срок не более 20 рабочих дней со дня принятия Мининвестом Московской области решения в соответствии с </w:t>
      </w:r>
      <w:hyperlink w:history="0" w:anchor="P16731" w:tooltip="2) о признании участников конкурса соответствующими требованиям.">
        <w:r>
          <w:rPr>
            <w:sz w:val="20"/>
            <w:color w:val="0000ff"/>
          </w:rPr>
          <w:t xml:space="preserve">подпунктом 2 пункта 27</w:t>
        </w:r>
      </w:hyperlink>
      <w:r>
        <w:rPr>
          <w:sz w:val="20"/>
        </w:rPr>
        <w:t xml:space="preserve"> Порядка.</w:t>
      </w:r>
    </w:p>
    <w:p>
      <w:pPr>
        <w:pStyle w:val="0"/>
        <w:spacing w:before="200" w:line-rule="auto"/>
        <w:ind w:firstLine="540"/>
        <w:jc w:val="both"/>
      </w:pPr>
      <w:r>
        <w:rPr>
          <w:sz w:val="20"/>
        </w:rPr>
        <w:t xml:space="preserve">32. Мининвест Московской области осуществляет проверку представленных АНО "АИР" Заключений по затратам, проекта рейтингового списка и документов на Оборудование в срок не более 10 рабочих дней со дня их получения.</w:t>
      </w:r>
    </w:p>
    <w:p>
      <w:pPr>
        <w:pStyle w:val="0"/>
        <w:spacing w:before="200" w:line-rule="auto"/>
        <w:ind w:firstLine="540"/>
        <w:jc w:val="both"/>
      </w:pPr>
      <w:r>
        <w:rPr>
          <w:sz w:val="20"/>
        </w:rPr>
        <w:t xml:space="preserve">Мининвест Московской области согласовывает представленные АНО "АИР" Заключения по затратам и проект рейтингового списка.</w:t>
      </w:r>
    </w:p>
    <w:p>
      <w:pPr>
        <w:pStyle w:val="0"/>
        <w:spacing w:before="200" w:line-rule="auto"/>
        <w:ind w:firstLine="540"/>
        <w:jc w:val="both"/>
      </w:pPr>
      <w:r>
        <w:rPr>
          <w:sz w:val="20"/>
        </w:rPr>
        <w:t xml:space="preserve">33. По результатам проверки документов на Оборудование, Заключений по затратам и проекта рейтингового списка Мининвест Московской области формирует протокол подведения итогов конкурса, который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не позднее 14 рабочего дня, следующего за днем его подписания (с размещением указателя страницы Информационной системы на едином портале).</w:t>
      </w:r>
    </w:p>
    <w:p>
      <w:pPr>
        <w:pStyle w:val="0"/>
        <w:spacing w:before="200" w:line-rule="auto"/>
        <w:ind w:firstLine="540"/>
        <w:jc w:val="both"/>
      </w:pPr>
      <w:r>
        <w:rPr>
          <w:sz w:val="20"/>
        </w:rPr>
        <w:t xml:space="preserve">Протокол подведения итогов конкурса должен содержать следующую информацию:</w:t>
      </w:r>
    </w:p>
    <w:p>
      <w:pPr>
        <w:pStyle w:val="0"/>
        <w:spacing w:before="200" w:line-rule="auto"/>
        <w:ind w:firstLine="540"/>
        <w:jc w:val="both"/>
      </w:pPr>
      <w:r>
        <w:rPr>
          <w:sz w:val="20"/>
        </w:rPr>
        <w:t xml:space="preserve">дату, время и место проведения рассмотрения заявок;</w:t>
      </w:r>
    </w:p>
    <w:p>
      <w:pPr>
        <w:pStyle w:val="0"/>
        <w:spacing w:before="200" w:line-rule="auto"/>
        <w:ind w:firstLine="540"/>
        <w:jc w:val="both"/>
      </w:pPr>
      <w:r>
        <w:rPr>
          <w:sz w:val="20"/>
        </w:rPr>
        <w:t xml:space="preserve">дату, время и место оценки заявок;</w:t>
      </w:r>
    </w:p>
    <w:p>
      <w:pPr>
        <w:pStyle w:val="0"/>
        <w:spacing w:before="200" w:line-rule="auto"/>
        <w:ind w:firstLine="540"/>
        <w:jc w:val="both"/>
      </w:pPr>
      <w:r>
        <w:rPr>
          <w:sz w:val="20"/>
        </w:rPr>
        <w:t xml:space="preserve">информацию об участниках конкурса, заявки которых были рассмотрены;</w:t>
      </w:r>
    </w:p>
    <w:p>
      <w:pPr>
        <w:pStyle w:val="0"/>
        <w:spacing w:before="200" w:line-rule="auto"/>
        <w:ind w:firstLine="540"/>
        <w:jc w:val="both"/>
      </w:pPr>
      <w:r>
        <w:rPr>
          <w:sz w:val="20"/>
        </w:rPr>
        <w:t xml:space="preserve">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0"/>
        <w:spacing w:before="200" w:line-rule="auto"/>
        <w:ind w:firstLine="540"/>
        <w:jc w:val="both"/>
      </w:pPr>
      <w:r>
        <w:rPr>
          <w:sz w:val="20"/>
        </w:rPr>
        <w:t xml:space="preserve">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и их весовых значений, сумма полученных баллов по итогам оценки заявок по каждому участнику конкурса;</w:t>
      </w:r>
    </w:p>
    <w:p>
      <w:pPr>
        <w:pStyle w:val="0"/>
        <w:spacing w:before="200" w:line-rule="auto"/>
        <w:ind w:firstLine="540"/>
        <w:jc w:val="both"/>
      </w:pPr>
      <w:r>
        <w:rPr>
          <w:sz w:val="20"/>
        </w:rPr>
        <w:t xml:space="preserve">наименования участников конкурса, признанных победителями конкурса, с которыми заключается Соглашение (далее - получатели субсидии), и размер предоставляемой им субсидии.</w:t>
      </w:r>
    </w:p>
    <w:p>
      <w:pPr>
        <w:pStyle w:val="0"/>
        <w:spacing w:before="200" w:line-rule="auto"/>
        <w:ind w:firstLine="540"/>
        <w:jc w:val="both"/>
      </w:pPr>
      <w:r>
        <w:rPr>
          <w:sz w:val="20"/>
        </w:rPr>
        <w:t xml:space="preserve">Распределение субсидии между участниками конкурса осуществляется на основании итогов конкурса участникам конкурса, заявки которых расположены первой и последующими в рейтинговом списке, суммарный размер субсидии по которым не превышает предельного объема средств, предусмотренных на цели, указанные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 доведенных до Мининвеста Московской области на предоставление субсидии на текущий финансовый год.</w:t>
      </w:r>
    </w:p>
    <w:p>
      <w:pPr>
        <w:pStyle w:val="0"/>
        <w:spacing w:before="200" w:line-rule="auto"/>
        <w:ind w:firstLine="540"/>
        <w:jc w:val="both"/>
      </w:pPr>
      <w:r>
        <w:rPr>
          <w:sz w:val="20"/>
        </w:rPr>
        <w:t xml:space="preserve">34. АНО "АИР" в срок не позднее 1 рабочего дня со дня подписания протокола подведения итогов конкурса направляет в личный кабинет участникам конкурса в Информационной системе уведомление об отклонении заявки с указанием причин их отклонения.</w:t>
      </w:r>
    </w:p>
    <w:p>
      <w:pPr>
        <w:pStyle w:val="0"/>
        <w:spacing w:before="200" w:line-rule="auto"/>
        <w:ind w:firstLine="540"/>
        <w:jc w:val="both"/>
      </w:pPr>
      <w:r>
        <w:rPr>
          <w:sz w:val="20"/>
        </w:rPr>
        <w:t xml:space="preserve">35. Конкурс признается Мининвестом Московской области несостоявшимся в следующих случаях:</w:t>
      </w:r>
    </w:p>
    <w:p>
      <w:pPr>
        <w:pStyle w:val="0"/>
        <w:spacing w:before="200" w:line-rule="auto"/>
        <w:ind w:firstLine="540"/>
        <w:jc w:val="both"/>
      </w:pPr>
      <w:r>
        <w:rPr>
          <w:sz w:val="20"/>
        </w:rPr>
        <w:t xml:space="preserve">1) если по окончании срока подачи заявок не подано ни одной заявки;</w:t>
      </w:r>
    </w:p>
    <w:p>
      <w:pPr>
        <w:pStyle w:val="0"/>
        <w:spacing w:before="200" w:line-rule="auto"/>
        <w:ind w:firstLine="540"/>
        <w:jc w:val="both"/>
      </w:pPr>
      <w:r>
        <w:rPr>
          <w:sz w:val="20"/>
        </w:rPr>
        <w:t xml:space="preserve">2) если по результатам рассмотрения заявок отклонены все заявки.</w:t>
      </w:r>
    </w:p>
    <w:p>
      <w:pPr>
        <w:pStyle w:val="0"/>
        <w:spacing w:before="200" w:line-rule="auto"/>
        <w:ind w:firstLine="540"/>
        <w:jc w:val="both"/>
      </w:pPr>
      <w:r>
        <w:rPr>
          <w:sz w:val="20"/>
        </w:rPr>
        <w:t xml:space="preserve">Решение Мининвеста Московской области о признании конкурса несостоявшимся, содержащее информацию о причинах признания конкурса несостоявшимся, размещается в Информационной системе и на официальном сайте Мининвеста Московской области (</w:t>
      </w:r>
      <w:hyperlink w:history="0" r:id="rId753">
        <w:r>
          <w:rPr>
            <w:sz w:val="20"/>
            <w:color w:val="0000ff"/>
          </w:rPr>
          <w:t xml:space="preserve">https://mii.mosreg.ru</w:t>
        </w:r>
      </w:hyperlink>
      <w:r>
        <w:rPr>
          <w:sz w:val="20"/>
        </w:rPr>
        <w:t xml:space="preserve">) с размещением указателя страницы сайта на едином портале, в течение 3 календарных дней со дня его принятия.</w:t>
      </w:r>
    </w:p>
    <w:p>
      <w:pPr>
        <w:pStyle w:val="0"/>
        <w:spacing w:before="200" w:line-rule="auto"/>
        <w:ind w:firstLine="540"/>
        <w:jc w:val="both"/>
      </w:pPr>
      <w:r>
        <w:rPr>
          <w:sz w:val="20"/>
        </w:rPr>
        <w:t xml:space="preserve">В случае признания конкурса несостоявшимся по основаниям, указанным в настоящем пункте, Мининвест Московской области в течение 20 календарных дней, следующих за днем признания конкурса несостоявшимся, принимает решение о проведении нового конкурса.</w:t>
      </w:r>
    </w:p>
    <w:p>
      <w:pPr>
        <w:pStyle w:val="0"/>
        <w:spacing w:before="200" w:line-rule="auto"/>
        <w:ind w:firstLine="540"/>
        <w:jc w:val="both"/>
      </w:pPr>
      <w:r>
        <w:rPr>
          <w:sz w:val="20"/>
        </w:rPr>
        <w:t xml:space="preserve">36. Мининвест Московской области принимает решение об отмене конкурса в случаях:</w:t>
      </w:r>
    </w:p>
    <w:p>
      <w:pPr>
        <w:pStyle w:val="0"/>
        <w:spacing w:before="200" w:line-rule="auto"/>
        <w:ind w:firstLine="540"/>
        <w:jc w:val="both"/>
      </w:pPr>
      <w:r>
        <w:rPr>
          <w:sz w:val="20"/>
        </w:rPr>
        <w:t xml:space="preserve">1) уменьшения лимитов бюджетных обязательств на предоставление субсидии на соответствующий финансовый год;</w:t>
      </w:r>
    </w:p>
    <w:p>
      <w:pPr>
        <w:pStyle w:val="0"/>
        <w:spacing w:before="200" w:line-rule="auto"/>
        <w:ind w:firstLine="540"/>
        <w:jc w:val="both"/>
      </w:pPr>
      <w:r>
        <w:rPr>
          <w:sz w:val="20"/>
        </w:rPr>
        <w:t xml:space="preserve">2) внесения в законодательство Российской Федерации изменений, требующих внесения изменений в Порядок;</w:t>
      </w:r>
    </w:p>
    <w:p>
      <w:pPr>
        <w:pStyle w:val="0"/>
        <w:spacing w:before="200" w:line-rule="auto"/>
        <w:ind w:firstLine="540"/>
        <w:jc w:val="both"/>
      </w:pPr>
      <w:r>
        <w:rPr>
          <w:sz w:val="20"/>
        </w:rPr>
        <w:t xml:space="preserve">3) внесение изменений в Порядок в части изменения положений о порядке проведения конкурса.</w:t>
      </w:r>
    </w:p>
    <w:p>
      <w:pPr>
        <w:pStyle w:val="0"/>
        <w:spacing w:before="200" w:line-rule="auto"/>
        <w:ind w:firstLine="540"/>
        <w:jc w:val="both"/>
      </w:pPr>
      <w:r>
        <w:rPr>
          <w:sz w:val="20"/>
        </w:rPr>
        <w:t xml:space="preserve">Объявление об отмене конкурса подписывается усиленной квалифицированной электронной подписью руководителя Мининвеста Московской области (уполномоченного им лица) и размещается в Информационной системе и на официальном сайте Мининвеста Московской области (</w:t>
      </w:r>
      <w:hyperlink w:history="0" r:id="rId754">
        <w:r>
          <w:rPr>
            <w:sz w:val="20"/>
            <w:color w:val="0000ff"/>
          </w:rPr>
          <w:t xml:space="preserve">https://mii.mosreg.ru</w:t>
        </w:r>
      </w:hyperlink>
      <w:r>
        <w:rPr>
          <w:sz w:val="20"/>
        </w:rPr>
        <w:t xml:space="preserve">) с размещением указателя страницы сайта на едином портале, не позднее чем за 1 рабочий день до даты окончания срока подачи заявок участниками конкурса и содержит информацию о причинах отмены конкурса.</w:t>
      </w:r>
    </w:p>
    <w:p>
      <w:pPr>
        <w:pStyle w:val="0"/>
        <w:spacing w:before="200" w:line-rule="auto"/>
        <w:ind w:firstLine="540"/>
        <w:jc w:val="both"/>
      </w:pPr>
      <w:r>
        <w:rPr>
          <w:sz w:val="20"/>
        </w:rPr>
        <w:t xml:space="preserve">Участники конкурса, подавшие заявки, информируются об отмене проведения конкурса в Информационной системе.</w:t>
      </w:r>
    </w:p>
    <w:p>
      <w:pPr>
        <w:pStyle w:val="0"/>
        <w:spacing w:before="200" w:line-rule="auto"/>
        <w:ind w:firstLine="540"/>
        <w:jc w:val="both"/>
      </w:pPr>
      <w:r>
        <w:rPr>
          <w:sz w:val="20"/>
        </w:rPr>
        <w:t xml:space="preserve">Конкурс считается отмененным со дня размещения объявления о его отмене в Информационной системе.</w:t>
      </w:r>
    </w:p>
    <w:bookmarkStart w:id="16767" w:name="P16767"/>
    <w:bookmarkEnd w:id="16767"/>
    <w:p>
      <w:pPr>
        <w:pStyle w:val="0"/>
        <w:spacing w:before="200" w:line-rule="auto"/>
        <w:ind w:firstLine="540"/>
        <w:jc w:val="both"/>
      </w:pPr>
      <w:r>
        <w:rPr>
          <w:sz w:val="20"/>
        </w:rPr>
        <w:t xml:space="preserve">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"АИР" запрос о разъяснении положений объявления о проведении конкурса путем формирования соответствующего запроса.</w:t>
      </w:r>
    </w:p>
    <w:p>
      <w:pPr>
        <w:pStyle w:val="0"/>
        <w:spacing w:before="200" w:line-rule="auto"/>
        <w:ind w:firstLine="540"/>
        <w:jc w:val="both"/>
      </w:pPr>
      <w:r>
        <w:rPr>
          <w:sz w:val="20"/>
        </w:rPr>
        <w:t xml:space="preserve">АНО "АИР" в ответ на запрос, указанный в </w:t>
      </w:r>
      <w:hyperlink w:history="0" w:anchor="P16767" w:tooltip="37. Участник конкурса со дня размещения объявления о проведении конкурса в Информационной системе, но не позднее 3 рабочего дня до даты окончания приема заявок, вправе направить в АНО &quot;АИР&quot; запрос о разъяснении положений объявления о проведении конкурса путем формирования соответствующего запроса.">
        <w:r>
          <w:rPr>
            <w:sz w:val="20"/>
            <w:color w:val="0000ff"/>
          </w:rPr>
          <w:t xml:space="preserve">абзаце первом</w:t>
        </w:r>
      </w:hyperlink>
      <w:r>
        <w:rPr>
          <w:sz w:val="20"/>
        </w:rPr>
        <w:t xml:space="preserve"> настоящего пункта, направляет разъяснение положений объявления о проведении конкурса в срок, установленный указанным объявлением, но не позднее 1 рабочего дня до даты окончания приема заявок, путем направления официального ответа. При этом разъяснение положений объявления о проведении конкурса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предоставляется всем участникам конкурса.</w:t>
      </w:r>
    </w:p>
    <w:p>
      <w:pPr>
        <w:pStyle w:val="0"/>
        <w:jc w:val="both"/>
      </w:pPr>
      <w:r>
        <w:rPr>
          <w:sz w:val="20"/>
        </w:rPr>
      </w:r>
    </w:p>
    <w:p>
      <w:pPr>
        <w:pStyle w:val="2"/>
        <w:outlineLvl w:val="4"/>
        <w:jc w:val="center"/>
      </w:pPr>
      <w:r>
        <w:rPr>
          <w:sz w:val="20"/>
        </w:rPr>
        <w:t xml:space="preserve">III. Условия и порядок предоставления субсидии</w:t>
      </w:r>
    </w:p>
    <w:p>
      <w:pPr>
        <w:pStyle w:val="0"/>
        <w:jc w:val="both"/>
      </w:pPr>
      <w:r>
        <w:rPr>
          <w:sz w:val="20"/>
        </w:rPr>
      </w:r>
    </w:p>
    <w:bookmarkStart w:id="16773" w:name="P16773"/>
    <w:bookmarkEnd w:id="16773"/>
    <w:p>
      <w:pPr>
        <w:pStyle w:val="0"/>
        <w:ind w:firstLine="540"/>
        <w:jc w:val="both"/>
      </w:pPr>
      <w:r>
        <w:rPr>
          <w:sz w:val="20"/>
        </w:rPr>
        <w:t xml:space="preserve">38. Направления затрат, на возмещение которых предоставляется субсидия, являются затраты на уплату первого взноса (аванса), предусмотренного договором лизинга Оборудования.</w:t>
      </w:r>
    </w:p>
    <w:p>
      <w:pPr>
        <w:pStyle w:val="0"/>
        <w:spacing w:before="200" w:line-rule="auto"/>
        <w:ind w:firstLine="540"/>
        <w:jc w:val="both"/>
      </w:pPr>
      <w:r>
        <w:rPr>
          <w:sz w:val="20"/>
        </w:rPr>
        <w:t xml:space="preserve">В рамках субсидии не возмещаются затраты на приобретение в собственность Оборудования:</w:t>
      </w:r>
    </w:p>
    <w:p>
      <w:pPr>
        <w:pStyle w:val="0"/>
        <w:spacing w:before="200" w:line-rule="auto"/>
        <w:ind w:firstLine="540"/>
        <w:jc w:val="both"/>
      </w:pPr>
      <w:r>
        <w:rPr>
          <w:sz w:val="20"/>
        </w:rPr>
        <w:t xml:space="preserve">ранее находившегося в эксплуатации;</w:t>
      </w:r>
    </w:p>
    <w:p>
      <w:pPr>
        <w:pStyle w:val="0"/>
        <w:spacing w:before="200" w:line-rule="auto"/>
        <w:ind w:firstLine="540"/>
        <w:jc w:val="both"/>
      </w:pPr>
      <w:r>
        <w:rPr>
          <w:sz w:val="20"/>
        </w:rPr>
        <w:t xml:space="preserve">дата изготовления (выпуска) которого превышает 5 лет на дату подачи заявки на предоставление субсидии;</w:t>
      </w:r>
    </w:p>
    <w:p>
      <w:pPr>
        <w:pStyle w:val="0"/>
        <w:spacing w:before="200" w:line-rule="auto"/>
        <w:ind w:firstLine="540"/>
        <w:jc w:val="both"/>
      </w:pPr>
      <w:r>
        <w:rPr>
          <w:sz w:val="20"/>
        </w:rPr>
        <w:t xml:space="preserve">предназначенного для осуществления деятельности в соответствии с разделом "G" </w:t>
      </w:r>
      <w:hyperlink w:history="0" r:id="rId75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Возмещению подлежат затраты, понесенные участником конкурса за период не ранее дня, следующего за днем окончания приема заявок на участие в конкурсе, проведенном в предшествующем календарном году по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мероприятию 01.07</w:t>
        </w:r>
      </w:hyperlink>
      <w:r>
        <w:rPr>
          <w:sz w:val="20"/>
        </w:rPr>
        <w:t xml:space="preserve">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Подпрограммы 3 государственной программы (далее - мероприятие 01.07) по дату подачи заявки на участие в конкурсе в текущем финансовом году.</w:t>
      </w:r>
    </w:p>
    <w:p>
      <w:pPr>
        <w:pStyle w:val="0"/>
        <w:spacing w:before="200" w:line-rule="auto"/>
        <w:ind w:firstLine="540"/>
        <w:jc w:val="both"/>
      </w:pPr>
      <w:r>
        <w:rPr>
          <w:sz w:val="20"/>
        </w:rPr>
        <w:t xml:space="preserve">39. Размер субсидии составляет 50 процентов произведенных и документально подтвержденных затрат на приобретение Оборудования и не может превышать 5 млн рублей на одного получателя субсидии по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мероприятию 01.07</w:t>
        </w:r>
      </w:hyperlink>
      <w:r>
        <w:rPr>
          <w:sz w:val="20"/>
        </w:rPr>
        <w:t xml:space="preserve"> с учетом особенностей, установленных </w:t>
      </w:r>
      <w:hyperlink w:history="0" w:anchor="P16780" w:tooltip="В случае если получатель субсидии одновременно является получателем субсидии, предоставляемой в текущем финансовом году в рамках реализации мероприятия 01.01 &quot;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quot;, то размер субсидии снижается таким образом, что совокупный размер субсидий по указанным мероприятиям не может превышать 5 млн рублей на такого получ...">
        <w:r>
          <w:rPr>
            <w:sz w:val="20"/>
            <w:color w:val="0000ff"/>
          </w:rPr>
          <w:t xml:space="preserve">абзацем вторым</w:t>
        </w:r>
      </w:hyperlink>
      <w:r>
        <w:rPr>
          <w:sz w:val="20"/>
        </w:rPr>
        <w:t xml:space="preserve"> настоящего пункта.</w:t>
      </w:r>
    </w:p>
    <w:bookmarkStart w:id="16780" w:name="P16780"/>
    <w:bookmarkEnd w:id="16780"/>
    <w:p>
      <w:pPr>
        <w:pStyle w:val="0"/>
        <w:spacing w:before="200" w:line-rule="auto"/>
        <w:ind w:firstLine="540"/>
        <w:jc w:val="both"/>
      </w:pPr>
      <w:r>
        <w:rPr>
          <w:sz w:val="20"/>
        </w:rPr>
        <w:t xml:space="preserve">В случае если получатель субсидии одновременно является получателем субсидии, предоставляемой в текущем финансовом году в рамках реализации </w:t>
      </w:r>
      <w:hyperlink w:history="0" w:anchor="P12576" w:tooltip="Мероприятие 01.01.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w:r>
          <w:rPr>
            <w:sz w:val="20"/>
            <w:color w:val="0000ff"/>
          </w:rPr>
          <w:t xml:space="preserve">мероприятия 01.01</w:t>
        </w:r>
      </w:hyperlink>
      <w:r>
        <w:rPr>
          <w:sz w:val="20"/>
        </w:rPr>
        <w:t xml:space="preserve"> "Возмещение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то размер субсидии снижается таким образом, что совокупный размер субсидий по указанным мероприятиям не может превышать 5 млн рублей на такого получателя субсидии.</w:t>
      </w:r>
    </w:p>
    <w:p>
      <w:pPr>
        <w:pStyle w:val="0"/>
        <w:spacing w:before="200" w:line-rule="auto"/>
        <w:ind w:firstLine="540"/>
        <w:jc w:val="both"/>
      </w:pPr>
      <w:r>
        <w:rPr>
          <w:sz w:val="20"/>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hyperlink w:history="0" w:anchor="P16982" w:tooltip="ПЕРЕЧЕНЬ ДОКУМЕНТОВ, ПРЕДСТАВЛЯЕМЫХ УЧАСТНИКАМИ КОНКУРСА">
        <w:r>
          <w:rPr>
            <w:sz w:val="20"/>
            <w:color w:val="0000ff"/>
          </w:rPr>
          <w:t xml:space="preserve">таблица 3</w:t>
        </w:r>
      </w:hyperlink>
      <w:r>
        <w:rPr>
          <w:sz w:val="20"/>
        </w:rPr>
        <w:t xml:space="preserve"> к Порядку).</w:t>
      </w:r>
    </w:p>
    <w:bookmarkStart w:id="16782" w:name="P16782"/>
    <w:bookmarkEnd w:id="16782"/>
    <w:p>
      <w:pPr>
        <w:pStyle w:val="0"/>
        <w:spacing w:before="200" w:line-rule="auto"/>
        <w:ind w:firstLine="540"/>
        <w:jc w:val="both"/>
      </w:pPr>
      <w:r>
        <w:rPr>
          <w:sz w:val="20"/>
        </w:rPr>
        <w:t xml:space="preserve">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w:t>
      </w:r>
    </w:p>
    <w:p>
      <w:pPr>
        <w:pStyle w:val="0"/>
        <w:spacing w:before="200" w:line-rule="auto"/>
        <w:ind w:firstLine="540"/>
        <w:jc w:val="both"/>
      </w:pPr>
      <w:r>
        <w:rPr>
          <w:sz w:val="20"/>
        </w:rPr>
        <w:t xml:space="preserve">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победителя конкурса требованиям, установленным в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 несоответствие затрат, произведенных победителем конкурса, цели предоставления субсидии и направлениям затрат, установленным в Порядке;</w:t>
      </w:r>
    </w:p>
    <w:p>
      <w:pPr>
        <w:pStyle w:val="0"/>
        <w:spacing w:before="200" w:line-rule="auto"/>
        <w:ind w:firstLine="540"/>
        <w:jc w:val="both"/>
      </w:pPr>
      <w:r>
        <w:rPr>
          <w:sz w:val="20"/>
        </w:rPr>
        <w:t xml:space="preserve">3) 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4) установление факта недостоверности информации, представленной участником конкурса, признанным допущенным к конкурсу;</w:t>
      </w:r>
    </w:p>
    <w:bookmarkStart w:id="16788" w:name="P16788"/>
    <w:bookmarkEnd w:id="16788"/>
    <w:p>
      <w:pPr>
        <w:pStyle w:val="0"/>
        <w:spacing w:before="200" w:line-rule="auto"/>
        <w:ind w:firstLine="540"/>
        <w:jc w:val="both"/>
      </w:pPr>
      <w:r>
        <w:rPr>
          <w:sz w:val="20"/>
        </w:rPr>
        <w:t xml:space="preserve">5) уклонение победителя конкурса от подписания Соглашения;</w:t>
      </w:r>
    </w:p>
    <w:bookmarkStart w:id="16789" w:name="P16789"/>
    <w:bookmarkEnd w:id="16789"/>
    <w:p>
      <w:pPr>
        <w:pStyle w:val="0"/>
        <w:spacing w:before="200" w:line-rule="auto"/>
        <w:ind w:firstLine="540"/>
        <w:jc w:val="both"/>
      </w:pPr>
      <w:r>
        <w:rPr>
          <w:sz w:val="20"/>
        </w:rPr>
        <w:t xml:space="preserve">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w:t>
      </w:r>
    </w:p>
    <w:bookmarkStart w:id="16790" w:name="P16790"/>
    <w:bookmarkEnd w:id="16790"/>
    <w:p>
      <w:pPr>
        <w:pStyle w:val="0"/>
        <w:spacing w:before="200" w:line-rule="auto"/>
        <w:ind w:firstLine="540"/>
        <w:jc w:val="both"/>
      </w:pPr>
      <w:r>
        <w:rPr>
          <w:sz w:val="20"/>
        </w:rPr>
        <w:t xml:space="preserve">41. В случае отказа в предоставлении субсидии в соответствии с </w:t>
      </w:r>
      <w:hyperlink w:history="0" w:anchor="P16789"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и образования нераспределенных бюджетных ассигнований, распределяемых в рамках конкурса, субсидии предоставляются в следующей очередности:</w:t>
      </w:r>
    </w:p>
    <w:bookmarkStart w:id="16791" w:name="P16791"/>
    <w:bookmarkEnd w:id="16791"/>
    <w:p>
      <w:pPr>
        <w:pStyle w:val="0"/>
        <w:spacing w:before="200" w:line-rule="auto"/>
        <w:ind w:firstLine="540"/>
        <w:jc w:val="both"/>
      </w:pPr>
      <w:r>
        <w:rPr>
          <w:sz w:val="20"/>
        </w:rPr>
        <w:t xml:space="preserve">участнику конкурса, у которого размер субсидии снижен в связи с недостаточностью бюджетных ассигнований;</w:t>
      </w:r>
    </w:p>
    <w:bookmarkStart w:id="16792" w:name="P16792"/>
    <w:bookmarkEnd w:id="16792"/>
    <w:p>
      <w:pPr>
        <w:pStyle w:val="0"/>
        <w:spacing w:before="200" w:line-rule="auto"/>
        <w:ind w:firstLine="540"/>
        <w:jc w:val="both"/>
      </w:pPr>
      <w:r>
        <w:rPr>
          <w:sz w:val="20"/>
        </w:rPr>
        <w:t xml:space="preserve">участникам конкурса, признанным победителями конкурса, но которым отказано в предоставлении субсидии по основанию, установленному </w:t>
      </w:r>
      <w:hyperlink w:history="0" w:anchor="P16789" w:tooltip="6) 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цели, предусмотренные Порядком.">
        <w:r>
          <w:rPr>
            <w:sz w:val="20"/>
            <w:color w:val="0000ff"/>
          </w:rPr>
          <w:t xml:space="preserve">подпунктом 6 пункта 40</w:t>
        </w:r>
      </w:hyperlink>
      <w:r>
        <w:rPr>
          <w:sz w:val="20"/>
        </w:rPr>
        <w:t xml:space="preserve">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признании победителями конкурса участников конкурса о предоставлении им субсидии победителям конкурса, указанным в </w:t>
      </w:r>
      <w:hyperlink w:history="0" w:anchor="P16791" w:tooltip="участнику конкурса, у которого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6792" w:tooltip="участникам конкурса, признанным победителями конкурса, но которым отказано в предоставлении субсидии по основанию, установленному подпунктом 6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bookmarkStart w:id="16794" w:name="P16794"/>
    <w:bookmarkEnd w:id="16794"/>
    <w:p>
      <w:pPr>
        <w:pStyle w:val="0"/>
        <w:spacing w:before="200" w:line-rule="auto"/>
        <w:ind w:firstLine="540"/>
        <w:jc w:val="both"/>
      </w:pPr>
      <w:r>
        <w:rPr>
          <w:sz w:val="20"/>
        </w:rPr>
        <w:t xml:space="preserve">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мероприятия 01.07</w:t>
        </w:r>
      </w:hyperlink>
      <w:r>
        <w:rPr>
          <w:sz w:val="20"/>
        </w:rPr>
        <w:t xml:space="preserve">, субсидия предоставляются в следующей очередности без проведения нового конкурса:</w:t>
      </w:r>
    </w:p>
    <w:bookmarkStart w:id="16795" w:name="P16795"/>
    <w:bookmarkEnd w:id="16795"/>
    <w:p>
      <w:pPr>
        <w:pStyle w:val="0"/>
        <w:spacing w:before="200" w:line-rule="auto"/>
        <w:ind w:firstLine="540"/>
        <w:jc w:val="both"/>
      </w:pPr>
      <w:r>
        <w:rPr>
          <w:sz w:val="20"/>
        </w:rPr>
        <w:t xml:space="preserve">участникам конкурса, у которых размер субсидии снижен в связи с недостаточностью бюджетных ассигнований;</w:t>
      </w:r>
    </w:p>
    <w:bookmarkStart w:id="16796" w:name="P16796"/>
    <w:bookmarkEnd w:id="16796"/>
    <w:p>
      <w:pPr>
        <w:pStyle w:val="0"/>
        <w:spacing w:before="200" w:line-rule="auto"/>
        <w:ind w:firstLine="540"/>
        <w:jc w:val="both"/>
      </w:pPr>
      <w:r>
        <w:rPr>
          <w:sz w:val="20"/>
        </w:rPr>
        <w:t xml:space="preserve">участникам конкурса, которым отказано в предоставлении субсидии по основанию, установленному подпунктом седьмым пункта 40 Порядка, в соответствии с рейтинговым списком.</w:t>
      </w:r>
    </w:p>
    <w:p>
      <w:pPr>
        <w:pStyle w:val="0"/>
        <w:spacing w:before="200" w:line-rule="auto"/>
        <w:ind w:firstLine="540"/>
        <w:jc w:val="both"/>
      </w:pPr>
      <w:r>
        <w:rPr>
          <w:sz w:val="20"/>
        </w:rPr>
        <w:t xml:space="preserve">Мининвест Московской области принимает решение о предоставлении субсидии победителям конкурса, указанным в </w:t>
      </w:r>
      <w:hyperlink w:history="0" w:anchor="P16795" w:tooltip="участникам конкурса, у которых размер субсидии снижен в связи с недостаточностью бюджетных ассигнований;">
        <w:r>
          <w:rPr>
            <w:sz w:val="20"/>
            <w:color w:val="0000ff"/>
          </w:rPr>
          <w:t xml:space="preserve">абзацах втором</w:t>
        </w:r>
      </w:hyperlink>
      <w:r>
        <w:rPr>
          <w:sz w:val="20"/>
        </w:rPr>
        <w:t xml:space="preserve"> и </w:t>
      </w:r>
      <w:hyperlink w:history="0" w:anchor="P16796" w:tooltip="участникам конкурса, которым отказано в предоставлении субсидии по основанию, установленному подпунктом седьмым пункта 40 Порядка, в соответствии с рейтинговым списком.">
        <w:r>
          <w:rPr>
            <w:sz w:val="20"/>
            <w:color w:val="0000ff"/>
          </w:rPr>
          <w:t xml:space="preserve">третьем</w:t>
        </w:r>
      </w:hyperlink>
      <w:r>
        <w:rPr>
          <w:sz w:val="20"/>
        </w:rPr>
        <w:t xml:space="preserve"> настоящего пункта, которое оформляется приказом Мининвеста Московской области.</w:t>
      </w:r>
    </w:p>
    <w:p>
      <w:pPr>
        <w:pStyle w:val="0"/>
        <w:spacing w:before="200" w:line-rule="auto"/>
        <w:ind w:firstLine="540"/>
        <w:jc w:val="both"/>
      </w:pPr>
      <w:r>
        <w:rPr>
          <w:sz w:val="20"/>
        </w:rPr>
        <w:t xml:space="preserve">43. По результатам конкурса с победителем конкурса заключается Соглашение в соответствии с положениями </w:t>
      </w:r>
      <w:hyperlink w:history="0" r:id="rId756" w:tooltip="Постановление Правительства МО от 19.08.2022 N 881/27 (ред. от 13.12.2024) &quot;Об утверждении Порядка разработки и реализации государственных программ Московской области&quot; (с изм. и доп., вступающими в силу с 01.01.2025) {КонсультантПлюс}">
        <w:r>
          <w:rPr>
            <w:sz w:val="20"/>
            <w:color w:val="0000ff"/>
          </w:rPr>
          <w:t xml:space="preserve">пункта 29.1</w:t>
        </w:r>
      </w:hyperlink>
      <w:r>
        <w:rPr>
          <w:sz w:val="20"/>
        </w:rPr>
        <w:t xml:space="preserve"> Порядка разработки и реализации государственных программ.</w:t>
      </w:r>
    </w:p>
    <w:bookmarkStart w:id="16799" w:name="P16799"/>
    <w:bookmarkEnd w:id="16799"/>
    <w:p>
      <w:pPr>
        <w:pStyle w:val="0"/>
        <w:spacing w:before="200" w:line-rule="auto"/>
        <w:ind w:firstLine="540"/>
        <w:jc w:val="both"/>
      </w:pPr>
      <w:r>
        <w:rPr>
          <w:sz w:val="20"/>
        </w:rPr>
        <w:t xml:space="preserve">44. В случае превышения подтвержденных сумм субсидий получателям субсидии над бюджетными ассигнованиями заявка, зарегистрированная в Информационной системе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 в соответствии с согласием, представленным получателем субсидии при заполнении заявки.</w:t>
      </w:r>
    </w:p>
    <w:bookmarkStart w:id="16800" w:name="P16800"/>
    <w:bookmarkEnd w:id="16800"/>
    <w:p>
      <w:pPr>
        <w:pStyle w:val="0"/>
        <w:spacing w:before="200" w:line-rule="auto"/>
        <w:ind w:firstLine="540"/>
        <w:jc w:val="both"/>
      </w:pPr>
      <w:r>
        <w:rPr>
          <w:sz w:val="20"/>
        </w:rPr>
        <w:t xml:space="preserve">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w:t>
      </w:r>
      <w:hyperlink w:history="0" w:anchor="P16790"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и </w:t>
      </w:r>
      <w:hyperlink w:history="0" w:anchor="P16794"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7,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(далее - Решение) в следующем порядке:</w:t>
      </w:r>
    </w:p>
    <w:p>
      <w:pPr>
        <w:pStyle w:val="0"/>
        <w:spacing w:before="200" w:line-rule="auto"/>
        <w:ind w:firstLine="540"/>
        <w:jc w:val="both"/>
      </w:pPr>
      <w:r>
        <w:rPr>
          <w:sz w:val="20"/>
        </w:rPr>
        <w:t xml:space="preserve">в течение 2 рабочих дней со дня принятия Решения Мининвест Московской области направляет победителю конкурса уведомление о предоставлении субсидии и Соглашение, подписанное усиленной квалифицированной ЭП уполномоченного должностного лица Мининвеста Московской области, в личный кабинет победителя конкурса в Информационной системе;</w:t>
      </w:r>
    </w:p>
    <w:bookmarkStart w:id="16802" w:name="P16802"/>
    <w:bookmarkEnd w:id="16802"/>
    <w:p>
      <w:pPr>
        <w:pStyle w:val="0"/>
        <w:spacing w:before="200" w:line-rule="auto"/>
        <w:ind w:firstLine="540"/>
        <w:jc w:val="both"/>
      </w:pPr>
      <w:r>
        <w:rPr>
          <w:sz w:val="20"/>
        </w:rPr>
        <w:t xml:space="preserve">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w:t>
      </w:r>
    </w:p>
    <w:p>
      <w:pPr>
        <w:pStyle w:val="0"/>
        <w:spacing w:before="200" w:line-rule="auto"/>
        <w:ind w:firstLine="540"/>
        <w:jc w:val="both"/>
      </w:pPr>
      <w:r>
        <w:rPr>
          <w:sz w:val="20"/>
        </w:rPr>
        <w:t xml:space="preserve">Победитель Конкурса вправе отказаться от получения субсидии, направив в Мининвест Московской области соответствующий запрос в Информационной системе.</w:t>
      </w:r>
    </w:p>
    <w:p>
      <w:pPr>
        <w:pStyle w:val="0"/>
        <w:spacing w:before="200" w:line-rule="auto"/>
        <w:ind w:firstLine="540"/>
        <w:jc w:val="both"/>
      </w:pPr>
      <w:r>
        <w:rPr>
          <w:sz w:val="20"/>
        </w:rPr>
        <w:t xml:space="preserve">В случае неподписания победителем конкурса Соглашения в установленный срок Мининвест Московской области принимает решение об отказе в предоставлении субсидии по основанию, предусмотренному </w:t>
      </w:r>
      <w:hyperlink w:history="0" w:anchor="P16788" w:tooltip="5) уклонение победителя конкурса от подписания Соглашения;">
        <w:r>
          <w:rPr>
            <w:sz w:val="20"/>
            <w:color w:val="0000ff"/>
          </w:rPr>
          <w:t xml:space="preserve">подпунктом 5 пункта 40</w:t>
        </w:r>
      </w:hyperlink>
      <w:r>
        <w:rPr>
          <w:sz w:val="20"/>
        </w:rPr>
        <w:t xml:space="preserve"> Порядка.</w:t>
      </w:r>
    </w:p>
    <w:p>
      <w:pPr>
        <w:pStyle w:val="0"/>
        <w:spacing w:before="200" w:line-rule="auto"/>
        <w:ind w:firstLine="540"/>
        <w:jc w:val="both"/>
      </w:pPr>
      <w:r>
        <w:rPr>
          <w:sz w:val="20"/>
        </w:rPr>
        <w:t xml:space="preserve">Условиями заключения Соглашения являются:</w:t>
      </w:r>
    </w:p>
    <w:p>
      <w:pPr>
        <w:pStyle w:val="0"/>
        <w:spacing w:before="200" w:line-rule="auto"/>
        <w:ind w:firstLine="540"/>
        <w:jc w:val="both"/>
      </w:pPr>
      <w:r>
        <w:rPr>
          <w:sz w:val="20"/>
        </w:rPr>
        <w:t xml:space="preserve">признание участника конкурса победителем конкурса;</w:t>
      </w:r>
    </w:p>
    <w:p>
      <w:pPr>
        <w:pStyle w:val="0"/>
        <w:spacing w:before="200" w:line-rule="auto"/>
        <w:ind w:firstLine="540"/>
        <w:jc w:val="both"/>
      </w:pPr>
      <w:r>
        <w:rPr>
          <w:sz w:val="20"/>
        </w:rPr>
        <w:t xml:space="preserve">соответствие на дату заключения Соглашения победителя конкурса требованиям, установленным </w:t>
      </w:r>
      <w:hyperlink w:history="0" w:anchor="P16608" w:tooltip="12. Требования к участникам конкурса, которым они должны соответствовать на даты подачи заявки и заключения Соглашения:">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46. Соглашение, дополнительное соглашение к Соглашению, в том числе дополнительное соглашение о расторжении Соглашения, заключаются между Мининвестом Московской области и победителем конкурса по типовой форме, утвержденной распоряжением Министерства экономики и финансов Московской области.</w:t>
      </w:r>
    </w:p>
    <w:p>
      <w:pPr>
        <w:pStyle w:val="0"/>
        <w:spacing w:before="200" w:line-rule="auto"/>
        <w:ind w:firstLine="540"/>
        <w:jc w:val="both"/>
      </w:pPr>
      <w:r>
        <w:rPr>
          <w:sz w:val="20"/>
        </w:rPr>
        <w:t xml:space="preserve">Дополнительные соглашения заключаются в порядке, аналогичном порядку, указанному в </w:t>
      </w:r>
      <w:hyperlink w:history="0" w:anchor="P16800"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пункте 45</w:t>
        </w:r>
      </w:hyperlink>
      <w:r>
        <w:rPr>
          <w:sz w:val="20"/>
        </w:rPr>
        <w:t xml:space="preserve"> для заключения Соглашения.</w:t>
      </w:r>
    </w:p>
    <w:p>
      <w:pPr>
        <w:pStyle w:val="0"/>
        <w:spacing w:before="200" w:line-rule="auto"/>
        <w:ind w:firstLine="540"/>
        <w:jc w:val="both"/>
      </w:pPr>
      <w:r>
        <w:rPr>
          <w:sz w:val="20"/>
        </w:rPr>
        <w:t xml:space="preserve">47. В случае неподписания победителем конкурса Соглашения в срок, установленный </w:t>
      </w:r>
      <w:hyperlink w:history="0" w:anchor="P16802" w:tooltip="в течение 2 рабочих дней со дня отправления Соглашения победитель конкурса направляет в адрес Мининвеста Московской области Соглашение, подписанное усиленной квалифицированной ЭП со своей стороны.">
        <w:r>
          <w:rPr>
            <w:sz w:val="20"/>
            <w:color w:val="0000ff"/>
          </w:rPr>
          <w:t xml:space="preserve">абзацем третьим пункта 45</w:t>
        </w:r>
      </w:hyperlink>
      <w:r>
        <w:rPr>
          <w:sz w:val="20"/>
        </w:rPr>
        <w:t xml:space="preserve"> Порядка, победитель конкурса признается уклонившимся от заключения Соглашения и субсидия не предоставляется, о чем получатель субсидии уведомляется Мининвестом Московской области в Информационной системе в течение 2 рабочих дней со дня, следующего за днем окончания срока, установленного абзацем третьим пункта 45 Порядка.</w:t>
      </w:r>
    </w:p>
    <w:p>
      <w:pPr>
        <w:pStyle w:val="0"/>
        <w:spacing w:before="200" w:line-rule="auto"/>
        <w:ind w:firstLine="540"/>
        <w:jc w:val="both"/>
      </w:pPr>
      <w:r>
        <w:rPr>
          <w:sz w:val="20"/>
        </w:rPr>
        <w:t xml:space="preserve">48.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размер субсидии и сроки ее перечисления;</w:t>
      </w:r>
    </w:p>
    <w:p>
      <w:pPr>
        <w:pStyle w:val="0"/>
        <w:spacing w:before="200" w:line-rule="auto"/>
        <w:ind w:firstLine="540"/>
        <w:jc w:val="both"/>
      </w:pPr>
      <w:r>
        <w:rPr>
          <w:sz w:val="20"/>
        </w:rPr>
        <w:t xml:space="preserve">согласие получателя субсидии на осуществление в отношении него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75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5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значения результата предоставления субсидии, установленные в соответствии с заявкой (в случае, если в связи с недостаточностью бюджетных ассигнований по </w:t>
      </w:r>
      <w:hyperlink w:history="0" w:anchor="P12965" w:tooltip="Мероприятие 01.07. Возмещение части затрат субъектов малого и среднего предпринимательства, связанных с уплатой первого взноса (аванса) при заключении договора лизинга оборудования">
        <w:r>
          <w:rPr>
            <w:sz w:val="20"/>
            <w:color w:val="0000ff"/>
          </w:rPr>
          <w:t xml:space="preserve">мероприятию 01.07</w:t>
        </w:r>
      </w:hyperlink>
      <w:r>
        <w:rPr>
          <w:sz w:val="20"/>
        </w:rPr>
        <w:t xml:space="preserve"> размер предоставленной субсидии меньше размера, указанного получателем субсидии в заявке, результаты предоставления субсидии снижаются пропорционально уменьшению размера предоставляемой субсидии).</w:t>
      </w:r>
    </w:p>
    <w:p>
      <w:pPr>
        <w:pStyle w:val="0"/>
        <w:spacing w:before="200" w:line-rule="auto"/>
        <w:ind w:firstLine="540"/>
        <w:jc w:val="both"/>
      </w:pPr>
      <w:r>
        <w:rPr>
          <w:sz w:val="20"/>
        </w:rPr>
        <w:t xml:space="preserve">49. Перечисление субсидии осуществляется не позднее 10 рабочего дня, следующего за днем принятия Мининвестом Московской области по результатам рассмотрения и проверки им документов, подтверждающих фактически произведенные затраты, решения о предоставлении субсидии, указанного в </w:t>
      </w:r>
      <w:hyperlink w:history="0" w:anchor="P16782" w:tooltip="40. Мининвест Московской области в срок не более 1 рабочего дня со дня подписания протокола подведения итогов конкурса принимает решения о предоставлении субсидии и об отказе в предоставлении субсидии, которые оформляются приказами Мининвеста Московской области.">
        <w:r>
          <w:rPr>
            <w:sz w:val="20"/>
            <w:color w:val="0000ff"/>
          </w:rPr>
          <w:t xml:space="preserve">пункте 40</w:t>
        </w:r>
      </w:hyperlink>
      <w:r>
        <w:rPr>
          <w:sz w:val="20"/>
        </w:rPr>
        <w:t xml:space="preserve"> Порядка.</w:t>
      </w:r>
    </w:p>
    <w:p>
      <w:pPr>
        <w:pStyle w:val="0"/>
        <w:spacing w:before="200" w:line-rule="auto"/>
        <w:ind w:firstLine="540"/>
        <w:jc w:val="both"/>
      </w:pPr>
      <w:r>
        <w:rPr>
          <w:sz w:val="20"/>
        </w:rPr>
        <w:t xml:space="preserve">В случаях, предусмотренных </w:t>
      </w:r>
      <w:hyperlink w:history="0" w:anchor="P16790" w:tooltip="41. В случае отказа в предоставлении субсидии в соответствии с подпунктом 6 пункта 40 Порядка и образования нераспределенных бюджетных ассигнований, распределяемых в рамках конкурса, субсидии предоставляются в следующей очередности:">
        <w:r>
          <w:rPr>
            <w:sz w:val="20"/>
            <w:color w:val="0000ff"/>
          </w:rPr>
          <w:t xml:space="preserve">пунктами 41</w:t>
        </w:r>
      </w:hyperlink>
      <w:r>
        <w:rPr>
          <w:sz w:val="20"/>
        </w:rPr>
        <w:t xml:space="preserve">, </w:t>
      </w:r>
      <w:hyperlink w:history="0" w:anchor="P16794" w:tooltip="42. В случае если после подписания протокола подведения итогов конкурса в бюджете Московской области будут предусмотрены дополнительные ассигнования на реализацию мероприятия 01.07, субсидия предоставляются в следующей очередности без проведения нового конкурса:">
        <w:r>
          <w:rPr>
            <w:sz w:val="20"/>
            <w:color w:val="0000ff"/>
          </w:rPr>
          <w:t xml:space="preserve">42</w:t>
        </w:r>
      </w:hyperlink>
      <w:r>
        <w:rPr>
          <w:sz w:val="20"/>
        </w:rPr>
        <w:t xml:space="preserve"> Порядка, перечисление субсидии осуществляется не позднее 10 рабочего дня, следующего за днем принятия Мининвестом Московской области решений о предоставлении субсидии, указанных в пунктах 41 и 42 Порядка.</w:t>
      </w:r>
    </w:p>
    <w:p>
      <w:pPr>
        <w:pStyle w:val="0"/>
        <w:spacing w:before="200" w:line-rule="auto"/>
        <w:ind w:firstLine="540"/>
        <w:jc w:val="both"/>
      </w:pPr>
      <w:r>
        <w:rPr>
          <w:sz w:val="20"/>
        </w:rPr>
        <w:t xml:space="preserve">Субсидии подлежат перечислению на расчетные счета получателей субсидий, открытые в кредитных организациях, указанные в Соглашениях.</w:t>
      </w:r>
    </w:p>
    <w:p>
      <w:pPr>
        <w:pStyle w:val="0"/>
        <w:spacing w:before="200" w:line-rule="auto"/>
        <w:ind w:firstLine="540"/>
        <w:jc w:val="both"/>
      </w:pPr>
      <w:r>
        <w:rPr>
          <w:sz w:val="20"/>
        </w:rPr>
        <w:t xml:space="preserve">50.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 использованного остатка субсидии в бюджет Московской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60"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761"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51. Результатом предоставления субсидии является прирост налоговых отчислений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Результат предоставления субсидии рассчитывается как разница налоговых отчислений получателя субсидии за год получения субсидии к году, предшествующему году получения субсидии.</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52. В случаях наличия по результатам проведения конкурса остатка лимитов бюджетных обязательств на предоставление субсидии на соответствующий финансовый год, не распределенного между победителями конкурса, увеличения лимитов бюджетных обязательств, отказа от заключения Соглашения, неподписания победителем конкурса Соглашения в срок, определенный объявлением о проведении конкурса в соответствии с </w:t>
      </w:r>
      <w:hyperlink w:history="0" w:anchor="P16800" w:tooltip="45. Соглашение заключается с победителем конкурса в течение 4 рабочих дней со дня принятия Мининвестом Московской области решения о предоставлении субсидии в соответствии с пунктами 41 и 42 Порядка (далее - Решение) в следующем порядке:">
        <w:r>
          <w:rPr>
            <w:sz w:val="20"/>
            <w:color w:val="0000ff"/>
          </w:rPr>
          <w:t xml:space="preserve">пунктом 45</w:t>
        </w:r>
      </w:hyperlink>
      <w:r>
        <w:rPr>
          <w:sz w:val="20"/>
        </w:rPr>
        <w:t xml:space="preserve"> Порядка, расторжения соглашения с получателем субсидии и наличия участников конкурса, включенных в итоговый рейтинговый список, которым отказано в предоставлении субсидии по причине недостаточности лимитов бюджетных обязательств на предоставление субсидии, субсидия может распределяться без повторного проведения конкурса с учетом присвоенного ранее номера в итоговом рейтинговом списке.</w:t>
      </w:r>
    </w:p>
    <w:p>
      <w:pPr>
        <w:pStyle w:val="0"/>
        <w:jc w:val="both"/>
      </w:pPr>
      <w:r>
        <w:rPr>
          <w:sz w:val="20"/>
        </w:rPr>
      </w:r>
    </w:p>
    <w:p>
      <w:pPr>
        <w:pStyle w:val="2"/>
        <w:outlineLvl w:val="4"/>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53. Получатели субсидии представляют Мининвест Московской области отчет о достижении значений результата предоставления субсидии по форме, установленной Соглашением (далее - Отчет), в электронной форме посредством личного кабинета в Информационной системе.</w:t>
      </w:r>
    </w:p>
    <w:p>
      <w:pPr>
        <w:pStyle w:val="0"/>
        <w:spacing w:before="200" w:line-rule="auto"/>
        <w:ind w:firstLine="540"/>
        <w:jc w:val="both"/>
      </w:pPr>
      <w:r>
        <w:rPr>
          <w:sz w:val="20"/>
        </w:rPr>
        <w:t xml:space="preserve">Отчетным периодом является год получения субсидии.</w:t>
      </w:r>
    </w:p>
    <w:p>
      <w:pPr>
        <w:pStyle w:val="0"/>
        <w:spacing w:before="200" w:line-rule="auto"/>
        <w:ind w:firstLine="540"/>
        <w:jc w:val="both"/>
      </w:pPr>
      <w:r>
        <w:rPr>
          <w:sz w:val="20"/>
        </w:rPr>
        <w:t xml:space="preserve">Отчет представляется ежеквартально в срок не позднее 15 рабочего дня месяца, следующего за отчетным кварталом, а по итогам отчетного периода - в срок до 15 апреля года, следующего за отчетным периодом.</w:t>
      </w:r>
    </w:p>
    <w:p>
      <w:pPr>
        <w:pStyle w:val="0"/>
        <w:spacing w:before="200" w:line-rule="auto"/>
        <w:ind w:firstLine="540"/>
        <w:jc w:val="both"/>
      </w:pPr>
      <w:r>
        <w:rPr>
          <w:sz w:val="20"/>
        </w:rPr>
        <w:t xml:space="preserve">Форма Отчета определяется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При представлении отчетных документов в электронном виде документы подписываются усиленной квалифицированной электронной подписью руководителя получателя субсидии или уполномоченного лица.</w:t>
      </w:r>
    </w:p>
    <w:p>
      <w:pPr>
        <w:pStyle w:val="0"/>
        <w:spacing w:before="200" w:line-rule="auto"/>
        <w:ind w:firstLine="540"/>
        <w:jc w:val="both"/>
      </w:pPr>
      <w:r>
        <w:rPr>
          <w:sz w:val="20"/>
        </w:rPr>
        <w:t xml:space="preserve">Проверка и принятие отчетности, представляемой в соответствии с настоящим разделом, осуществляется Мининвестом Московской в течение 30 рабочих дней со дня ее представления.</w:t>
      </w:r>
    </w:p>
    <w:bookmarkStart w:id="16836" w:name="P16836"/>
    <w:bookmarkEnd w:id="16836"/>
    <w:p>
      <w:pPr>
        <w:pStyle w:val="0"/>
        <w:spacing w:before="200" w:line-rule="auto"/>
        <w:ind w:firstLine="540"/>
        <w:jc w:val="both"/>
      </w:pPr>
      <w:r>
        <w:rPr>
          <w:sz w:val="20"/>
        </w:rPr>
        <w:t xml:space="preserve">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w:t>
      </w:r>
    </w:p>
    <w:p>
      <w:pPr>
        <w:pStyle w:val="0"/>
        <w:spacing w:before="200" w:line-rule="auto"/>
        <w:ind w:firstLine="540"/>
        <w:jc w:val="both"/>
      </w:pPr>
      <w:r>
        <w:rPr>
          <w:sz w:val="20"/>
        </w:rPr>
        <w:t xml:space="preserve">В случае несоответствия представленной получателем субсидии отчетности требованиям Порядка Мининвест Московской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10 дней с даты направления уведомления, указанного в </w:t>
      </w:r>
      <w:hyperlink w:history="0" w:anchor="P16836" w:tooltip="По итогам проведенной проверки Мининвест Московской принимает представленную получателем субсидии отчетность в случае ее соответствия требованиям Порядка.">
        <w:r>
          <w:rPr>
            <w:sz w:val="20"/>
            <w:color w:val="0000ff"/>
          </w:rPr>
          <w:t xml:space="preserve">абзаце восьмом</w:t>
        </w:r>
      </w:hyperlink>
      <w:r>
        <w:rPr>
          <w:sz w:val="20"/>
        </w:rPr>
        <w:t xml:space="preserve"> настоящего пункта,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6845" w:tooltip="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
        <w:r>
          <w:rPr>
            <w:sz w:val="20"/>
            <w:color w:val="0000ff"/>
          </w:rPr>
          <w:t xml:space="preserve">пунктом 54</w:t>
        </w:r>
      </w:hyperlink>
      <w:r>
        <w:rPr>
          <w:sz w:val="20"/>
        </w:rPr>
        <w:t xml:space="preserve"> Порядка.</w:t>
      </w:r>
    </w:p>
    <w:p>
      <w:pPr>
        <w:pStyle w:val="0"/>
        <w:spacing w:before="200" w:line-rule="auto"/>
        <w:ind w:firstLine="540"/>
        <w:jc w:val="both"/>
      </w:pPr>
      <w:r>
        <w:rPr>
          <w:sz w:val="20"/>
        </w:rPr>
        <w:t xml:space="preserve">Непредставление получателем субсидии Отчета в установленные сроки приравнивается к недостижению значения результата предоставления субсидии.</w:t>
      </w:r>
    </w:p>
    <w:p>
      <w:pPr>
        <w:pStyle w:val="0"/>
        <w:spacing w:before="200" w:line-rule="auto"/>
        <w:ind w:firstLine="540"/>
        <w:jc w:val="both"/>
      </w:pPr>
      <w:r>
        <w:rPr>
          <w:sz w:val="20"/>
        </w:rPr>
        <w:t xml:space="preserve">Получатель субсидии вправе по собственной инициативе в срок 25 мая года, следующего за отчетным периодом, сдать уточненный Отчет по итогам отчетного периода при обнаружении некорректных данных в ранее представленном Отчете. Уточненный Отчет представляется в электронной форме посредством личного кабинета в Информационной системе с приложением документов, подтверждающих внесенные в Отчет изменения.</w:t>
      </w:r>
    </w:p>
    <w:p>
      <w:pPr>
        <w:pStyle w:val="0"/>
        <w:jc w:val="both"/>
      </w:pPr>
      <w:r>
        <w:rPr>
          <w:sz w:val="20"/>
        </w:rPr>
      </w:r>
    </w:p>
    <w:p>
      <w:pPr>
        <w:pStyle w:val="2"/>
        <w:outlineLvl w:val="4"/>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6845" w:name="P16845"/>
    <w:bookmarkEnd w:id="16845"/>
    <w:p>
      <w:pPr>
        <w:pStyle w:val="0"/>
        <w:ind w:firstLine="540"/>
        <w:jc w:val="both"/>
      </w:pPr>
      <w:r>
        <w:rPr>
          <w:sz w:val="20"/>
        </w:rPr>
        <w:t xml:space="preserve">54. Мининвест Московской области осуществляет в отношении получателя субсидии проверку соблюдения им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в соответствии со </w:t>
      </w:r>
      <w:hyperlink w:history="0" r:id="rId76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55.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использованных с нарушением таких условий, в бюджет Московской области в течение 30 дней со дня получения от Мининвеста Московской области соответствующего требования о возврате средств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56. В случае недостижения значений результата предоставления субсидии или непредставления Отчета в установленные сроки получатель субсидии обеспечивает возврат средств субсидии в бюджет Московской области в течение 30 дней со дня получения от Мининвестом Московской области соответствующего требования о возврате средств субсидии или в срок, указанный в акте органа государственного финансового контроля Московской области.</w:t>
      </w:r>
    </w:p>
    <w:p>
      <w:pPr>
        <w:pStyle w:val="0"/>
        <w:spacing w:before="200" w:line-rule="auto"/>
        <w:ind w:firstLine="540"/>
        <w:jc w:val="both"/>
      </w:pPr>
      <w:r>
        <w:rPr>
          <w:sz w:val="20"/>
        </w:rPr>
        <w:t xml:space="preserve">При недостижении значения результата предоставления субсидии, установленного Соглашением, возврат субсидии производится в размере, рассчитанном пропорционально недостигнутому значению результата предоставления субсидии, установленным Соглашением.</w:t>
      </w:r>
    </w:p>
    <w:p>
      <w:pPr>
        <w:pStyle w:val="0"/>
        <w:spacing w:before="200" w:line-rule="auto"/>
        <w:ind w:firstLine="540"/>
        <w:jc w:val="both"/>
      </w:pPr>
      <w:r>
        <w:rPr>
          <w:sz w:val="20"/>
        </w:rPr>
        <w:t xml:space="preserve">Расчет размера субсидии, подлежащего возврату в бюджет Московской области, производится по следующей формуле:</w:t>
      </w:r>
    </w:p>
    <w:p>
      <w:pPr>
        <w:pStyle w:val="0"/>
        <w:jc w:val="both"/>
      </w:pPr>
      <w:r>
        <w:rPr>
          <w:sz w:val="20"/>
        </w:rPr>
      </w:r>
    </w:p>
    <w:p>
      <w:pPr>
        <w:pStyle w:val="0"/>
        <w:ind w:firstLine="540"/>
        <w:jc w:val="both"/>
      </w:pPr>
      <w:r>
        <w:rPr>
          <w:sz w:val="20"/>
        </w:rPr>
        <w:t xml:space="preserve">В = (С x П) /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 - размер субсидии, подлежащий возврату в бюджет Московской области;</w:t>
      </w:r>
    </w:p>
    <w:p>
      <w:pPr>
        <w:pStyle w:val="0"/>
        <w:spacing w:before="200" w:line-rule="auto"/>
        <w:ind w:firstLine="540"/>
        <w:jc w:val="both"/>
      </w:pPr>
      <w:r>
        <w:rPr>
          <w:sz w:val="20"/>
        </w:rPr>
        <w:t xml:space="preserve">С - сумма субсидии, предоставленная получателю субсидии в отчетном финансовом году;</w:t>
      </w:r>
    </w:p>
    <w:p>
      <w:pPr>
        <w:pStyle w:val="0"/>
        <w:spacing w:before="200" w:line-rule="auto"/>
        <w:ind w:firstLine="540"/>
        <w:jc w:val="both"/>
      </w:pPr>
      <w:r>
        <w:rPr>
          <w:sz w:val="20"/>
        </w:rPr>
        <w:t xml:space="preserve">П - процент взыскания (в %), определяемый следующим образом:</w:t>
      </w:r>
    </w:p>
    <w:p>
      <w:pPr>
        <w:pStyle w:val="0"/>
        <w:spacing w:before="200" w:line-rule="auto"/>
        <w:ind w:firstLine="540"/>
        <w:jc w:val="both"/>
      </w:pPr>
      <w:r>
        <w:rPr>
          <w:sz w:val="20"/>
        </w:rPr>
        <w:t xml:space="preserve">1) если получателем субсидии значение результата предоставления субсидии за отчетный финансовый год не достигнуто менее чем на 10% от значения результата предоставления субсидии, установленного Соглашением, П = 0;</w:t>
      </w:r>
    </w:p>
    <w:p>
      <w:pPr>
        <w:pStyle w:val="0"/>
        <w:spacing w:before="200" w:line-rule="auto"/>
        <w:ind w:firstLine="540"/>
        <w:jc w:val="both"/>
      </w:pPr>
      <w:r>
        <w:rPr>
          <w:sz w:val="20"/>
        </w:rPr>
        <w:t xml:space="preserve">2) если получателем субсидии значение результата предоставления субсидии за отчетный финансовый год не достигнуто более чем на 50% от значения результата предоставления субсидии, установленного Соглашением, П = 100%.</w:t>
      </w:r>
    </w:p>
    <w:p>
      <w:pPr>
        <w:pStyle w:val="0"/>
        <w:jc w:val="both"/>
      </w:pPr>
      <w:r>
        <w:rPr>
          <w:sz w:val="20"/>
        </w:rPr>
      </w:r>
    </w:p>
    <w:p>
      <w:pPr>
        <w:pStyle w:val="0"/>
        <w:ind w:firstLine="540"/>
        <w:jc w:val="both"/>
      </w:pPr>
      <w:r>
        <w:rPr>
          <w:sz w:val="20"/>
        </w:rPr>
        <w:t xml:space="preserve">При непредставлении Отчета в установленные сроки субсидия подлежит возврату в полном объеме.</w:t>
      </w:r>
    </w:p>
    <w:p>
      <w:pPr>
        <w:pStyle w:val="0"/>
        <w:spacing w:before="200" w:line-rule="auto"/>
        <w:ind w:firstLine="540"/>
        <w:jc w:val="both"/>
      </w:pPr>
      <w:r>
        <w:rPr>
          <w:sz w:val="20"/>
        </w:rPr>
        <w:t xml:space="preserve">57. В случае неисполнения получателем субсидии требования о возврате Мининвест Московской области производит взыскание средств субсидии в порядке, установленном законодательством Российской Федерации.</w:t>
      </w:r>
    </w:p>
    <w:p>
      <w:pPr>
        <w:pStyle w:val="0"/>
        <w:spacing w:before="200" w:line-rule="auto"/>
        <w:ind w:firstLine="540"/>
        <w:jc w:val="both"/>
      </w:pPr>
      <w:r>
        <w:rPr>
          <w:sz w:val="20"/>
        </w:rPr>
        <w:t xml:space="preserve">58. В случае призыва получателя субсидии на военную службу по мобилизации в Вооруженные Силы Российской Федерации в соответствии с </w:t>
      </w:r>
      <w:hyperlink w:history="0" r:id="rId764"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призыв на военную службу по мобилизации),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допускается продление сроков достижения результата предоставления субсидии, представления отчетов.</w:t>
      </w:r>
    </w:p>
    <w:p>
      <w:pPr>
        <w:pStyle w:val="0"/>
        <w:spacing w:before="200" w:line-rule="auto"/>
        <w:ind w:firstLine="540"/>
        <w:jc w:val="both"/>
      </w:pPr>
      <w:r>
        <w:rPr>
          <w:sz w:val="20"/>
        </w:rPr>
        <w:t xml:space="preserve">Под получателем субсидии, призванным на военную службу по мобилизации, проходящим военную службу по контракту или проходящим военную службу в добровольческом формировании понимается:</w:t>
      </w:r>
    </w:p>
    <w:p>
      <w:pPr>
        <w:pStyle w:val="0"/>
        <w:spacing w:before="200" w:line-rule="auto"/>
        <w:ind w:firstLine="540"/>
        <w:jc w:val="both"/>
      </w:pPr>
      <w:r>
        <w:rPr>
          <w:sz w:val="20"/>
        </w:rPr>
        <w:t xml:space="preserve">1) индивидуальный предприниматель, призванный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2) юридическое лицо, единственный учредитель которого, являющийся одновременно единоличным исполнительным органом, призван на военную службу по мобилизации или проходящий военную службу по контракту.</w:t>
      </w:r>
    </w:p>
    <w:p>
      <w:pPr>
        <w:pStyle w:val="0"/>
        <w:spacing w:before="200" w:line-rule="auto"/>
        <w:ind w:firstLine="540"/>
        <w:jc w:val="both"/>
      </w:pPr>
      <w:r>
        <w:rPr>
          <w:sz w:val="20"/>
        </w:rPr>
        <w:t xml:space="preserve">Срок достижения результата предоставления субсидии, предсставления отчетов продлевается на срок прохождения военной службы по мобилизации, прохождения военной службы по контракту, а также в добровольческом формировании.</w:t>
      </w:r>
    </w:p>
    <w:p>
      <w:pPr>
        <w:pStyle w:val="0"/>
        <w:spacing w:before="200" w:line-rule="auto"/>
        <w:ind w:firstLine="540"/>
        <w:jc w:val="both"/>
      </w:pPr>
      <w:r>
        <w:rPr>
          <w:sz w:val="20"/>
        </w:rPr>
        <w:t xml:space="preserve">Вне зависимости от количества месяцев календарного года прохождения военной службы срок достижения результата предоставления субсидии продлевается на целый календарный год.</w:t>
      </w:r>
    </w:p>
    <w:bookmarkStart w:id="16870" w:name="P16870"/>
    <w:bookmarkEnd w:id="16870"/>
    <w:p>
      <w:pPr>
        <w:pStyle w:val="0"/>
        <w:spacing w:before="200" w:line-rule="auto"/>
        <w:ind w:firstLine="540"/>
        <w:jc w:val="both"/>
      </w:pPr>
      <w:r>
        <w:rPr>
          <w:sz w:val="20"/>
        </w:rPr>
        <w:t xml:space="preserve">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w:t>
      </w:r>
    </w:p>
    <w:p>
      <w:pPr>
        <w:pStyle w:val="0"/>
        <w:spacing w:before="200" w:line-rule="auto"/>
        <w:ind w:firstLine="540"/>
        <w:jc w:val="both"/>
      </w:pPr>
      <w:r>
        <w:rPr>
          <w:sz w:val="20"/>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контракту или проходит военную службу в добровольческом формировании.</w:t>
      </w:r>
    </w:p>
    <w:p>
      <w:pPr>
        <w:pStyle w:val="0"/>
        <w:spacing w:before="200" w:line-rule="auto"/>
        <w:ind w:firstLine="540"/>
        <w:jc w:val="both"/>
      </w:pPr>
      <w:r>
        <w:rPr>
          <w:sz w:val="20"/>
        </w:rPr>
        <w:t xml:space="preserve">Не позднее 30 календарных дней после окончания нахождения получателя субсидии на военной службе по мобилизации или в добровольческом формировании или окончания срока действия контракта о прохождении военной службы получатель субсидии или его представитель направляет заявление в Мининвест Московской области посредством Информационной систем.</w:t>
      </w:r>
    </w:p>
    <w:p>
      <w:pPr>
        <w:pStyle w:val="0"/>
        <w:spacing w:before="200" w:line-rule="auto"/>
        <w:ind w:firstLine="540"/>
        <w:jc w:val="both"/>
      </w:pPr>
      <w:r>
        <w:rPr>
          <w:sz w:val="20"/>
        </w:rPr>
        <w:t xml:space="preserve">Формы заявлений, указанных в настоящем пункте, утверждаются Мининвестом Московской области.</w:t>
      </w:r>
    </w:p>
    <w:bookmarkStart w:id="16874" w:name="P16874"/>
    <w:bookmarkEnd w:id="16874"/>
    <w:p>
      <w:pPr>
        <w:pStyle w:val="0"/>
        <w:spacing w:before="200" w:line-rule="auto"/>
        <w:ind w:firstLine="540"/>
        <w:jc w:val="both"/>
      </w:pPr>
      <w:r>
        <w:rPr>
          <w:sz w:val="20"/>
        </w:rPr>
        <w:t xml:space="preserve">60. Мининвест Московской области рассматривает обращение получателя субсидии и в случае представления неполного пакета документов, установленного </w:t>
      </w:r>
      <w:hyperlink w:history="0" w:anchor="P16870" w:tooltip="59. Для продления сроков достижения результата предоставления субсидии, представления отчетов получатель субсидии, призванный на военную службу по мобилизации, проходящий военную службу по контракту или в добровольческом формировании, или его представитель направляет в Мининвест Московской области посредством Информационной системы.">
        <w:r>
          <w:rPr>
            <w:sz w:val="20"/>
            <w:color w:val="0000ff"/>
          </w:rPr>
          <w:t xml:space="preserve">пунктом 59</w:t>
        </w:r>
      </w:hyperlink>
      <w:r>
        <w:rPr>
          <w:sz w:val="20"/>
        </w:rPr>
        <w:t xml:space="preserve">, запрашивает недостающие документы у получателя субсидии.</w:t>
      </w:r>
    </w:p>
    <w:p>
      <w:pPr>
        <w:pStyle w:val="0"/>
        <w:spacing w:before="200" w:line-rule="auto"/>
        <w:ind w:firstLine="540"/>
        <w:jc w:val="both"/>
      </w:pPr>
      <w:r>
        <w:rPr>
          <w:sz w:val="20"/>
        </w:rPr>
        <w:t xml:space="preserve">Запрос о представлении недостающих документов направляется получателю субсидии в Информационной системе в срок не позднее 5 рабочих дней, начиная со дня, следующего за днем направления обращения.</w:t>
      </w:r>
    </w:p>
    <w:bookmarkStart w:id="16876" w:name="P16876"/>
    <w:bookmarkEnd w:id="16876"/>
    <w:p>
      <w:pPr>
        <w:pStyle w:val="0"/>
        <w:spacing w:before="200" w:line-rule="auto"/>
        <w:ind w:firstLine="540"/>
        <w:jc w:val="both"/>
      </w:pPr>
      <w:r>
        <w:rPr>
          <w:sz w:val="20"/>
        </w:rPr>
        <w:t xml:space="preserve">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w:t>
      </w:r>
      <w:hyperlink w:history="0" w:anchor="P16874" w:tooltip="60. Мининвест Московской области рассматривает обращение получателя субсидии и в случае представления неполного пакета документов, установленного пунктом 59, запрашивает недостающие документы у получателя субсидии.">
        <w:r>
          <w:rPr>
            <w:sz w:val="20"/>
            <w:color w:val="0000ff"/>
          </w:rPr>
          <w:t xml:space="preserve">пунктом 60</w:t>
        </w:r>
      </w:hyperlink>
      <w:r>
        <w:rPr>
          <w:sz w:val="20"/>
        </w:rPr>
        <w:t xml:space="preserve"> Порядка, принимает одно из следующих решений:</w:t>
      </w:r>
    </w:p>
    <w:p>
      <w:pPr>
        <w:pStyle w:val="0"/>
        <w:spacing w:before="200" w:line-rule="auto"/>
        <w:ind w:firstLine="540"/>
        <w:jc w:val="both"/>
      </w:pPr>
      <w:r>
        <w:rPr>
          <w:sz w:val="20"/>
        </w:rPr>
        <w:t xml:space="preserve">1) о продлении сроков достижения результата предоставления субсидии;</w:t>
      </w:r>
    </w:p>
    <w:p>
      <w:pPr>
        <w:pStyle w:val="0"/>
        <w:spacing w:before="200" w:line-rule="auto"/>
        <w:ind w:firstLine="540"/>
        <w:jc w:val="both"/>
      </w:pPr>
      <w:r>
        <w:rPr>
          <w:sz w:val="20"/>
        </w:rPr>
        <w:t xml:space="preserve">2) об отказе в продлении сроков достижения результата предоставления субсидии в случае установления факта недостоверности представленной получателем субсидии информации.</w:t>
      </w:r>
    </w:p>
    <w:p>
      <w:pPr>
        <w:pStyle w:val="0"/>
        <w:spacing w:before="200" w:line-rule="auto"/>
        <w:ind w:firstLine="540"/>
        <w:jc w:val="both"/>
      </w:pPr>
      <w:r>
        <w:rPr>
          <w:sz w:val="20"/>
        </w:rPr>
        <w:t xml:space="preserve">Решения Мининвеста Московской области оформляются приказами Мининвеста Московской области.</w:t>
      </w:r>
    </w:p>
    <w:p>
      <w:pPr>
        <w:pStyle w:val="0"/>
        <w:spacing w:before="200" w:line-rule="auto"/>
        <w:ind w:firstLine="540"/>
        <w:jc w:val="both"/>
      </w:pPr>
      <w:r>
        <w:rPr>
          <w:sz w:val="20"/>
        </w:rPr>
        <w:t xml:space="preserve">62. В течение 5 рабочих дней со дня принятия решения в соответствии с </w:t>
      </w:r>
      <w:hyperlink w:history="0" w:anchor="P16876" w:tooltip="61. Мининвест Московской области в срок, не превышающий 20 рабочих дней, начиная со дня, следующего за днем направления обращения посредством Информационной системы (при представлении полного пакета документов), или дня направления недостающих документов, представленных по запросу в соответствии с пунктом 60 Порядка, принимает одно из следующих решений:">
        <w:r>
          <w:rPr>
            <w:sz w:val="20"/>
            <w:color w:val="0000ff"/>
          </w:rPr>
          <w:t xml:space="preserve">пунктом 61</w:t>
        </w:r>
      </w:hyperlink>
      <w:r>
        <w:rPr>
          <w:sz w:val="20"/>
        </w:rPr>
        <w:t xml:space="preserve"> Порядка Мининвест Московской области направляет получателю субсидии дополнительное соглашение к Соглашению в части продления сроков достижения результата предоставления субсидии, представления отчетов, подписанное ЭП уполномоченного должностного лица Мининвеста Московской области, в личный кабинет получателя субсидии в Информационной системе.</w:t>
      </w:r>
    </w:p>
    <w:p>
      <w:pPr>
        <w:pStyle w:val="0"/>
        <w:spacing w:before="200" w:line-rule="auto"/>
        <w:ind w:firstLine="540"/>
        <w:jc w:val="both"/>
      </w:pPr>
      <w:r>
        <w:rPr>
          <w:sz w:val="20"/>
        </w:rPr>
        <w:t xml:space="preserve">В случае неподписания в течение 2 рабочих дней дополнительного соглашения сроки достижения результата предоставления субсидии и сроки представления отчетов не продлеваются.</w:t>
      </w:r>
    </w:p>
    <w:p>
      <w:pPr>
        <w:pStyle w:val="0"/>
        <w:jc w:val="both"/>
      </w:pPr>
      <w:r>
        <w:rPr>
          <w:sz w:val="20"/>
        </w:rPr>
      </w:r>
    </w:p>
    <w:p>
      <w:pPr>
        <w:pStyle w:val="0"/>
        <w:outlineLvl w:val="4"/>
        <w:jc w:val="right"/>
      </w:pPr>
      <w:r>
        <w:rPr>
          <w:sz w:val="20"/>
        </w:rPr>
        <w:t xml:space="preserve">Таблица 1</w:t>
      </w:r>
    </w:p>
    <w:p>
      <w:pPr>
        <w:pStyle w:val="0"/>
        <w:jc w:val="both"/>
      </w:pPr>
      <w:r>
        <w:rPr>
          <w:sz w:val="20"/>
        </w:rPr>
      </w:r>
    </w:p>
    <w:bookmarkStart w:id="16885" w:name="P16885"/>
    <w:bookmarkEnd w:id="16885"/>
    <w:p>
      <w:pPr>
        <w:pStyle w:val="2"/>
        <w:jc w:val="center"/>
      </w:pPr>
      <w:r>
        <w:rPr>
          <w:sz w:val="20"/>
        </w:rPr>
        <w:t xml:space="preserve">КРИТЕРИИ ОЦЕНКИ ЗАЯВОК, ПОДАВАЕМЫХ УЧАСТНИКАМИ КОНКУРСА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28"/>
        <w:gridCol w:w="4139"/>
        <w:gridCol w:w="2778"/>
        <w:gridCol w:w="1474"/>
      </w:tblGrid>
      <w:tr>
        <w:tc>
          <w:tcPr>
            <w:tcW w:w="737" w:type="dxa"/>
          </w:tcPr>
          <w:p>
            <w:pPr>
              <w:pStyle w:val="0"/>
              <w:jc w:val="center"/>
            </w:pPr>
            <w:r>
              <w:rPr>
                <w:sz w:val="20"/>
              </w:rPr>
              <w:t xml:space="preserve">N п/п</w:t>
            </w:r>
          </w:p>
        </w:tc>
        <w:tc>
          <w:tcPr>
            <w:tcW w:w="3628" w:type="dxa"/>
          </w:tcPr>
          <w:p>
            <w:pPr>
              <w:pStyle w:val="0"/>
              <w:jc w:val="center"/>
            </w:pPr>
            <w:r>
              <w:rPr>
                <w:sz w:val="20"/>
              </w:rPr>
              <w:t xml:space="preserve">Критерий</w:t>
            </w:r>
          </w:p>
        </w:tc>
        <w:tc>
          <w:tcPr>
            <w:gridSpan w:val="2"/>
            <w:tcW w:w="6917" w:type="dxa"/>
          </w:tcPr>
          <w:p>
            <w:pPr>
              <w:pStyle w:val="0"/>
              <w:jc w:val="center"/>
            </w:pPr>
            <w:r>
              <w:rPr>
                <w:sz w:val="20"/>
              </w:rPr>
              <w:t xml:space="preserve">Расчет количества баллов</w:t>
            </w:r>
          </w:p>
        </w:tc>
        <w:tc>
          <w:tcPr>
            <w:tcW w:w="1474" w:type="dxa"/>
          </w:tcPr>
          <w:p>
            <w:pPr>
              <w:pStyle w:val="0"/>
              <w:jc w:val="center"/>
            </w:pPr>
            <w:r>
              <w:rPr>
                <w:sz w:val="20"/>
              </w:rPr>
              <w:t xml:space="preserve">Весовые значения</w:t>
            </w:r>
          </w:p>
        </w:tc>
      </w:tr>
      <w:tr>
        <w:tc>
          <w:tcPr>
            <w:tcW w:w="737" w:type="dxa"/>
          </w:tcPr>
          <w:p>
            <w:pPr>
              <w:pStyle w:val="0"/>
              <w:jc w:val="center"/>
            </w:pPr>
            <w:r>
              <w:rPr>
                <w:sz w:val="20"/>
              </w:rPr>
              <w:t xml:space="preserve">1</w:t>
            </w:r>
          </w:p>
        </w:tc>
        <w:tc>
          <w:tcPr>
            <w:tcW w:w="3628" w:type="dxa"/>
          </w:tcPr>
          <w:p>
            <w:pPr>
              <w:pStyle w:val="0"/>
              <w:jc w:val="center"/>
            </w:pPr>
            <w:r>
              <w:rPr>
                <w:sz w:val="20"/>
              </w:rPr>
              <w:t xml:space="preserve">2</w:t>
            </w:r>
          </w:p>
        </w:tc>
        <w:tc>
          <w:tcPr>
            <w:gridSpan w:val="2"/>
            <w:tcW w:w="6917" w:type="dxa"/>
          </w:tcPr>
          <w:p>
            <w:pPr>
              <w:pStyle w:val="0"/>
              <w:jc w:val="center"/>
            </w:pPr>
            <w:r>
              <w:rPr>
                <w:sz w:val="20"/>
              </w:rPr>
              <w:t xml:space="preserve">3</w:t>
            </w:r>
          </w:p>
        </w:tc>
        <w:tc>
          <w:tcPr>
            <w:tcW w:w="1474" w:type="dxa"/>
          </w:tcPr>
          <w:p>
            <w:pPr>
              <w:pStyle w:val="0"/>
              <w:jc w:val="center"/>
            </w:pPr>
            <w:r>
              <w:rPr>
                <w:sz w:val="20"/>
              </w:rPr>
              <w:t xml:space="preserve">4</w:t>
            </w:r>
          </w:p>
        </w:tc>
      </w:tr>
      <w:tr>
        <w:tc>
          <w:tcPr>
            <w:tcW w:w="737" w:type="dxa"/>
          </w:tcPr>
          <w:p>
            <w:pPr>
              <w:pStyle w:val="0"/>
            </w:pPr>
            <w:r>
              <w:rPr>
                <w:sz w:val="20"/>
              </w:rPr>
              <w:t xml:space="preserve">1</w:t>
            </w:r>
          </w:p>
        </w:tc>
        <w:tc>
          <w:tcPr>
            <w:tcW w:w="3628" w:type="dxa"/>
          </w:tcPr>
          <w:p>
            <w:pPr>
              <w:pStyle w:val="0"/>
            </w:pPr>
            <w:r>
              <w:rPr>
                <w:sz w:val="20"/>
              </w:rPr>
              <w:t xml:space="preserve">Вид деятельности</w:t>
            </w:r>
          </w:p>
        </w:tc>
        <w:tc>
          <w:tcPr>
            <w:gridSpan w:val="2"/>
            <w:tcW w:w="6917" w:type="dxa"/>
          </w:tcPr>
          <w:p>
            <w:pPr>
              <w:pStyle w:val="0"/>
            </w:pPr>
            <w:r>
              <w:rPr>
                <w:sz w:val="20"/>
              </w:rPr>
              <w:t xml:space="preserve">100 баллов - Оборудование приобретено для осуществления видов деятельности, включенных в раздел "C", подкласс 38 </w:t>
            </w:r>
            <w:hyperlink w:history="0" r:id="rId76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r>
              <w:rPr>
                <w:sz w:val="20"/>
              </w:rPr>
              <w:t xml:space="preserve">.</w:t>
            </w:r>
          </w:p>
          <w:p>
            <w:pPr>
              <w:pStyle w:val="0"/>
            </w:pPr>
            <w:r>
              <w:rPr>
                <w:sz w:val="20"/>
              </w:rPr>
              <w:t xml:space="preserve">0 баллов - Оборудование приобретено для осуществления иных видов деятельности, за исключением включенных в раздел "C", подкласс 38 </w:t>
            </w:r>
            <w:hyperlink w:history="0" r:id="rId76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ОКВЭД</w:t>
              </w:r>
            </w:hyperlink>
          </w:p>
        </w:tc>
        <w:tc>
          <w:tcPr>
            <w:tcW w:w="1474" w:type="dxa"/>
          </w:tcPr>
          <w:p>
            <w:pPr>
              <w:pStyle w:val="0"/>
            </w:pPr>
            <w:r>
              <w:rPr>
                <w:sz w:val="20"/>
              </w:rPr>
              <w:t xml:space="preserve">0,32</w:t>
            </w:r>
          </w:p>
        </w:tc>
      </w:tr>
      <w:tr>
        <w:tc>
          <w:tcPr>
            <w:tcW w:w="737" w:type="dxa"/>
          </w:tcPr>
          <w:p>
            <w:pPr>
              <w:pStyle w:val="0"/>
            </w:pPr>
            <w:r>
              <w:rPr>
                <w:sz w:val="20"/>
              </w:rPr>
              <w:t xml:space="preserve">2</w:t>
            </w:r>
          </w:p>
        </w:tc>
        <w:tc>
          <w:tcPr>
            <w:tcW w:w="3628" w:type="dxa"/>
          </w:tcPr>
          <w:p>
            <w:pPr>
              <w:pStyle w:val="0"/>
            </w:pPr>
            <w:r>
              <w:rPr>
                <w:sz w:val="20"/>
              </w:rPr>
              <w:t xml:space="preserve">Обеспечение импортозамещения на территории Московской области</w:t>
            </w:r>
          </w:p>
        </w:tc>
        <w:tc>
          <w:tcPr>
            <w:gridSpan w:val="2"/>
            <w:tcW w:w="6917" w:type="dxa"/>
          </w:tcPr>
          <w:p>
            <w:pPr>
              <w:pStyle w:val="0"/>
            </w:pPr>
            <w:r>
              <w:rPr>
                <w:sz w:val="20"/>
              </w:rPr>
              <w:t xml:space="preserve">100 баллов - Оборудование приобретено для осуществления видов деятельности, включенных в </w:t>
            </w:r>
            <w:hyperlink w:history="0" r:id="rId76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Перечень</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N 32/2022-ОЗ.</w:t>
            </w:r>
          </w:p>
          <w:p>
            <w:pPr>
              <w:pStyle w:val="0"/>
            </w:pPr>
            <w:r>
              <w:rPr>
                <w:sz w:val="20"/>
              </w:rPr>
              <w:t xml:space="preserve">0 баллов - Оборудование приобретено для осуществления иных видов деятельности, за исключением предусмотренных </w:t>
            </w:r>
            <w:hyperlink w:history="0" r:id="rId768"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quot; (принят постановлением Мособлдумы от 24.03.2022 N 7/19-П) {КонсультантПлюс}">
              <w:r>
                <w:rPr>
                  <w:sz w:val="20"/>
                  <w:color w:val="0000ff"/>
                </w:rPr>
                <w:t xml:space="preserve">Перечнем</w:t>
              </w:r>
            </w:hyperlink>
            <w:r>
              <w:rPr>
                <w:sz w:val="20"/>
              </w:rPr>
              <w:t xml:space="preserve">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утвержденным Законом N 32/2022-ОЗ</w:t>
            </w:r>
          </w:p>
        </w:tc>
        <w:tc>
          <w:tcPr>
            <w:tcW w:w="1474" w:type="dxa"/>
          </w:tcPr>
          <w:p>
            <w:pPr>
              <w:pStyle w:val="0"/>
            </w:pPr>
            <w:r>
              <w:rPr>
                <w:sz w:val="20"/>
              </w:rPr>
              <w:t xml:space="preserve">0,04</w:t>
            </w:r>
          </w:p>
        </w:tc>
      </w:tr>
      <w:tr>
        <w:tc>
          <w:tcPr>
            <w:tcW w:w="737" w:type="dxa"/>
          </w:tcPr>
          <w:p>
            <w:pPr>
              <w:pStyle w:val="0"/>
            </w:pPr>
            <w:r>
              <w:rPr>
                <w:sz w:val="20"/>
              </w:rPr>
              <w:t xml:space="preserve">3</w:t>
            </w:r>
          </w:p>
        </w:tc>
        <w:tc>
          <w:tcPr>
            <w:tcW w:w="3628" w:type="dxa"/>
          </w:tcPr>
          <w:p>
            <w:pPr>
              <w:pStyle w:val="0"/>
            </w:pPr>
            <w:r>
              <w:rPr>
                <w:sz w:val="20"/>
              </w:rPr>
              <w:t xml:space="preserve">Срок деятельности участника Конкурса </w:t>
            </w:r>
            <w:hyperlink w:history="0" w:anchor="P16949" w:tooltip="&lt;1&gt; Участники Конкурса, получающие баллы по данному критерию, не получают баллы по критерию &quot;Увеличение налоговых отчислений&quot;.">
              <w:r>
                <w:rPr>
                  <w:sz w:val="20"/>
                  <w:color w:val="0000ff"/>
                </w:rPr>
                <w:t xml:space="preserve">&lt;1&gt;</w:t>
              </w:r>
            </w:hyperlink>
            <w:r>
              <w:rPr>
                <w:sz w:val="20"/>
              </w:rPr>
              <w:t xml:space="preserve">, </w:t>
            </w:r>
            <w:hyperlink w:history="0" w:anchor="P16950"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r>
                <w:rPr>
                  <w:sz w:val="20"/>
                  <w:color w:val="0000ff"/>
                </w:rPr>
                <w:t xml:space="preserve">&lt;2&gt;</w:t>
              </w:r>
            </w:hyperlink>
          </w:p>
        </w:tc>
        <w:tc>
          <w:tcPr>
            <w:gridSpan w:val="2"/>
            <w:tcW w:w="6917" w:type="dxa"/>
          </w:tcPr>
          <w:p>
            <w:pPr>
              <w:pStyle w:val="0"/>
            </w:pPr>
            <w:r>
              <w:rPr>
                <w:sz w:val="20"/>
              </w:rPr>
              <w:t xml:space="preserve">100 баллов - регистрация в качестве юридического лица или индивидуального предпринимателя менее 1 года до даты подачи заявки на предоставление субсидии. 0 баллов - регистрация в качестве юридического лица или индивидуального предпринимателя более 1 года до даты подачи заявки на предоставление субсидии</w:t>
            </w:r>
          </w:p>
        </w:tc>
        <w:tc>
          <w:tcPr>
            <w:tcW w:w="1474" w:type="dxa"/>
          </w:tcPr>
          <w:p>
            <w:pPr>
              <w:pStyle w:val="0"/>
            </w:pPr>
            <w:r>
              <w:rPr>
                <w:sz w:val="20"/>
              </w:rPr>
              <w:t xml:space="preserve">0,16</w:t>
            </w:r>
          </w:p>
        </w:tc>
      </w:tr>
      <w:tr>
        <w:tc>
          <w:tcPr>
            <w:tcW w:w="737" w:type="dxa"/>
          </w:tcPr>
          <w:p>
            <w:pPr>
              <w:pStyle w:val="0"/>
            </w:pPr>
            <w:r>
              <w:rPr>
                <w:sz w:val="20"/>
              </w:rPr>
              <w:t xml:space="preserve">4</w:t>
            </w:r>
          </w:p>
        </w:tc>
        <w:tc>
          <w:tcPr>
            <w:tcW w:w="3628" w:type="dxa"/>
          </w:tcPr>
          <w:p>
            <w:pPr>
              <w:pStyle w:val="0"/>
            </w:pPr>
            <w:r>
              <w:rPr>
                <w:sz w:val="20"/>
              </w:rPr>
              <w:t xml:space="preserve">Местонахождение (место жительства) и (или) место ведения деятельности участника Конкурса</w:t>
            </w:r>
          </w:p>
        </w:tc>
        <w:tc>
          <w:tcPr>
            <w:gridSpan w:val="2"/>
            <w:tcW w:w="6917" w:type="dxa"/>
          </w:tcPr>
          <w:p>
            <w:pPr>
              <w:pStyle w:val="0"/>
            </w:pPr>
            <w:r>
              <w:rPr>
                <w:sz w:val="20"/>
              </w:rPr>
              <w:t xml:space="preserve">100 баллов - местонахождение (место жительства) и (или) место ведения деятельности участника Отбора на территории муниципальных образований Московской области: Волоколамский муниципальный округ, муниципальный округ Зарайск, городской округ Лосино-Петровский, муниципальный округ Лотошино, муниципальный округ Луховицы, Орехово-Зуевский городской округ, муниципальный округ Серебряные Пруды, Талдомский городской округ, муниципальный округ Шатура, муниципальный округ Шаховская.</w:t>
            </w:r>
          </w:p>
          <w:p>
            <w:pPr>
              <w:pStyle w:val="0"/>
            </w:pPr>
            <w:r>
              <w:rPr>
                <w:sz w:val="20"/>
              </w:rPr>
              <w:t xml:space="preserve">0 баллов - местонахождение (место жительства) и (или) место ведения деятельности участника Отбора - не на территории муниципальных образований Московской области: Волоколамский муниципальный округ, муниципальный округ Зарайск, городской округ Лосино-Петровский, муниципальный округ Лотошино, муниципальный округ Луховицы, Орехово-Зуевский городской округ, муниципальный округ Серебряные Пруды, Талдомский городской округ, муниципальный округ Шатура, муниципальный округ Шаховская</w:t>
            </w:r>
          </w:p>
        </w:tc>
        <w:tc>
          <w:tcPr>
            <w:tcW w:w="1474" w:type="dxa"/>
          </w:tcPr>
          <w:p>
            <w:pPr>
              <w:pStyle w:val="0"/>
            </w:pPr>
            <w:r>
              <w:rPr>
                <w:sz w:val="20"/>
              </w:rPr>
              <w:t xml:space="preserve">0,16</w:t>
            </w:r>
          </w:p>
        </w:tc>
      </w:tr>
      <w:tr>
        <w:tc>
          <w:tcPr>
            <w:tcW w:w="737" w:type="dxa"/>
            <w:vMerge w:val="restart"/>
          </w:tcPr>
          <w:p>
            <w:pPr>
              <w:pStyle w:val="0"/>
            </w:pPr>
            <w:r>
              <w:rPr>
                <w:sz w:val="20"/>
              </w:rPr>
              <w:t xml:space="preserve">5</w:t>
            </w:r>
          </w:p>
        </w:tc>
        <w:tc>
          <w:tcPr>
            <w:tcW w:w="3628" w:type="dxa"/>
            <w:vMerge w:val="restart"/>
          </w:tcPr>
          <w:p>
            <w:pPr>
              <w:pStyle w:val="0"/>
            </w:pPr>
            <w:r>
              <w:rPr>
                <w:sz w:val="20"/>
              </w:rPr>
              <w:t xml:space="preserve">Увеличение налоговых отчислений </w:t>
            </w:r>
            <w:hyperlink w:history="0" w:anchor="P16951"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r>
                <w:rPr>
                  <w:sz w:val="20"/>
                  <w:color w:val="0000ff"/>
                </w:rPr>
                <w:t xml:space="preserve">&lt;3&gt;</w:t>
              </w:r>
            </w:hyperlink>
            <w:r>
              <w:rPr>
                <w:sz w:val="20"/>
              </w:rPr>
              <w:t xml:space="preserve">, </w:t>
            </w:r>
            <w:hyperlink w:history="0" w:anchor="P16952"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r>
                <w:rPr>
                  <w:sz w:val="20"/>
                  <w:color w:val="0000ff"/>
                </w:rPr>
                <w:t xml:space="preserve">&lt;4&gt;</w:t>
              </w:r>
            </w:hyperlink>
          </w:p>
        </w:tc>
        <w:tc>
          <w:tcPr>
            <w:tcW w:w="4139" w:type="dxa"/>
          </w:tcPr>
          <w:p>
            <w:pPr>
              <w:pStyle w:val="0"/>
            </w:pPr>
            <w:r>
              <w:rPr>
                <w:sz w:val="20"/>
              </w:rPr>
              <w:t xml:space="preserve">%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2778" w:type="dxa"/>
          </w:tcPr>
          <w:p>
            <w:pPr>
              <w:pStyle w:val="0"/>
            </w:pPr>
            <w:r>
              <w:rPr>
                <w:sz w:val="20"/>
              </w:rPr>
              <w:t xml:space="preserve">баллы</w:t>
            </w:r>
          </w:p>
        </w:tc>
        <w:tc>
          <w:tcPr>
            <w:tcW w:w="1474" w:type="dxa"/>
          </w:tcPr>
          <w:p>
            <w:pPr>
              <w:pStyle w:val="0"/>
            </w:pPr>
            <w:r>
              <w:rPr>
                <w:sz w:val="20"/>
              </w:rPr>
            </w:r>
          </w:p>
        </w:tc>
      </w:tr>
      <w:tr>
        <w:tc>
          <w:tcPr>
            <w:vMerge w:val="continue"/>
          </w:tcPr>
          <w:p/>
        </w:tc>
        <w:tc>
          <w:tcPr>
            <w:vMerge w:val="continue"/>
          </w:tcPr>
          <w:p/>
        </w:tc>
        <w:tc>
          <w:tcPr>
            <w:tcW w:w="4139" w:type="dxa"/>
          </w:tcPr>
          <w:p>
            <w:pPr>
              <w:pStyle w:val="0"/>
            </w:pPr>
            <w:r>
              <w:rPr>
                <w:sz w:val="20"/>
              </w:rPr>
              <w:t xml:space="preserve">&gt;= 0 - &lt; 5%</w:t>
            </w:r>
          </w:p>
        </w:tc>
        <w:tc>
          <w:tcPr>
            <w:tcW w:w="2778" w:type="dxa"/>
          </w:tcPr>
          <w:p>
            <w:pPr>
              <w:pStyle w:val="0"/>
            </w:pPr>
            <w:r>
              <w:rPr>
                <w:sz w:val="20"/>
              </w:rPr>
              <w:t xml:space="preserve">0</w:t>
            </w:r>
          </w:p>
        </w:tc>
        <w:tc>
          <w:tcPr>
            <w:tcW w:w="1474" w:type="dxa"/>
            <w:vMerge w:val="restart"/>
          </w:tcPr>
          <w:p>
            <w:pPr>
              <w:pStyle w:val="0"/>
            </w:pPr>
            <w:r>
              <w:rPr>
                <w:sz w:val="20"/>
              </w:rPr>
              <w:t xml:space="preserve">0,24</w:t>
            </w:r>
          </w:p>
        </w:tc>
      </w:tr>
      <w:tr>
        <w:tc>
          <w:tcPr>
            <w:vMerge w:val="continue"/>
          </w:tcPr>
          <w:p/>
        </w:tc>
        <w:tc>
          <w:tcPr>
            <w:vMerge w:val="continue"/>
          </w:tcPr>
          <w:p/>
        </w:tc>
        <w:tc>
          <w:tcPr>
            <w:tcW w:w="4139" w:type="dxa"/>
          </w:tcPr>
          <w:p>
            <w:pPr>
              <w:pStyle w:val="0"/>
            </w:pPr>
            <w:r>
              <w:rPr>
                <w:sz w:val="20"/>
              </w:rPr>
              <w:t xml:space="preserve">&gt;= 5 - &lt; 10%</w:t>
            </w:r>
          </w:p>
        </w:tc>
        <w:tc>
          <w:tcPr>
            <w:tcW w:w="2778" w:type="dxa"/>
          </w:tcPr>
          <w:p>
            <w:pPr>
              <w:pStyle w:val="0"/>
            </w:pPr>
            <w:r>
              <w:rPr>
                <w:sz w:val="20"/>
              </w:rPr>
              <w:t xml:space="preserve">10</w:t>
            </w:r>
          </w:p>
        </w:tc>
        <w:tc>
          <w:tcPr>
            <w:vMerge w:val="continue"/>
          </w:tcPr>
          <w:p/>
        </w:tc>
      </w:tr>
      <w:tr>
        <w:tc>
          <w:tcPr>
            <w:vMerge w:val="continue"/>
          </w:tcPr>
          <w:p/>
        </w:tc>
        <w:tc>
          <w:tcPr>
            <w:vMerge w:val="continue"/>
          </w:tcPr>
          <w:p/>
        </w:tc>
        <w:tc>
          <w:tcPr>
            <w:tcW w:w="4139" w:type="dxa"/>
          </w:tcPr>
          <w:p>
            <w:pPr>
              <w:pStyle w:val="0"/>
            </w:pPr>
            <w:r>
              <w:rPr>
                <w:sz w:val="20"/>
              </w:rPr>
              <w:t xml:space="preserve">&gt;= 10 - &lt; 15%</w:t>
            </w:r>
          </w:p>
        </w:tc>
        <w:tc>
          <w:tcPr>
            <w:tcW w:w="2778" w:type="dxa"/>
          </w:tcPr>
          <w:p>
            <w:pPr>
              <w:pStyle w:val="0"/>
            </w:pPr>
            <w:r>
              <w:rPr>
                <w:sz w:val="20"/>
              </w:rPr>
              <w:t xml:space="preserve">20</w:t>
            </w:r>
          </w:p>
        </w:tc>
        <w:tc>
          <w:tcPr>
            <w:vMerge w:val="continue"/>
          </w:tcPr>
          <w:p/>
        </w:tc>
      </w:tr>
      <w:tr>
        <w:tc>
          <w:tcPr>
            <w:vMerge w:val="continue"/>
          </w:tcPr>
          <w:p/>
        </w:tc>
        <w:tc>
          <w:tcPr>
            <w:vMerge w:val="continue"/>
          </w:tcPr>
          <w:p/>
        </w:tc>
        <w:tc>
          <w:tcPr>
            <w:tcW w:w="4139" w:type="dxa"/>
          </w:tcPr>
          <w:p>
            <w:pPr>
              <w:pStyle w:val="0"/>
            </w:pPr>
            <w:r>
              <w:rPr>
                <w:sz w:val="20"/>
              </w:rPr>
              <w:t xml:space="preserve">&gt;= 15 - &lt; 20%</w:t>
            </w:r>
          </w:p>
        </w:tc>
        <w:tc>
          <w:tcPr>
            <w:tcW w:w="2778" w:type="dxa"/>
          </w:tcPr>
          <w:p>
            <w:pPr>
              <w:pStyle w:val="0"/>
            </w:pPr>
            <w:r>
              <w:rPr>
                <w:sz w:val="20"/>
              </w:rPr>
              <w:t xml:space="preserve">30</w:t>
            </w:r>
          </w:p>
        </w:tc>
        <w:tc>
          <w:tcPr>
            <w:vMerge w:val="continue"/>
          </w:tcPr>
          <w:p/>
        </w:tc>
      </w:tr>
      <w:tr>
        <w:tc>
          <w:tcPr>
            <w:vMerge w:val="continue"/>
          </w:tcPr>
          <w:p/>
        </w:tc>
        <w:tc>
          <w:tcPr>
            <w:vMerge w:val="continue"/>
          </w:tcPr>
          <w:p/>
        </w:tc>
        <w:tc>
          <w:tcPr>
            <w:tcW w:w="4139" w:type="dxa"/>
          </w:tcPr>
          <w:p>
            <w:pPr>
              <w:pStyle w:val="0"/>
            </w:pPr>
            <w:r>
              <w:rPr>
                <w:sz w:val="20"/>
              </w:rPr>
              <w:t xml:space="preserve">&gt;= 20 - &lt; 25%</w:t>
            </w:r>
          </w:p>
        </w:tc>
        <w:tc>
          <w:tcPr>
            <w:tcW w:w="2778" w:type="dxa"/>
          </w:tcPr>
          <w:p>
            <w:pPr>
              <w:pStyle w:val="0"/>
            </w:pPr>
            <w:r>
              <w:rPr>
                <w:sz w:val="20"/>
              </w:rPr>
              <w:t xml:space="preserve">40</w:t>
            </w:r>
          </w:p>
        </w:tc>
        <w:tc>
          <w:tcPr>
            <w:vMerge w:val="continue"/>
          </w:tcPr>
          <w:p/>
        </w:tc>
      </w:tr>
      <w:tr>
        <w:tc>
          <w:tcPr>
            <w:vMerge w:val="continue"/>
          </w:tcPr>
          <w:p/>
        </w:tc>
        <w:tc>
          <w:tcPr>
            <w:vMerge w:val="continue"/>
          </w:tcPr>
          <w:p/>
        </w:tc>
        <w:tc>
          <w:tcPr>
            <w:tcW w:w="4139" w:type="dxa"/>
          </w:tcPr>
          <w:p>
            <w:pPr>
              <w:pStyle w:val="0"/>
            </w:pPr>
            <w:r>
              <w:rPr>
                <w:sz w:val="20"/>
              </w:rPr>
              <w:t xml:space="preserve">&gt;= 25 - &lt; 30%</w:t>
            </w:r>
          </w:p>
        </w:tc>
        <w:tc>
          <w:tcPr>
            <w:tcW w:w="2778" w:type="dxa"/>
          </w:tcPr>
          <w:p>
            <w:pPr>
              <w:pStyle w:val="0"/>
            </w:pPr>
            <w:r>
              <w:rPr>
                <w:sz w:val="20"/>
              </w:rPr>
              <w:t xml:space="preserve">50</w:t>
            </w:r>
          </w:p>
        </w:tc>
        <w:tc>
          <w:tcPr>
            <w:vMerge w:val="continue"/>
          </w:tcPr>
          <w:p/>
        </w:tc>
      </w:tr>
      <w:tr>
        <w:tc>
          <w:tcPr>
            <w:vMerge w:val="continue"/>
          </w:tcPr>
          <w:p/>
        </w:tc>
        <w:tc>
          <w:tcPr>
            <w:vMerge w:val="continue"/>
          </w:tcPr>
          <w:p/>
        </w:tc>
        <w:tc>
          <w:tcPr>
            <w:tcW w:w="4139" w:type="dxa"/>
          </w:tcPr>
          <w:p>
            <w:pPr>
              <w:pStyle w:val="0"/>
            </w:pPr>
            <w:r>
              <w:rPr>
                <w:sz w:val="20"/>
              </w:rPr>
              <w:t xml:space="preserve">&gt;= 30 - &lt; 35%</w:t>
            </w:r>
          </w:p>
        </w:tc>
        <w:tc>
          <w:tcPr>
            <w:tcW w:w="2778" w:type="dxa"/>
          </w:tcPr>
          <w:p>
            <w:pPr>
              <w:pStyle w:val="0"/>
            </w:pPr>
            <w:r>
              <w:rPr>
                <w:sz w:val="20"/>
              </w:rPr>
              <w:t xml:space="preserve">60</w:t>
            </w:r>
          </w:p>
        </w:tc>
        <w:tc>
          <w:tcPr>
            <w:vMerge w:val="continue"/>
          </w:tcPr>
          <w:p/>
        </w:tc>
      </w:tr>
      <w:tr>
        <w:tc>
          <w:tcPr>
            <w:vMerge w:val="continue"/>
          </w:tcPr>
          <w:p/>
        </w:tc>
        <w:tc>
          <w:tcPr>
            <w:vMerge w:val="continue"/>
          </w:tcPr>
          <w:p/>
        </w:tc>
        <w:tc>
          <w:tcPr>
            <w:tcW w:w="4139" w:type="dxa"/>
          </w:tcPr>
          <w:p>
            <w:pPr>
              <w:pStyle w:val="0"/>
            </w:pPr>
            <w:r>
              <w:rPr>
                <w:sz w:val="20"/>
              </w:rPr>
              <w:t xml:space="preserve">&gt;= 35 - &lt; 40%</w:t>
            </w:r>
          </w:p>
        </w:tc>
        <w:tc>
          <w:tcPr>
            <w:tcW w:w="2778" w:type="dxa"/>
          </w:tcPr>
          <w:p>
            <w:pPr>
              <w:pStyle w:val="0"/>
            </w:pPr>
            <w:r>
              <w:rPr>
                <w:sz w:val="20"/>
              </w:rPr>
              <w:t xml:space="preserve">70</w:t>
            </w:r>
          </w:p>
        </w:tc>
        <w:tc>
          <w:tcPr>
            <w:vMerge w:val="continue"/>
          </w:tcPr>
          <w:p/>
        </w:tc>
      </w:tr>
      <w:tr>
        <w:tc>
          <w:tcPr>
            <w:vMerge w:val="continue"/>
          </w:tcPr>
          <w:p/>
        </w:tc>
        <w:tc>
          <w:tcPr>
            <w:vMerge w:val="continue"/>
          </w:tcPr>
          <w:p/>
        </w:tc>
        <w:tc>
          <w:tcPr>
            <w:tcW w:w="4139" w:type="dxa"/>
          </w:tcPr>
          <w:p>
            <w:pPr>
              <w:pStyle w:val="0"/>
            </w:pPr>
            <w:r>
              <w:rPr>
                <w:sz w:val="20"/>
              </w:rPr>
              <w:t xml:space="preserve">&gt;= 40 - &lt; 45%</w:t>
            </w:r>
          </w:p>
        </w:tc>
        <w:tc>
          <w:tcPr>
            <w:tcW w:w="2778" w:type="dxa"/>
          </w:tcPr>
          <w:p>
            <w:pPr>
              <w:pStyle w:val="0"/>
            </w:pPr>
            <w:r>
              <w:rPr>
                <w:sz w:val="20"/>
              </w:rPr>
              <w:t xml:space="preserve">80</w:t>
            </w:r>
          </w:p>
        </w:tc>
        <w:tc>
          <w:tcPr>
            <w:vMerge w:val="continue"/>
          </w:tcPr>
          <w:p/>
        </w:tc>
      </w:tr>
      <w:tr>
        <w:tc>
          <w:tcPr>
            <w:vMerge w:val="continue"/>
          </w:tcPr>
          <w:p/>
        </w:tc>
        <w:tc>
          <w:tcPr>
            <w:vMerge w:val="continue"/>
          </w:tcPr>
          <w:p/>
        </w:tc>
        <w:tc>
          <w:tcPr>
            <w:tcW w:w="4139" w:type="dxa"/>
          </w:tcPr>
          <w:p>
            <w:pPr>
              <w:pStyle w:val="0"/>
            </w:pPr>
            <w:r>
              <w:rPr>
                <w:sz w:val="20"/>
              </w:rPr>
              <w:t xml:space="preserve">&gt;= 45 - &lt; 50%</w:t>
            </w:r>
          </w:p>
        </w:tc>
        <w:tc>
          <w:tcPr>
            <w:tcW w:w="2778" w:type="dxa"/>
          </w:tcPr>
          <w:p>
            <w:pPr>
              <w:pStyle w:val="0"/>
            </w:pPr>
            <w:r>
              <w:rPr>
                <w:sz w:val="20"/>
              </w:rPr>
              <w:t xml:space="preserve">90</w:t>
            </w:r>
          </w:p>
        </w:tc>
        <w:tc>
          <w:tcPr>
            <w:vMerge w:val="continue"/>
          </w:tcPr>
          <w:p/>
        </w:tc>
      </w:tr>
      <w:tr>
        <w:tc>
          <w:tcPr>
            <w:vMerge w:val="continue"/>
          </w:tcPr>
          <w:p/>
        </w:tc>
        <w:tc>
          <w:tcPr>
            <w:vMerge w:val="continue"/>
          </w:tcPr>
          <w:p/>
        </w:tc>
        <w:tc>
          <w:tcPr>
            <w:tcW w:w="4139" w:type="dxa"/>
          </w:tcPr>
          <w:p>
            <w:pPr>
              <w:pStyle w:val="0"/>
            </w:pPr>
            <w:r>
              <w:rPr>
                <w:sz w:val="20"/>
              </w:rPr>
              <w:t xml:space="preserve">&gt;= 50% и более</w:t>
            </w:r>
          </w:p>
        </w:tc>
        <w:tc>
          <w:tcPr>
            <w:tcW w:w="2778" w:type="dxa"/>
          </w:tcPr>
          <w:p>
            <w:pPr>
              <w:pStyle w:val="0"/>
            </w:pPr>
            <w:r>
              <w:rPr>
                <w:sz w:val="20"/>
              </w:rPr>
              <w:t xml:space="preserve">100</w:t>
            </w:r>
          </w:p>
        </w:tc>
        <w:tc>
          <w:tcPr>
            <w:vMerge w:val="continue"/>
          </w:tcPr>
          <w:p/>
        </w:tc>
      </w:tr>
      <w:tr>
        <w:tc>
          <w:tcPr>
            <w:tcW w:w="737" w:type="dxa"/>
          </w:tcPr>
          <w:p>
            <w:pPr>
              <w:pStyle w:val="0"/>
            </w:pPr>
            <w:r>
              <w:rPr>
                <w:sz w:val="20"/>
              </w:rPr>
              <w:t xml:space="preserve">6</w:t>
            </w:r>
          </w:p>
        </w:tc>
        <w:tc>
          <w:tcPr>
            <w:tcW w:w="3628" w:type="dxa"/>
          </w:tcPr>
          <w:p>
            <w:pPr>
              <w:pStyle w:val="0"/>
            </w:pPr>
            <w:r>
              <w:rPr>
                <w:sz w:val="20"/>
              </w:rPr>
              <w:t xml:space="preserve">Нахождение участника конкурса в реестре участников региональной </w:t>
            </w:r>
            <w:hyperlink w:history="0" r:id="rId769" w:tooltip="Распоряжение Правительства МО от 30.10.2023 N 780-РП (ред. от 23.05.2024) &quot;Об утверждении региональной программы по поддержке и продвижению брендов Московской области &quot;100% Подмосковье&quot; ------------ Недействующая редакция {КонсультантПлюс}">
              <w:r>
                <w:rPr>
                  <w:sz w:val="20"/>
                  <w:color w:val="0000ff"/>
                </w:rPr>
                <w:t xml:space="preserve">программы</w:t>
              </w:r>
            </w:hyperlink>
            <w:r>
              <w:rPr>
                <w:sz w:val="20"/>
              </w:rPr>
              <w:t xml:space="preserve"> по поддержке и продвижению брендов Московской области "100% Подмосковье", утвержденной распоряжением Правительства Московской области от 30.10.2023 N 780-РП "Об утверждении региональной программы по поддержке и продвижению брендов Московской области "100% Подмосковье" (далее - Реестр "100% Подмосковье")</w:t>
            </w:r>
          </w:p>
        </w:tc>
        <w:tc>
          <w:tcPr>
            <w:gridSpan w:val="2"/>
            <w:tcW w:w="6917" w:type="dxa"/>
          </w:tcPr>
          <w:p>
            <w:pPr>
              <w:pStyle w:val="0"/>
            </w:pPr>
            <w:r>
              <w:rPr>
                <w:sz w:val="20"/>
              </w:rPr>
              <w:t xml:space="preserve">100 баллов - наличие участника конкурса в Реестре "100% Подмосковье".</w:t>
            </w:r>
          </w:p>
          <w:p>
            <w:pPr>
              <w:pStyle w:val="0"/>
            </w:pPr>
            <w:r>
              <w:rPr>
                <w:sz w:val="20"/>
              </w:rPr>
              <w:t xml:space="preserve">0 баллов - участник конкурса не включен в Реестр "100% Подмосковье"</w:t>
            </w:r>
          </w:p>
        </w:tc>
        <w:tc>
          <w:tcPr>
            <w:tcW w:w="1474" w:type="dxa"/>
          </w:tcPr>
          <w:p>
            <w:pPr>
              <w:pStyle w:val="0"/>
            </w:pPr>
            <w:r>
              <w:rPr>
                <w:sz w:val="20"/>
              </w:rPr>
              <w:t xml:space="preserve">0,08</w:t>
            </w:r>
          </w:p>
        </w:tc>
      </w:tr>
    </w:tbl>
    <w:p>
      <w:pPr>
        <w:sectPr>
          <w:headerReference w:type="default" r:id="rId148"/>
          <w:headerReference w:type="first" r:id="rId148"/>
          <w:footerReference w:type="default" r:id="rId149"/>
          <w:footerReference w:type="first" r:id="rId14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6949" w:name="P16949"/>
    <w:bookmarkEnd w:id="16949"/>
    <w:p>
      <w:pPr>
        <w:pStyle w:val="0"/>
        <w:spacing w:before="200" w:line-rule="auto"/>
        <w:ind w:firstLine="540"/>
        <w:jc w:val="both"/>
      </w:pPr>
      <w:r>
        <w:rPr>
          <w:sz w:val="20"/>
        </w:rPr>
        <w:t xml:space="preserve">&lt;1&gt; Участники Конкурса, получающие баллы по данному критерию, не получают баллы по критерию "Увеличение налоговых отчислений".</w:t>
      </w:r>
    </w:p>
    <w:bookmarkStart w:id="16950" w:name="P16950"/>
    <w:bookmarkEnd w:id="16950"/>
    <w:p>
      <w:pPr>
        <w:pStyle w:val="0"/>
        <w:spacing w:before="200" w:line-rule="auto"/>
        <w:ind w:firstLine="540"/>
        <w:jc w:val="both"/>
      </w:pPr>
      <w:r>
        <w:rPr>
          <w:sz w:val="20"/>
        </w:rPr>
        <w:t xml:space="preserve">&lt;2&gt;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bookmarkStart w:id="16951" w:name="P16951"/>
    <w:bookmarkEnd w:id="16951"/>
    <w:p>
      <w:pPr>
        <w:pStyle w:val="0"/>
        <w:spacing w:before="200" w:line-rule="auto"/>
        <w:ind w:firstLine="540"/>
        <w:jc w:val="both"/>
      </w:pPr>
      <w:r>
        <w:rPr>
          <w:sz w:val="20"/>
        </w:rPr>
        <w:t xml:space="preserve">&lt;3&gt;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bookmarkStart w:id="16952" w:name="P16952"/>
    <w:bookmarkEnd w:id="16952"/>
    <w:p>
      <w:pPr>
        <w:pStyle w:val="0"/>
        <w:spacing w:before="200" w:line-rule="auto"/>
        <w:ind w:firstLine="540"/>
        <w:jc w:val="both"/>
      </w:pPr>
      <w:r>
        <w:rPr>
          <w:sz w:val="20"/>
        </w:rPr>
        <w:t xml:space="preserve">&lt;4&gt;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pPr>
        <w:pStyle w:val="0"/>
        <w:jc w:val="both"/>
      </w:pPr>
      <w:r>
        <w:rPr>
          <w:sz w:val="20"/>
        </w:rPr>
      </w:r>
    </w:p>
    <w:p>
      <w:pPr>
        <w:pStyle w:val="0"/>
        <w:outlineLvl w:val="4"/>
        <w:jc w:val="right"/>
      </w:pPr>
      <w:r>
        <w:rPr>
          <w:sz w:val="20"/>
        </w:rPr>
        <w:t xml:space="preserve">Таблица 2</w:t>
      </w:r>
    </w:p>
    <w:p>
      <w:pPr>
        <w:pStyle w:val="0"/>
        <w:jc w:val="both"/>
      </w:pPr>
      <w:r>
        <w:rPr>
          <w:sz w:val="20"/>
        </w:rPr>
      </w:r>
    </w:p>
    <w:bookmarkStart w:id="16956" w:name="P16956"/>
    <w:bookmarkEnd w:id="16956"/>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документам</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Документ, удостоверяющий личность (для индивидуальных предпринимателей)</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индивидуального предпринимателя, и страница с действующей регистрацией).</w:t>
            </w:r>
          </w:p>
          <w:p>
            <w:pPr>
              <w:pStyle w:val="0"/>
            </w:pPr>
            <w:r>
              <w:rPr>
                <w:sz w:val="20"/>
              </w:rPr>
              <w:t xml:space="preserve">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 страница, подтверждающая, а также содержащая сведения о месте жительства)</w:t>
            </w:r>
          </w:p>
        </w:tc>
      </w:tr>
      <w:tr>
        <w:tc>
          <w:tcPr>
            <w:tcW w:w="850" w:type="dxa"/>
          </w:tcPr>
          <w:p>
            <w:pPr>
              <w:pStyle w:val="0"/>
            </w:pPr>
            <w:r>
              <w:rPr>
                <w:sz w:val="20"/>
              </w:rPr>
              <w:t xml:space="preserve">2</w:t>
            </w:r>
          </w:p>
        </w:tc>
        <w:tc>
          <w:tcPr>
            <w:gridSpan w:val="2"/>
            <w:tcW w:w="8220" w:type="dxa"/>
          </w:tcPr>
          <w:p>
            <w:pPr>
              <w:pStyle w:val="0"/>
            </w:pPr>
            <w:r>
              <w:rPr>
                <w:sz w:val="20"/>
              </w:rPr>
              <w:t xml:space="preserve">Документы, представляемые в случае подачи заявки уполномоченным руководителем юридического лица или индивидуального предпринимателя лицом</w:t>
            </w:r>
          </w:p>
        </w:tc>
      </w:tr>
      <w:tr>
        <w:tc>
          <w:tcPr>
            <w:tcW w:w="850" w:type="dxa"/>
          </w:tcPr>
          <w:p>
            <w:pPr>
              <w:pStyle w:val="0"/>
            </w:pPr>
            <w:r>
              <w:rPr>
                <w:sz w:val="20"/>
              </w:rPr>
              <w:t xml:space="preserve">2.1</w:t>
            </w:r>
          </w:p>
        </w:tc>
        <w:tc>
          <w:tcPr>
            <w:tcW w:w="3118" w:type="dxa"/>
          </w:tcPr>
          <w:p>
            <w:pPr>
              <w:pStyle w:val="0"/>
            </w:pPr>
            <w:r>
              <w:rPr>
                <w:sz w:val="20"/>
              </w:rPr>
              <w:t xml:space="preserve">Доверенность, подтверждающая полномочия представителя участника конкурса</w:t>
            </w:r>
          </w:p>
        </w:tc>
        <w:tc>
          <w:tcPr>
            <w:tcW w:w="5102" w:type="dxa"/>
          </w:tcPr>
          <w:p>
            <w:pPr>
              <w:pStyle w:val="0"/>
            </w:pPr>
            <w:r>
              <w:rPr>
                <w:sz w:val="20"/>
              </w:rPr>
              <w:t xml:space="preserve">В соответствии с требованиями, установленными </w:t>
            </w:r>
            <w:hyperlink w:history="0" r:id="rId770" w:tooltip="&quot;Гражданский кодекс Российской Федерации (часть первая)&quot; от 30.11.1994 N 51-ФЗ (ред. от 08.08.2024, с изм. от 31.10.2024) {КонсультантПлюс}">
              <w:r>
                <w:rPr>
                  <w:sz w:val="20"/>
                  <w:color w:val="0000ff"/>
                </w:rPr>
                <w:t xml:space="preserve">главой 10</w:t>
              </w:r>
            </w:hyperlink>
            <w:r>
              <w:rPr>
                <w:sz w:val="20"/>
              </w:rPr>
              <w:t xml:space="preserve"> Гражданского кодекса Российской Федерации</w:t>
            </w:r>
          </w:p>
        </w:tc>
      </w:tr>
      <w:tr>
        <w:tc>
          <w:tcPr>
            <w:tcW w:w="850" w:type="dxa"/>
          </w:tcPr>
          <w:p>
            <w:pPr>
              <w:pStyle w:val="0"/>
            </w:pPr>
            <w:r>
              <w:rPr>
                <w:sz w:val="20"/>
              </w:rPr>
              <w:t xml:space="preserve">2.2</w:t>
            </w:r>
          </w:p>
        </w:tc>
        <w:tc>
          <w:tcPr>
            <w:tcW w:w="3118" w:type="dxa"/>
          </w:tcPr>
          <w:p>
            <w:pPr>
              <w:pStyle w:val="0"/>
            </w:pPr>
            <w:r>
              <w:rPr>
                <w:sz w:val="20"/>
              </w:rPr>
              <w:t xml:space="preserve">Документ, удостоверяющий личность представителя участника Конкурса</w:t>
            </w:r>
          </w:p>
        </w:tc>
        <w:tc>
          <w:tcPr>
            <w:tcW w:w="5102" w:type="dxa"/>
          </w:tcPr>
          <w:p>
            <w:pPr>
              <w:pStyle w:val="0"/>
            </w:pPr>
            <w:r>
              <w:rPr>
                <w:sz w:val="20"/>
              </w:rPr>
              <w:t xml:space="preserve">Паспорт гражданина Российской Федерации (страницы вторая и третья, подтверждающие личность представителя)</w:t>
            </w:r>
          </w:p>
        </w:tc>
      </w:tr>
      <w:tr>
        <w:tc>
          <w:tcPr>
            <w:tcW w:w="850" w:type="dxa"/>
          </w:tcPr>
          <w:p>
            <w:pPr>
              <w:pStyle w:val="0"/>
            </w:pPr>
            <w:r>
              <w:rPr>
                <w:sz w:val="20"/>
              </w:rPr>
              <w:t xml:space="preserve">3</w:t>
            </w:r>
          </w:p>
        </w:tc>
        <w:tc>
          <w:tcPr>
            <w:tcW w:w="3118" w:type="dxa"/>
          </w:tcPr>
          <w:p>
            <w:pPr>
              <w:pStyle w:val="0"/>
            </w:pPr>
            <w:r>
              <w:rPr>
                <w:sz w:val="20"/>
              </w:rPr>
              <w:t xml:space="preserve">Акт сверки по налогам, содержащий информацию о сумме уплаченных налогов за предшествующий календарный год, заверенный налоговым органом (представляется по инициативе участника конкурса)</w:t>
            </w:r>
          </w:p>
        </w:tc>
        <w:tc>
          <w:tcPr>
            <w:tcW w:w="5102" w:type="dxa"/>
          </w:tcPr>
          <w:p>
            <w:pPr>
              <w:pStyle w:val="0"/>
            </w:pPr>
            <w:r>
              <w:rPr>
                <w:sz w:val="20"/>
              </w:rPr>
              <w:t xml:space="preserve">По форме Федеральной налоговой службы</w:t>
            </w:r>
          </w:p>
        </w:tc>
      </w:tr>
    </w:tbl>
    <w:p>
      <w:pPr>
        <w:pStyle w:val="0"/>
        <w:jc w:val="both"/>
      </w:pPr>
      <w:r>
        <w:rPr>
          <w:sz w:val="20"/>
        </w:rPr>
      </w:r>
    </w:p>
    <w:p>
      <w:pPr>
        <w:pStyle w:val="0"/>
        <w:outlineLvl w:val="4"/>
        <w:jc w:val="right"/>
      </w:pPr>
      <w:r>
        <w:rPr>
          <w:sz w:val="20"/>
        </w:rPr>
        <w:t xml:space="preserve">Таблица 3</w:t>
      </w:r>
    </w:p>
    <w:p>
      <w:pPr>
        <w:pStyle w:val="0"/>
        <w:jc w:val="both"/>
      </w:pPr>
      <w:r>
        <w:rPr>
          <w:sz w:val="20"/>
        </w:rPr>
      </w:r>
    </w:p>
    <w:bookmarkStart w:id="16982" w:name="P16982"/>
    <w:bookmarkEnd w:id="16982"/>
    <w:p>
      <w:pPr>
        <w:pStyle w:val="2"/>
        <w:jc w:val="center"/>
      </w:pPr>
      <w:r>
        <w:rPr>
          <w:sz w:val="20"/>
        </w:rPr>
        <w:t xml:space="preserve">ПЕРЕЧЕНЬ ДОКУМЕНТОВ, ПРЕДСТАВЛЯЕМЫХ УЧАСТНИКАМИ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5102"/>
      </w:tblGrid>
      <w:tr>
        <w:tc>
          <w:tcPr>
            <w:tcW w:w="850" w:type="dxa"/>
          </w:tcPr>
          <w:p>
            <w:pPr>
              <w:pStyle w:val="0"/>
              <w:jc w:val="center"/>
            </w:pPr>
            <w:r>
              <w:rPr>
                <w:sz w:val="20"/>
              </w:rPr>
              <w:t xml:space="preserve">N п/п</w:t>
            </w:r>
          </w:p>
        </w:tc>
        <w:tc>
          <w:tcPr>
            <w:tcW w:w="3118" w:type="dxa"/>
          </w:tcPr>
          <w:p>
            <w:pPr>
              <w:pStyle w:val="0"/>
              <w:jc w:val="center"/>
            </w:pPr>
            <w:r>
              <w:rPr>
                <w:sz w:val="20"/>
              </w:rPr>
              <w:t xml:space="preserve">Наименование документа</w:t>
            </w:r>
          </w:p>
        </w:tc>
        <w:tc>
          <w:tcPr>
            <w:tcW w:w="5102" w:type="dxa"/>
          </w:tcPr>
          <w:p>
            <w:pPr>
              <w:pStyle w:val="0"/>
              <w:jc w:val="center"/>
            </w:pPr>
            <w:r>
              <w:rPr>
                <w:sz w:val="20"/>
              </w:rPr>
              <w:t xml:space="preserve">Требования к содержанию документов</w:t>
            </w: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5102" w:type="dxa"/>
          </w:tcPr>
          <w:p>
            <w:pPr>
              <w:pStyle w:val="0"/>
              <w:jc w:val="center"/>
            </w:pPr>
            <w:r>
              <w:rPr>
                <w:sz w:val="20"/>
              </w:rPr>
              <w:t xml:space="preserve">3</w:t>
            </w:r>
          </w:p>
        </w:tc>
      </w:tr>
      <w:tr>
        <w:tc>
          <w:tcPr>
            <w:tcW w:w="850" w:type="dxa"/>
          </w:tcPr>
          <w:p>
            <w:pPr>
              <w:pStyle w:val="0"/>
            </w:pPr>
            <w:r>
              <w:rPr>
                <w:sz w:val="20"/>
              </w:rPr>
              <w:t xml:space="preserve">1</w:t>
            </w:r>
          </w:p>
        </w:tc>
        <w:tc>
          <w:tcPr>
            <w:tcW w:w="3118" w:type="dxa"/>
          </w:tcPr>
          <w:p>
            <w:pPr>
              <w:pStyle w:val="0"/>
            </w:pPr>
            <w:r>
              <w:rPr>
                <w:sz w:val="20"/>
              </w:rPr>
              <w:t xml:space="preserve">Договор лизинга</w:t>
            </w:r>
          </w:p>
        </w:tc>
        <w:tc>
          <w:tcPr>
            <w:tcW w:w="5102" w:type="dxa"/>
          </w:tcPr>
          <w:p>
            <w:pPr>
              <w:pStyle w:val="0"/>
            </w:pPr>
            <w:r>
              <w:rPr>
                <w:sz w:val="20"/>
              </w:rPr>
              <w:t xml:space="preserve">Договор лизинга представляется со всеми приложениями, спецификациями и дополнительными соглашениями и должен содержать:</w:t>
            </w:r>
          </w:p>
          <w:p>
            <w:pPr>
              <w:pStyle w:val="0"/>
            </w:pPr>
            <w:r>
              <w:rPr>
                <w:sz w:val="20"/>
              </w:rPr>
              <w:t xml:space="preserve">1. Дату заключения договора лизинга.</w:t>
            </w:r>
          </w:p>
          <w:p>
            <w:pPr>
              <w:pStyle w:val="0"/>
            </w:pPr>
            <w:r>
              <w:rPr>
                <w:sz w:val="20"/>
              </w:rPr>
              <w:t xml:space="preserve">2. Стороны договора лизинга.</w:t>
            </w:r>
          </w:p>
          <w:p>
            <w:pPr>
              <w:pStyle w:val="0"/>
            </w:pPr>
            <w:r>
              <w:rPr>
                <w:sz w:val="20"/>
              </w:rPr>
              <w:t xml:space="preserve">3. Предмет договора лизинга.</w:t>
            </w:r>
          </w:p>
          <w:p>
            <w:pPr>
              <w:pStyle w:val="0"/>
            </w:pPr>
            <w:r>
              <w:rPr>
                <w:sz w:val="20"/>
              </w:rPr>
              <w:t xml:space="preserve">4. Цену (стоимость) договора лизинга.</w:t>
            </w:r>
          </w:p>
          <w:p>
            <w:pPr>
              <w:pStyle w:val="0"/>
            </w:pPr>
            <w:r>
              <w:rPr>
                <w:sz w:val="20"/>
              </w:rPr>
              <w:t xml:space="preserve">5. Идентификационные данные сторон договора лизинга:</w:t>
            </w:r>
          </w:p>
          <w:p>
            <w:pPr>
              <w:pStyle w:val="0"/>
            </w:pPr>
            <w:r>
              <w:rPr>
                <w:sz w:val="20"/>
              </w:rPr>
              <w:t xml:space="preserve">1) наименование юридического лица, организационно-правовую форму (для юридических лиц) или фамилию, имя, отчество (последнее - при наличии) - для индивидуальных предпринимателей, ИНН;</w:t>
            </w:r>
          </w:p>
          <w:p>
            <w:pPr>
              <w:pStyle w:val="0"/>
            </w:pPr>
            <w:r>
              <w:rPr>
                <w:sz w:val="20"/>
              </w:rPr>
              <w:t xml:space="preserve">2) подписи сторон, печати (при наличии).</w:t>
            </w:r>
          </w:p>
          <w:p>
            <w:pPr>
              <w:pStyle w:val="0"/>
            </w:pPr>
            <w:r>
              <w:rPr>
                <w:sz w:val="20"/>
              </w:rPr>
              <w:t xml:space="preserve">В случае, если договор лизинга составлен на иностранном языке, к договору прилагается его нотариально заверенный перевод на русский язык.</w:t>
            </w:r>
          </w:p>
          <w:p>
            <w:pPr>
              <w:pStyle w:val="0"/>
            </w:pPr>
            <w:r>
              <w:rPr>
                <w:sz w:val="20"/>
              </w:rPr>
              <w:t xml:space="preserve">6. Расшифровку цены (стоимости) договора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лизинга по статьям расходов)</w:t>
            </w:r>
          </w:p>
        </w:tc>
      </w:tr>
      <w:tr>
        <w:tc>
          <w:tcPr>
            <w:tcW w:w="850" w:type="dxa"/>
          </w:tcPr>
          <w:p>
            <w:pPr>
              <w:pStyle w:val="0"/>
            </w:pPr>
            <w:r>
              <w:rPr>
                <w:sz w:val="20"/>
              </w:rPr>
              <w:t xml:space="preserve">2</w:t>
            </w:r>
          </w:p>
        </w:tc>
        <w:tc>
          <w:tcPr>
            <w:tcW w:w="3118" w:type="dxa"/>
          </w:tcPr>
          <w:p>
            <w:pPr>
              <w:pStyle w:val="0"/>
            </w:pPr>
            <w:r>
              <w:rPr>
                <w:sz w:val="20"/>
              </w:rPr>
              <w:t xml:space="preserve">Платежное поручение</w:t>
            </w:r>
          </w:p>
        </w:tc>
        <w:tc>
          <w:tcPr>
            <w:tcW w:w="5102" w:type="dxa"/>
          </w:tcPr>
          <w:p>
            <w:pPr>
              <w:pStyle w:val="0"/>
            </w:pPr>
            <w:r>
              <w:rPr>
                <w:sz w:val="20"/>
              </w:rPr>
              <w:t xml:space="preserve">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"клиент-банк".</w:t>
            </w:r>
          </w:p>
          <w:p>
            <w:pPr>
              <w:pStyle w:val="0"/>
            </w:pPr>
            <w:r>
              <w:rPr>
                <w:sz w:val="20"/>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w:t>
            </w:r>
          </w:p>
        </w:tc>
      </w:tr>
      <w:tr>
        <w:tc>
          <w:tcPr>
            <w:tcW w:w="850" w:type="dxa"/>
          </w:tcPr>
          <w:p>
            <w:pPr>
              <w:pStyle w:val="0"/>
            </w:pPr>
            <w:r>
              <w:rPr>
                <w:sz w:val="20"/>
              </w:rPr>
              <w:t xml:space="preserve">3</w:t>
            </w:r>
          </w:p>
        </w:tc>
        <w:tc>
          <w:tcPr>
            <w:tcW w:w="3118" w:type="dxa"/>
          </w:tcPr>
          <w:p>
            <w:pPr>
              <w:pStyle w:val="0"/>
            </w:pPr>
            <w:r>
              <w:rPr>
                <w:sz w:val="20"/>
              </w:rPr>
              <w:t xml:space="preserve">Выписка банка, подтверждающая оплату по договору лизинга (далее - выписка банка)</w:t>
            </w:r>
          </w:p>
        </w:tc>
        <w:tc>
          <w:tcPr>
            <w:tcW w:w="5102" w:type="dxa"/>
          </w:tcPr>
          <w:p>
            <w:pPr>
              <w:pStyle w:val="0"/>
            </w:pPr>
            <w:r>
              <w:rPr>
                <w:sz w:val="20"/>
              </w:rPr>
              <w:t xml:space="preserve">Выписка банка должна быть заверена печатью банка или оригинальным оттиском штампа и подписью операциониста банка с указанием фамилии и инициалов или подписана усиленной квалифицированной ЭП операциониста банка (в случае, если выписка банка имеет более 1 листа, должен быть заверен каждый лист) и содержать следующую информацию:</w:t>
            </w:r>
          </w:p>
          <w:p>
            <w:pPr>
              <w:pStyle w:val="0"/>
            </w:pPr>
            <w:r>
              <w:rPr>
                <w:sz w:val="20"/>
              </w:rPr>
              <w:t xml:space="preserve">1) наименование банка;</w:t>
            </w:r>
          </w:p>
          <w:p>
            <w:pPr>
              <w:pStyle w:val="0"/>
            </w:pPr>
            <w:r>
              <w:rPr>
                <w:sz w:val="20"/>
              </w:rPr>
              <w:t xml:space="preserve">2) полное наименование плательщика (наименование юридического лица или фамилию, имя, отчество (последнее - при наличии) индивидуального предпринимателя);</w:t>
            </w:r>
          </w:p>
          <w:p>
            <w:pPr>
              <w:pStyle w:val="0"/>
            </w:pPr>
            <w:r>
              <w:rPr>
                <w:sz w:val="20"/>
              </w:rPr>
              <w:t xml:space="preserve">3) номер банковского счета, по которому представляется выписка банка;</w:t>
            </w:r>
          </w:p>
          <w:p>
            <w:pPr>
              <w:pStyle w:val="0"/>
            </w:pPr>
            <w:r>
              <w:rPr>
                <w:sz w:val="20"/>
              </w:rPr>
              <w:t xml:space="preserve">4) период, за который представляется выписка банка;</w:t>
            </w:r>
          </w:p>
          <w:p>
            <w:pPr>
              <w:pStyle w:val="0"/>
            </w:pPr>
            <w:r>
              <w:rPr>
                <w:sz w:val="20"/>
              </w:rPr>
              <w:t xml:space="preserve">5) дата совершения операции (оплаты по договору лизинга) в формате "дд.мм.гг.";</w:t>
            </w:r>
          </w:p>
          <w:p>
            <w:pPr>
              <w:pStyle w:val="0"/>
            </w:pPr>
            <w:r>
              <w:rPr>
                <w:sz w:val="20"/>
              </w:rPr>
              <w:t xml:space="preserve">6) реквизиты документа, на основании которого была совершена операция (оплата по договору лизинга) по счету (номер, дата);</w:t>
            </w:r>
          </w:p>
          <w:p>
            <w:pPr>
              <w:pStyle w:val="0"/>
            </w:pPr>
            <w:r>
              <w:rPr>
                <w:sz w:val="20"/>
              </w:rPr>
              <w:t xml:space="preserve">7) наименование получателя денежных средств (наименование юридического лица или фамилию, имя, отчество (последнее - при наличии) индивидуального предпринимателя);</w:t>
            </w:r>
          </w:p>
          <w:p>
            <w:pPr>
              <w:pStyle w:val="0"/>
            </w:pPr>
            <w:r>
              <w:rPr>
                <w:sz w:val="20"/>
              </w:rPr>
              <w:t xml:space="preserve">8) сумма операции по счету (дебету, кредиту);</w:t>
            </w:r>
          </w:p>
          <w:p>
            <w:pPr>
              <w:pStyle w:val="0"/>
            </w:pPr>
            <w:r>
              <w:rPr>
                <w:sz w:val="20"/>
              </w:rPr>
              <w:t xml:space="preserve">9) назначение платежа</w:t>
            </w:r>
          </w:p>
        </w:tc>
      </w:tr>
      <w:tr>
        <w:tc>
          <w:tcPr>
            <w:tcW w:w="850" w:type="dxa"/>
          </w:tcPr>
          <w:p>
            <w:pPr>
              <w:pStyle w:val="0"/>
            </w:pPr>
            <w:r>
              <w:rPr>
                <w:sz w:val="20"/>
              </w:rPr>
              <w:t xml:space="preserve">4</w:t>
            </w:r>
          </w:p>
        </w:tc>
        <w:tc>
          <w:tcPr>
            <w:tcW w:w="3118" w:type="dxa"/>
          </w:tcPr>
          <w:p>
            <w:pPr>
              <w:pStyle w:val="0"/>
            </w:pPr>
            <w:r>
              <w:rPr>
                <w:sz w:val="20"/>
              </w:rPr>
              <w:t xml:space="preserve">Счет на оплату (представляется в случае, если в платежном поручении в графе "Назначение платежа" нет ссылки на договор лизинга, но присутствует ссылка на счет)</w:t>
            </w:r>
          </w:p>
        </w:tc>
        <w:tc>
          <w:tcPr>
            <w:tcW w:w="5102" w:type="dxa"/>
          </w:tcPr>
          <w:p>
            <w:pPr>
              <w:pStyle w:val="0"/>
            </w:pPr>
            <w:r>
              <w:rPr>
                <w:sz w:val="20"/>
              </w:rPr>
              <w:t xml:space="preserve">Счет на оплату должен соответствовать условиям договора лизинга и содержать ссылку на договор лизинга, а также следующую информацию:</w:t>
            </w:r>
          </w:p>
          <w:p>
            <w:pPr>
              <w:pStyle w:val="0"/>
            </w:pPr>
            <w:r>
              <w:rPr>
                <w:sz w:val="20"/>
              </w:rPr>
              <w:t xml:space="preserve">1) ссылку на номер и дату договора лизинга;</w:t>
            </w:r>
          </w:p>
          <w:p>
            <w:pPr>
              <w:pStyle w:val="0"/>
            </w:pPr>
            <w:r>
              <w:rPr>
                <w:sz w:val="20"/>
              </w:rPr>
              <w:t xml:space="preserve">2) указание на лицо, выдавшее счет (наименование юридического лица или фамилию, имя, отчество (последнее - при наличии) - индивидуального предпринимателя, ИНН, КПП);</w:t>
            </w:r>
          </w:p>
          <w:p>
            <w:pPr>
              <w:pStyle w:val="0"/>
            </w:pPr>
            <w:r>
              <w:rPr>
                <w:sz w:val="20"/>
              </w:rPr>
              <w:t xml:space="preserve">3) указание на плательщика (наименование юридического лица или фамилию, имя, отчество (последнее - при наличии) индивидуального предпринимателя, ИНН, КПП);</w:t>
            </w:r>
          </w:p>
          <w:p>
            <w:pPr>
              <w:pStyle w:val="0"/>
            </w:pPr>
            <w:r>
              <w:rPr>
                <w:sz w:val="20"/>
              </w:rPr>
              <w:t xml:space="preserve">4) предмет договора лизинга (за что производится оплата по счету);</w:t>
            </w:r>
          </w:p>
          <w:p>
            <w:pPr>
              <w:pStyle w:val="0"/>
            </w:pPr>
            <w:r>
              <w:rPr>
                <w:sz w:val="20"/>
              </w:rPr>
              <w:t xml:space="preserve">5) сумму платежа;</w:t>
            </w:r>
          </w:p>
          <w:p>
            <w:pPr>
              <w:pStyle w:val="0"/>
            </w:pPr>
            <w:r>
              <w:rPr>
                <w:sz w:val="20"/>
              </w:rPr>
              <w:t xml:space="preserve">6) печать и подпись лица, выдавшего счет на оплату</w:t>
            </w:r>
          </w:p>
        </w:tc>
      </w:tr>
      <w:tr>
        <w:tc>
          <w:tcPr>
            <w:tcW w:w="850" w:type="dxa"/>
          </w:tcPr>
          <w:p>
            <w:pPr>
              <w:pStyle w:val="0"/>
            </w:pPr>
            <w:r>
              <w:rPr>
                <w:sz w:val="20"/>
              </w:rPr>
              <w:t xml:space="preserve">5</w:t>
            </w:r>
          </w:p>
        </w:tc>
        <w:tc>
          <w:tcPr>
            <w:tcW w:w="3118" w:type="dxa"/>
          </w:tcPr>
          <w:p>
            <w:pPr>
              <w:pStyle w:val="0"/>
            </w:pPr>
            <w:r>
              <w:rPr>
                <w:sz w:val="20"/>
              </w:rPr>
              <w:t xml:space="preserve">Акт приема-передачи основных средств или иной документ, предусмотренный договором лизинга, подтверждающий передачу основных средств от продавца покупателю</w:t>
            </w:r>
          </w:p>
        </w:tc>
        <w:tc>
          <w:tcPr>
            <w:tcW w:w="5102" w:type="dxa"/>
          </w:tcPr>
          <w:p>
            <w:pPr>
              <w:pStyle w:val="0"/>
            </w:pPr>
            <w:r>
              <w:rPr>
                <w:sz w:val="20"/>
              </w:rPr>
              <w:t xml:space="preserve">Акт приема-передачи (или иной документ, предусмотренный договором) должен соответствовать условиям договора и в обязательном порядке содержать следующую информацию:</w:t>
            </w:r>
          </w:p>
          <w:p>
            <w:pPr>
              <w:pStyle w:val="0"/>
            </w:pPr>
            <w:r>
              <w:rPr>
                <w:sz w:val="20"/>
              </w:rPr>
              <w:t xml:space="preserve">1) дату и место составления;</w:t>
            </w:r>
          </w:p>
          <w:p>
            <w:pPr>
              <w:pStyle w:val="0"/>
            </w:pPr>
            <w:r>
              <w:rPr>
                <w:sz w:val="20"/>
              </w:rPr>
              <w:t xml:space="preserve">2) ссылку на номер и дату договора;</w:t>
            </w:r>
          </w:p>
          <w:p>
            <w:pPr>
              <w:pStyle w:val="0"/>
            </w:pPr>
            <w:r>
              <w:rPr>
                <w:sz w:val="20"/>
              </w:rPr>
              <w:t xml:space="preserve">3) указание на стороны договора;</w:t>
            </w:r>
          </w:p>
          <w:p>
            <w:pPr>
              <w:pStyle w:val="0"/>
            </w:pPr>
            <w:r>
              <w:rPr>
                <w:sz w:val="20"/>
              </w:rPr>
              <w:t xml:space="preserve">4) предмет договора (что передается по акту);</w:t>
            </w:r>
          </w:p>
          <w:p>
            <w:pPr>
              <w:pStyle w:val="0"/>
            </w:pPr>
            <w:r>
              <w:rPr>
                <w:sz w:val="20"/>
              </w:rPr>
              <w:t xml:space="preserve">5) печати (при наличии) и подписи сторон</w:t>
            </w:r>
          </w:p>
        </w:tc>
      </w:tr>
      <w:tr>
        <w:tc>
          <w:tcPr>
            <w:tcW w:w="850" w:type="dxa"/>
          </w:tcPr>
          <w:p>
            <w:pPr>
              <w:pStyle w:val="0"/>
            </w:pPr>
            <w:r>
              <w:rPr>
                <w:sz w:val="20"/>
              </w:rPr>
              <w:t xml:space="preserve">6</w:t>
            </w:r>
          </w:p>
        </w:tc>
        <w:tc>
          <w:tcPr>
            <w:tcW w:w="3118" w:type="dxa"/>
          </w:tcPr>
          <w:p>
            <w:pPr>
              <w:pStyle w:val="0"/>
            </w:pPr>
            <w:r>
              <w:rPr>
                <w:sz w:val="20"/>
              </w:rPr>
              <w:t xml:space="preserve">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tc>
        <w:tc>
          <w:tcPr>
            <w:tcW w:w="5102" w:type="dxa"/>
          </w:tcPr>
          <w:p>
            <w:pPr>
              <w:pStyle w:val="0"/>
            </w:pPr>
            <w:r>
              <w:rPr>
                <w:sz w:val="20"/>
              </w:rPr>
              <w:t xml:space="preserve">В свободной форме</w:t>
            </w:r>
          </w:p>
        </w:tc>
      </w:tr>
      <w:tr>
        <w:tc>
          <w:tcPr>
            <w:tcW w:w="850" w:type="dxa"/>
          </w:tcPr>
          <w:p>
            <w:pPr>
              <w:pStyle w:val="0"/>
            </w:pPr>
            <w:r>
              <w:rPr>
                <w:sz w:val="20"/>
              </w:rPr>
              <w:t xml:space="preserve">7</w:t>
            </w:r>
          </w:p>
        </w:tc>
        <w:tc>
          <w:tcPr>
            <w:gridSpan w:val="2"/>
            <w:tcW w:w="8220" w:type="dxa"/>
          </w:tcPr>
          <w:p>
            <w:pPr>
              <w:pStyle w:val="0"/>
            </w:pPr>
            <w:r>
              <w:rPr>
                <w:sz w:val="20"/>
              </w:rPr>
              <w:t xml:space="preserve">В случае подачи заявки на возмещение затрат на приобретение транспортных средств и (или) самоходных машин:</w:t>
            </w:r>
          </w:p>
        </w:tc>
      </w:tr>
      <w:tr>
        <w:tc>
          <w:tcPr>
            <w:tcW w:w="850" w:type="dxa"/>
          </w:tcPr>
          <w:p>
            <w:pPr>
              <w:pStyle w:val="0"/>
            </w:pPr>
            <w:r>
              <w:rPr>
                <w:sz w:val="20"/>
              </w:rPr>
              <w:t xml:space="preserve">7.1.</w:t>
            </w:r>
          </w:p>
        </w:tc>
        <w:tc>
          <w:tcPr>
            <w:tcW w:w="3118" w:type="dxa"/>
          </w:tcPr>
          <w:p>
            <w:pPr>
              <w:pStyle w:val="0"/>
            </w:pPr>
            <w:r>
              <w:rPr>
                <w:sz w:val="20"/>
              </w:rPr>
              <w:t xml:space="preserve">Паспорт транспортного средства и (или) самоходной машины (далее - ПТС (ПСМ)</w:t>
            </w:r>
          </w:p>
        </w:tc>
        <w:tc>
          <w:tcPr>
            <w:tcW w:w="5102" w:type="dxa"/>
          </w:tcPr>
          <w:p>
            <w:pPr>
              <w:pStyle w:val="0"/>
            </w:pPr>
            <w:hyperlink w:history="0" r:id="rId771"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ПТС</w:t>
              </w:r>
            </w:hyperlink>
            <w:r>
              <w:rPr>
                <w:sz w:val="20"/>
              </w:rPr>
              <w:t xml:space="preserve"> (ПСМ) - по форме в соответствии с приказом МВД России от 23.04.2019 N 267 "Об утверждении форм документов, идентифицирующих транспортное средство, и требований к ним".</w:t>
            </w:r>
          </w:p>
          <w:p>
            <w:pPr>
              <w:pStyle w:val="0"/>
            </w:pPr>
            <w:r>
              <w:rPr>
                <w:sz w:val="20"/>
              </w:rPr>
              <w:t xml:space="preserve">В случае представления электронного ПТС (ПСМ) с указанием дополнительных сведений согласно </w:t>
            </w:r>
            <w:hyperlink w:history="0" r:id="rId772"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тельных сведений, носящих информационный характер, указываемых в разделе &quot;Иные сведения, носящие информационный характер&quot; электронного паспорта транспортного средства и электронного паспорта шасси транспортного средства&quot;) {КонсультантПлюс}">
              <w:r>
                <w:rPr>
                  <w:sz w:val="20"/>
                  <w:color w:val="0000ff"/>
                </w:rPr>
                <w:t xml:space="preserve">постановлению</w:t>
              </w:r>
            </w:hyperlink>
            <w:r>
              <w:rPr>
                <w:sz w:val="20"/>
              </w:rPr>
              <w:t xml:space="preserve"> Правительства Российской Федерации от 05.10.2017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tc>
          <w:tcPr>
            <w:tcW w:w="850" w:type="dxa"/>
          </w:tcPr>
          <w:p>
            <w:pPr>
              <w:pStyle w:val="0"/>
            </w:pPr>
            <w:r>
              <w:rPr>
                <w:sz w:val="20"/>
              </w:rPr>
              <w:t xml:space="preserve">7.2.</w:t>
            </w:r>
          </w:p>
        </w:tc>
        <w:tc>
          <w:tcPr>
            <w:tcW w:w="3118" w:type="dxa"/>
          </w:tcPr>
          <w:p>
            <w:pPr>
              <w:pStyle w:val="0"/>
            </w:pPr>
            <w:r>
              <w:rPr>
                <w:sz w:val="20"/>
              </w:rPr>
              <w:t xml:space="preserve">Свидетельство о регистрации транспортного средства и (или) самоходной машины (далее - СТС (ССМ)</w:t>
            </w:r>
          </w:p>
        </w:tc>
        <w:tc>
          <w:tcPr>
            <w:tcW w:w="5102" w:type="dxa"/>
          </w:tcPr>
          <w:p>
            <w:pPr>
              <w:pStyle w:val="0"/>
            </w:pPr>
            <w:hyperlink w:history="0" r:id="rId773"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СТС</w:t>
              </w:r>
            </w:hyperlink>
            <w:r>
              <w:rPr>
                <w:sz w:val="20"/>
              </w:rPr>
              <w:t xml:space="preserve"> (ССМ) - по форме в соответствии с приказом МВД России от 23.04.2019 N 267 "Об утверждении форм документов, идентифицирующих транспортное средство, и требований к ним"</w:t>
            </w:r>
          </w:p>
        </w:tc>
      </w:tr>
      <w:tr>
        <w:tc>
          <w:tcPr>
            <w:tcW w:w="850" w:type="dxa"/>
          </w:tcPr>
          <w:p>
            <w:pPr>
              <w:pStyle w:val="0"/>
            </w:pPr>
            <w:r>
              <w:rPr>
                <w:sz w:val="20"/>
              </w:rPr>
              <w:t xml:space="preserve">8</w:t>
            </w:r>
          </w:p>
        </w:tc>
        <w:tc>
          <w:tcPr>
            <w:tcW w:w="3118" w:type="dxa"/>
          </w:tcPr>
          <w:p>
            <w:pPr>
              <w:pStyle w:val="0"/>
            </w:pPr>
            <w:r>
              <w:rPr>
                <w:sz w:val="20"/>
              </w:rPr>
              <w:t xml:space="preserve">Фотографии Оборудования</w:t>
            </w:r>
          </w:p>
        </w:tc>
        <w:tc>
          <w:tcPr>
            <w:tcW w:w="5102" w:type="dxa"/>
          </w:tcPr>
          <w:p>
            <w:pPr>
              <w:pStyle w:val="0"/>
            </w:pPr>
            <w:r>
              <w:rPr>
                <w:sz w:val="20"/>
              </w:rPr>
              <w:t xml:space="preserve">Представляются цветные фотографии каждого объекта Оборудования или Оборудования после его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p>
        </w:tc>
      </w:tr>
      <w:tr>
        <w:tc>
          <w:tcPr>
            <w:tcW w:w="850" w:type="dxa"/>
          </w:tcPr>
          <w:p>
            <w:pPr>
              <w:pStyle w:val="0"/>
            </w:pPr>
            <w:r>
              <w:rPr>
                <w:sz w:val="20"/>
              </w:rPr>
              <w:t xml:space="preserve">9</w:t>
            </w:r>
          </w:p>
        </w:tc>
        <w:tc>
          <w:tcPr>
            <w:tcW w:w="3118" w:type="dxa"/>
          </w:tcPr>
          <w:p>
            <w:pPr>
              <w:pStyle w:val="0"/>
            </w:pPr>
            <w:r>
              <w:rPr>
                <w:sz w:val="20"/>
              </w:rPr>
              <w:t xml:space="preserve">Видеоматериалы</w:t>
            </w:r>
          </w:p>
        </w:tc>
        <w:tc>
          <w:tcPr>
            <w:tcW w:w="5102" w:type="dxa"/>
          </w:tcPr>
          <w:p>
            <w:pPr>
              <w:pStyle w:val="0"/>
            </w:pPr>
            <w:r>
              <w:rPr>
                <w:sz w:val="20"/>
              </w:rPr>
              <w:t xml:space="preserve">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pPr>
        <w:pStyle w:val="0"/>
        <w:jc w:val="both"/>
      </w:pPr>
      <w:r>
        <w:rPr>
          <w:sz w:val="20"/>
        </w:rPr>
      </w:r>
    </w:p>
    <w:p>
      <w:pPr>
        <w:pStyle w:val="2"/>
        <w:outlineLvl w:val="2"/>
        <w:jc w:val="center"/>
      </w:pPr>
      <w:r>
        <w:rPr>
          <w:sz w:val="20"/>
        </w:rPr>
        <w:t xml:space="preserve">7.3. Порядки определения объема и предоставления субсидий</w:t>
      </w:r>
    </w:p>
    <w:p>
      <w:pPr>
        <w:pStyle w:val="2"/>
        <w:jc w:val="center"/>
      </w:pPr>
      <w:r>
        <w:rPr>
          <w:sz w:val="20"/>
        </w:rPr>
        <w:t xml:space="preserve">из бюджета Московской области, в том числе результаты их</w:t>
      </w:r>
    </w:p>
    <w:p>
      <w:pPr>
        <w:pStyle w:val="2"/>
        <w:jc w:val="center"/>
      </w:pPr>
      <w:r>
        <w:rPr>
          <w:sz w:val="20"/>
        </w:rPr>
        <w:t xml:space="preserve">предоставления, иным некоммерческим организациям,</w:t>
      </w:r>
    </w:p>
    <w:p>
      <w:pPr>
        <w:pStyle w:val="2"/>
        <w:jc w:val="center"/>
      </w:pPr>
      <w:r>
        <w:rPr>
          <w:sz w:val="20"/>
        </w:rPr>
        <w:t xml:space="preserve">не являющимся государственными (муниципальными) учреждениями</w:t>
      </w:r>
    </w:p>
    <w:p>
      <w:pPr>
        <w:pStyle w:val="0"/>
        <w:jc w:val="both"/>
      </w:pPr>
      <w:r>
        <w:rPr>
          <w:sz w:val="20"/>
        </w:rPr>
      </w:r>
    </w:p>
    <w:p>
      <w:pPr>
        <w:pStyle w:val="2"/>
        <w:outlineLvl w:val="3"/>
        <w:jc w:val="center"/>
      </w:pPr>
      <w:r>
        <w:rPr>
          <w:sz w:val="20"/>
        </w:rPr>
        <w:t xml:space="preserve">7.3.1. Порядок предоставления субсидий из бюджета Московской</w:t>
      </w:r>
    </w:p>
    <w:p>
      <w:pPr>
        <w:pStyle w:val="2"/>
        <w:jc w:val="center"/>
      </w:pPr>
      <w:r>
        <w:rPr>
          <w:sz w:val="20"/>
        </w:rPr>
        <w:t xml:space="preserve">области АНО "АИР" в рамках реализации мероприятия I2.01</w:t>
      </w:r>
    </w:p>
    <w:p>
      <w:pPr>
        <w:pStyle w:val="2"/>
        <w:jc w:val="center"/>
      </w:pPr>
      <w:r>
        <w:rPr>
          <w:sz w:val="20"/>
        </w:rPr>
        <w:t xml:space="preserve">"Обеспечение деятельности автономной некоммерческой</w:t>
      </w:r>
    </w:p>
    <w:p>
      <w:pPr>
        <w:pStyle w:val="2"/>
        <w:jc w:val="center"/>
      </w:pPr>
      <w:r>
        <w:rPr>
          <w:sz w:val="20"/>
        </w:rPr>
        <w:t xml:space="preserve">организации "Агентство инвестиционного развития Московской</w:t>
      </w:r>
    </w:p>
    <w:p>
      <w:pPr>
        <w:pStyle w:val="2"/>
        <w:jc w:val="center"/>
      </w:pPr>
      <w:r>
        <w:rPr>
          <w:sz w:val="20"/>
        </w:rPr>
        <w:t xml:space="preserve">области" в целях реализации мероприятий, направленных</w:t>
      </w:r>
    </w:p>
    <w:p>
      <w:pPr>
        <w:pStyle w:val="2"/>
        <w:jc w:val="center"/>
      </w:pPr>
      <w:r>
        <w:rPr>
          <w:sz w:val="20"/>
        </w:rPr>
        <w:t xml:space="preserve">на создание благоприятных условий для осуществления</w:t>
      </w:r>
    </w:p>
    <w:p>
      <w:pPr>
        <w:pStyle w:val="2"/>
        <w:jc w:val="center"/>
      </w:pPr>
      <w:r>
        <w:rPr>
          <w:sz w:val="20"/>
        </w:rPr>
        <w:t xml:space="preserve">деятельности самозанятыми гражданами" Подпрограммы 3</w:t>
      </w:r>
    </w:p>
    <w:p>
      <w:pPr>
        <w:pStyle w:val="2"/>
        <w:jc w:val="center"/>
      </w:pPr>
      <w:r>
        <w:rPr>
          <w:sz w:val="20"/>
        </w:rPr>
        <w:t xml:space="preserve">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74"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7.3.2. Порядок предоставления субсидий из бюджета Московской</w:t>
      </w:r>
    </w:p>
    <w:p>
      <w:pPr>
        <w:pStyle w:val="2"/>
        <w:jc w:val="center"/>
      </w:pPr>
      <w:r>
        <w:rPr>
          <w:sz w:val="20"/>
        </w:rPr>
        <w:t xml:space="preserve">области АНО "АИР" в рамках реализации мероприятия I4.01</w:t>
      </w:r>
    </w:p>
    <w:p>
      <w:pPr>
        <w:pStyle w:val="2"/>
        <w:jc w:val="center"/>
      </w:pPr>
      <w:r>
        <w:rPr>
          <w:sz w:val="20"/>
        </w:rPr>
        <w:t xml:space="preserve">"Обеспечение деятельности автономной некоммерческой</w:t>
      </w:r>
    </w:p>
    <w:p>
      <w:pPr>
        <w:pStyle w:val="2"/>
        <w:jc w:val="center"/>
      </w:pPr>
      <w:r>
        <w:rPr>
          <w:sz w:val="20"/>
        </w:rPr>
        <w:t xml:space="preserve">организации "Агентство инвестиционного развития Московской</w:t>
      </w:r>
    </w:p>
    <w:p>
      <w:pPr>
        <w:pStyle w:val="2"/>
        <w:jc w:val="center"/>
      </w:pPr>
      <w:r>
        <w:rPr>
          <w:sz w:val="20"/>
        </w:rPr>
        <w:t xml:space="preserve">области" в целях реализации мероприятий, направленных</w:t>
      </w:r>
    </w:p>
    <w:p>
      <w:pPr>
        <w:pStyle w:val="2"/>
        <w:jc w:val="center"/>
      </w:pPr>
      <w:r>
        <w:rPr>
          <w:sz w:val="20"/>
        </w:rPr>
        <w:t xml:space="preserve">на создание условий для легкого старта и комфортного ведения</w:t>
      </w:r>
    </w:p>
    <w:p>
      <w:pPr>
        <w:pStyle w:val="2"/>
        <w:jc w:val="center"/>
      </w:pPr>
      <w:r>
        <w:rPr>
          <w:sz w:val="20"/>
        </w:rPr>
        <w:t xml:space="preserve">бизнеса" Подпрограммы 3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75"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7.3.3. Порядок предоставления субсидий из бюджета Московской</w:t>
      </w:r>
    </w:p>
    <w:p>
      <w:pPr>
        <w:pStyle w:val="2"/>
        <w:jc w:val="center"/>
      </w:pPr>
      <w:r>
        <w:rPr>
          <w:sz w:val="20"/>
        </w:rPr>
        <w:t xml:space="preserve">области некоммерческой организации "Фонд поддержки</w:t>
      </w:r>
    </w:p>
    <w:p>
      <w:pPr>
        <w:pStyle w:val="2"/>
        <w:jc w:val="center"/>
      </w:pPr>
      <w:r>
        <w:rPr>
          <w:sz w:val="20"/>
        </w:rPr>
        <w:t xml:space="preserve">внешнеэкономической деятельности Московской области"</w:t>
      </w:r>
    </w:p>
    <w:p>
      <w:pPr>
        <w:pStyle w:val="2"/>
        <w:jc w:val="center"/>
      </w:pPr>
      <w:r>
        <w:rPr>
          <w:sz w:val="20"/>
        </w:rPr>
        <w:t xml:space="preserve">в рамках реализации мероприятия I5.01 "Обеспечение</w:t>
      </w:r>
    </w:p>
    <w:p>
      <w:pPr>
        <w:pStyle w:val="2"/>
        <w:jc w:val="center"/>
      </w:pPr>
      <w:r>
        <w:rPr>
          <w:sz w:val="20"/>
        </w:rPr>
        <w:t xml:space="preserve">деятельности некоммерческой организации "Фонд поддержки</w:t>
      </w:r>
    </w:p>
    <w:p>
      <w:pPr>
        <w:pStyle w:val="2"/>
        <w:jc w:val="center"/>
      </w:pPr>
      <w:r>
        <w:rPr>
          <w:sz w:val="20"/>
        </w:rPr>
        <w:t xml:space="preserve">внешнеэкономической деятельности Московской области" в целях</w:t>
      </w:r>
    </w:p>
    <w:p>
      <w:pPr>
        <w:pStyle w:val="2"/>
        <w:jc w:val="center"/>
      </w:pPr>
      <w:r>
        <w:rPr>
          <w:sz w:val="20"/>
        </w:rPr>
        <w:t xml:space="preserve">реализации мероприятий, направленных на цели координации</w:t>
      </w:r>
    </w:p>
    <w:p>
      <w:pPr>
        <w:pStyle w:val="2"/>
        <w:jc w:val="center"/>
      </w:pPr>
      <w:r>
        <w:rPr>
          <w:sz w:val="20"/>
        </w:rPr>
        <w:t xml:space="preserve">поддержки экспортно ориентированных субъектов малого</w:t>
      </w:r>
    </w:p>
    <w:p>
      <w:pPr>
        <w:pStyle w:val="2"/>
        <w:jc w:val="center"/>
      </w:pPr>
      <w:r>
        <w:rPr>
          <w:sz w:val="20"/>
        </w:rPr>
        <w:t xml:space="preserve">и среднего предпринимательства" Подпрограммы 3</w:t>
      </w:r>
    </w:p>
    <w:p>
      <w:pPr>
        <w:pStyle w:val="2"/>
        <w:jc w:val="center"/>
      </w:pPr>
      <w:r>
        <w:rPr>
          <w:sz w:val="20"/>
        </w:rPr>
        <w:t xml:space="preserve">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7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7.3.4. Порядок предоставления субсидий из бюджета Московской</w:t>
      </w:r>
    </w:p>
    <w:p>
      <w:pPr>
        <w:pStyle w:val="2"/>
        <w:jc w:val="center"/>
      </w:pPr>
      <w:r>
        <w:rPr>
          <w:sz w:val="20"/>
        </w:rPr>
        <w:t xml:space="preserve">области АНО "АИР" в рамках реализации мероприятия I5.02</w:t>
      </w:r>
    </w:p>
    <w:p>
      <w:pPr>
        <w:pStyle w:val="2"/>
        <w:jc w:val="center"/>
      </w:pPr>
      <w:r>
        <w:rPr>
          <w:sz w:val="20"/>
        </w:rPr>
        <w:t xml:space="preserve">"Обеспечение деятельности автономной некоммерческой</w:t>
      </w:r>
    </w:p>
    <w:p>
      <w:pPr>
        <w:pStyle w:val="2"/>
        <w:jc w:val="center"/>
      </w:pPr>
      <w:r>
        <w:rPr>
          <w:sz w:val="20"/>
        </w:rPr>
        <w:t xml:space="preserve">организации "Агентство инвестиционного развития Московской</w:t>
      </w:r>
    </w:p>
    <w:p>
      <w:pPr>
        <w:pStyle w:val="2"/>
        <w:jc w:val="center"/>
      </w:pPr>
      <w:r>
        <w:rPr>
          <w:sz w:val="20"/>
        </w:rPr>
        <w:t xml:space="preserve">области" в целях оказания комплекса услуг, сервисов и мер</w:t>
      </w:r>
    </w:p>
    <w:p>
      <w:pPr>
        <w:pStyle w:val="2"/>
        <w:jc w:val="center"/>
      </w:pPr>
      <w:r>
        <w:rPr>
          <w:sz w:val="20"/>
        </w:rPr>
        <w:t xml:space="preserve">поддержки субъектам малого и среднего предпринимательства"</w:t>
      </w:r>
    </w:p>
    <w:p>
      <w:pPr>
        <w:pStyle w:val="2"/>
        <w:jc w:val="center"/>
      </w:pPr>
      <w:r>
        <w:rPr>
          <w:sz w:val="20"/>
        </w:rPr>
        <w:t xml:space="preserve">Подпрограммы 3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77"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7.3.5. Порядок предоставления субсидий из бюджета Московской</w:t>
      </w:r>
    </w:p>
    <w:p>
      <w:pPr>
        <w:pStyle w:val="2"/>
        <w:jc w:val="center"/>
      </w:pPr>
      <w:r>
        <w:rPr>
          <w:sz w:val="20"/>
        </w:rPr>
        <w:t xml:space="preserve">области некоммерческой организации "Московский областной</w:t>
      </w:r>
    </w:p>
    <w:p>
      <w:pPr>
        <w:pStyle w:val="2"/>
        <w:jc w:val="center"/>
      </w:pPr>
      <w:r>
        <w:rPr>
          <w:sz w:val="20"/>
        </w:rPr>
        <w:t xml:space="preserve">гарантийный фонд содействия кредитованию субъектов малого</w:t>
      </w:r>
    </w:p>
    <w:p>
      <w:pPr>
        <w:pStyle w:val="2"/>
        <w:jc w:val="center"/>
      </w:pPr>
      <w:r>
        <w:rPr>
          <w:sz w:val="20"/>
        </w:rPr>
        <w:t xml:space="preserve">и среднего предпринимательства" в рамках реализации</w:t>
      </w:r>
    </w:p>
    <w:p>
      <w:pPr>
        <w:pStyle w:val="2"/>
        <w:jc w:val="center"/>
      </w:pPr>
      <w:r>
        <w:rPr>
          <w:sz w:val="20"/>
        </w:rPr>
        <w:t xml:space="preserve">мероприятия I5.03 "Обеспечение деятельности некоммерческой</w:t>
      </w:r>
    </w:p>
    <w:p>
      <w:pPr>
        <w:pStyle w:val="2"/>
        <w:jc w:val="center"/>
      </w:pPr>
      <w:r>
        <w:rPr>
          <w:sz w:val="20"/>
        </w:rPr>
        <w:t xml:space="preserve">организации "Московский областной гарантийный фонд</w:t>
      </w:r>
    </w:p>
    <w:p>
      <w:pPr>
        <w:pStyle w:val="2"/>
        <w:jc w:val="center"/>
      </w:pPr>
      <w:r>
        <w:rPr>
          <w:sz w:val="20"/>
        </w:rPr>
        <w:t xml:space="preserve">содействия кредитованию субъектов малого и среднего</w:t>
      </w:r>
    </w:p>
    <w:p>
      <w:pPr>
        <w:pStyle w:val="2"/>
        <w:jc w:val="center"/>
      </w:pPr>
      <w:r>
        <w:rPr>
          <w:sz w:val="20"/>
        </w:rPr>
        <w:t xml:space="preserve">предпринимательства" в целях обеспечения исполнения</w:t>
      </w:r>
    </w:p>
    <w:p>
      <w:pPr>
        <w:pStyle w:val="2"/>
        <w:jc w:val="center"/>
      </w:pPr>
      <w:r>
        <w:rPr>
          <w:sz w:val="20"/>
        </w:rPr>
        <w:t xml:space="preserve">обязательств субъектов малого и среднего</w:t>
      </w:r>
    </w:p>
    <w:p>
      <w:pPr>
        <w:pStyle w:val="2"/>
        <w:jc w:val="center"/>
      </w:pPr>
      <w:r>
        <w:rPr>
          <w:sz w:val="20"/>
        </w:rPr>
        <w:t xml:space="preserve">предпринимательства, основанных на кредитных договорах,</w:t>
      </w:r>
    </w:p>
    <w:p>
      <w:pPr>
        <w:pStyle w:val="2"/>
        <w:jc w:val="center"/>
      </w:pPr>
      <w:r>
        <w:rPr>
          <w:sz w:val="20"/>
        </w:rPr>
        <w:t xml:space="preserve">договорах займа, договорах финансовой аренды (лизинга),</w:t>
      </w:r>
    </w:p>
    <w:p>
      <w:pPr>
        <w:pStyle w:val="2"/>
        <w:jc w:val="center"/>
      </w:pPr>
      <w:r>
        <w:rPr>
          <w:sz w:val="20"/>
        </w:rPr>
        <w:t xml:space="preserve">договорах о предоставлении банковской гарантии и иных</w:t>
      </w:r>
    </w:p>
    <w:p>
      <w:pPr>
        <w:pStyle w:val="2"/>
        <w:jc w:val="center"/>
      </w:pPr>
      <w:r>
        <w:rPr>
          <w:sz w:val="20"/>
        </w:rPr>
        <w:t xml:space="preserve">договорах" Подпрограммы 3 государственной программы</w:t>
      </w:r>
    </w:p>
    <w:p>
      <w:pPr>
        <w:pStyle w:val="0"/>
        <w:jc w:val="both"/>
      </w:pPr>
      <w:r>
        <w:rPr>
          <w:sz w:val="20"/>
        </w:rPr>
      </w:r>
    </w:p>
    <w:p>
      <w:pPr>
        <w:pStyle w:val="0"/>
        <w:jc w:val="center"/>
      </w:pPr>
      <w:r>
        <w:rPr>
          <w:sz w:val="20"/>
        </w:rPr>
        <w:t xml:space="preserve">Утратил силу с 1 января 2025 года. - </w:t>
      </w:r>
      <w:hyperlink w:history="0" r:id="rId778"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p>
    <w:p>
      <w:pPr>
        <w:pStyle w:val="0"/>
        <w:jc w:val="center"/>
      </w:pPr>
      <w:r>
        <w:rPr>
          <w:sz w:val="20"/>
        </w:rPr>
        <w:t xml:space="preserve">Правительства МО от 08.10.2024 N 1223-ПП.</w:t>
      </w:r>
    </w:p>
    <w:p>
      <w:pPr>
        <w:pStyle w:val="0"/>
        <w:jc w:val="both"/>
      </w:pPr>
      <w:r>
        <w:rPr>
          <w:sz w:val="20"/>
        </w:rPr>
      </w:r>
    </w:p>
    <w:p>
      <w:pPr>
        <w:pStyle w:val="2"/>
        <w:outlineLvl w:val="3"/>
        <w:jc w:val="center"/>
      </w:pPr>
      <w:r>
        <w:rPr>
          <w:sz w:val="20"/>
        </w:rPr>
        <w:t xml:space="preserve">7.3.6. Порядок предоставления субсидий из бюджета Московской</w:t>
      </w:r>
    </w:p>
    <w:p>
      <w:pPr>
        <w:pStyle w:val="2"/>
        <w:jc w:val="center"/>
      </w:pPr>
      <w:r>
        <w:rPr>
          <w:sz w:val="20"/>
        </w:rPr>
        <w:t xml:space="preserve">области некоммерческой организации "Московский областной</w:t>
      </w:r>
    </w:p>
    <w:p>
      <w:pPr>
        <w:pStyle w:val="2"/>
        <w:jc w:val="center"/>
      </w:pPr>
      <w:r>
        <w:rPr>
          <w:sz w:val="20"/>
        </w:rPr>
        <w:t xml:space="preserve">гарантийный фонд содействия кредитованию субъектов малого</w:t>
      </w:r>
    </w:p>
    <w:p>
      <w:pPr>
        <w:pStyle w:val="2"/>
        <w:jc w:val="center"/>
      </w:pPr>
      <w:r>
        <w:rPr>
          <w:sz w:val="20"/>
        </w:rPr>
        <w:t xml:space="preserve">и среднего предпринимательства" в рамках реализации</w:t>
      </w:r>
    </w:p>
    <w:p>
      <w:pPr>
        <w:pStyle w:val="2"/>
        <w:jc w:val="center"/>
      </w:pPr>
      <w:r>
        <w:rPr>
          <w:sz w:val="20"/>
        </w:rPr>
        <w:t xml:space="preserve">мероприятия 02.01 "Субсидия некоммерческой организации</w:t>
      </w:r>
    </w:p>
    <w:p>
      <w:pPr>
        <w:pStyle w:val="2"/>
        <w:jc w:val="center"/>
      </w:pPr>
      <w:r>
        <w:rPr>
          <w:sz w:val="20"/>
        </w:rPr>
        <w:t xml:space="preserve">"Московский областной гарантийный фонд содействия</w:t>
      </w:r>
    </w:p>
    <w:p>
      <w:pPr>
        <w:pStyle w:val="2"/>
        <w:jc w:val="center"/>
      </w:pPr>
      <w:r>
        <w:rPr>
          <w:sz w:val="20"/>
        </w:rPr>
        <w:t xml:space="preserve">кредитованию субъектов малого и среднего</w:t>
      </w:r>
    </w:p>
    <w:p>
      <w:pPr>
        <w:pStyle w:val="2"/>
        <w:jc w:val="center"/>
      </w:pPr>
      <w:r>
        <w:rPr>
          <w:sz w:val="20"/>
        </w:rPr>
        <w:t xml:space="preserve">предпринимательства" в целях предоставления поручительств</w:t>
      </w:r>
    </w:p>
    <w:p>
      <w:pPr>
        <w:pStyle w:val="2"/>
        <w:jc w:val="center"/>
      </w:pPr>
      <w:r>
        <w:rPr>
          <w:sz w:val="20"/>
        </w:rPr>
        <w:t xml:space="preserve">по обязательствам субъектов малого и среднего</w:t>
      </w:r>
    </w:p>
    <w:p>
      <w:pPr>
        <w:pStyle w:val="2"/>
        <w:jc w:val="center"/>
      </w:pPr>
      <w:r>
        <w:rPr>
          <w:sz w:val="20"/>
        </w:rPr>
        <w:t xml:space="preserve">предпринимательства и самозанятых граждан" Подпрограммы 3</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779"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15.01.2024 N 16-ПП)</w:t>
      </w:r>
    </w:p>
    <w:p>
      <w:pPr>
        <w:pStyle w:val="0"/>
        <w:jc w:val="center"/>
      </w:pPr>
      <w:r>
        <w:rPr>
          <w:sz w:val="20"/>
        </w:rPr>
      </w:r>
    </w:p>
    <w:p>
      <w:pPr>
        <w:pStyle w:val="0"/>
        <w:jc w:val="center"/>
      </w:pPr>
      <w:r>
        <w:rPr>
          <w:sz w:val="20"/>
        </w:rPr>
        <w:t xml:space="preserve">(введен </w:t>
      </w:r>
      <w:hyperlink w:history="0" r:id="rId780" w:tooltip="Постановление Правительства МО от 09.10.2023 N 83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09.10.2023 N 833-ПП)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разработан в соответствии со </w:t>
      </w:r>
      <w:hyperlink w:history="0" r:id="rId7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Общими </w:t>
      </w:r>
      <w:hyperlink w:history="0" r:id="rId782"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требованиями</w:t>
        </w:r>
      </w:hyperlink>
      <w:r>
        <w:rPr>
          <w:sz w:val="20"/>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правила предоставления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на реализацию </w:t>
      </w:r>
      <w:hyperlink w:history="0" w:anchor="P13028" w:tooltip="2.1">
        <w:r>
          <w:rPr>
            <w:sz w:val="20"/>
            <w:color w:val="0000ff"/>
          </w:rPr>
          <w:t xml:space="preserve">мероприятия 02.01</w:t>
        </w:r>
      </w:hyperlink>
      <w:r>
        <w:rPr>
          <w:sz w:val="20"/>
        </w:rPr>
        <w:t xml:space="preserve"> "Субсидия некоммерческой организации "Московский областной гарантийный фонд содействия кредитованию субъектов малого и среднего предпринимательства" в целях предоставления поручительств по обязательствам субъектов малого и среднего предпринимательства и самозанятых граждан" Подпрограммы 3 государственной программы (далее соответственно - Порядок, Фонд, Субсидия, мероприятие 02.01).</w:t>
      </w:r>
    </w:p>
    <w:p>
      <w:pPr>
        <w:pStyle w:val="0"/>
        <w:jc w:val="both"/>
      </w:pPr>
      <w:r>
        <w:rPr>
          <w:sz w:val="20"/>
        </w:rPr>
        <w:t xml:space="preserve">(п. 1 в ред. </w:t>
      </w:r>
      <w:hyperlink w:history="0" r:id="rId783"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2. Субсидия предоставляется в пределах бюджетных ассигнований, предусмотренных главному распорядителю средств бюджета Московской области на осуществление деятельности Фонда в рамках реализации </w:t>
      </w:r>
      <w:hyperlink w:history="0" w:anchor="P13028" w:tooltip="2.1">
        <w:r>
          <w:rPr>
            <w:sz w:val="20"/>
            <w:color w:val="0000ff"/>
          </w:rPr>
          <w:t xml:space="preserve">мероприятия 02.01</w:t>
        </w:r>
      </w:hyperlink>
      <w:r>
        <w:rPr>
          <w:sz w:val="20"/>
        </w:rPr>
        <w:t xml:space="preserve">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pPr>
        <w:pStyle w:val="0"/>
        <w:spacing w:before="200" w:line-rule="auto"/>
        <w:ind w:firstLine="540"/>
        <w:jc w:val="both"/>
      </w:pPr>
      <w:r>
        <w:rPr>
          <w:sz w:val="20"/>
        </w:rPr>
        <w:t xml:space="preserve">Информация о Субсидии размещается на едином портале (в разделе единого портала) (при наличии соответствующей технической и функциональной возможности единого портала) в порядке, установленном Министерством финансов Российской Федерации.</w:t>
      </w:r>
    </w:p>
    <w:p>
      <w:pPr>
        <w:pStyle w:val="0"/>
        <w:jc w:val="both"/>
      </w:pPr>
      <w:r>
        <w:rPr>
          <w:sz w:val="20"/>
        </w:rPr>
        <w:t xml:space="preserve">(в ред. </w:t>
      </w:r>
      <w:hyperlink w:history="0" r:id="rId784"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bookmarkStart w:id="17148" w:name="P17148"/>
    <w:bookmarkEnd w:id="17148"/>
    <w:p>
      <w:pPr>
        <w:pStyle w:val="0"/>
        <w:spacing w:before="200" w:line-rule="auto"/>
        <w:ind w:firstLine="540"/>
        <w:jc w:val="both"/>
      </w:pPr>
      <w:r>
        <w:rPr>
          <w:sz w:val="20"/>
        </w:rPr>
        <w:t xml:space="preserve">3. Целью предоставления Субсидии является обеспечение уставной деятельности Фонда в целях предоставления поручительств по обязательствам субъектов малого и среднего предпринимательства и самозанятых граждан по кредитным договорам, договорам займа, договорам финансовой аренды (лизинга) и договорам о предоставлении банковской гарантии, в целях реализации </w:t>
      </w:r>
      <w:hyperlink w:history="0" w:anchor="P13028" w:tooltip="2.1">
        <w:r>
          <w:rPr>
            <w:sz w:val="20"/>
            <w:color w:val="0000ff"/>
          </w:rPr>
          <w:t xml:space="preserve">мероприятия 02.01</w:t>
        </w:r>
      </w:hyperlink>
      <w:r>
        <w:rPr>
          <w:sz w:val="20"/>
        </w:rPr>
        <w:t xml:space="preserve">.</w:t>
      </w:r>
    </w:p>
    <w:p>
      <w:pPr>
        <w:pStyle w:val="0"/>
        <w:spacing w:before="200" w:line-rule="auto"/>
        <w:ind w:firstLine="540"/>
        <w:jc w:val="both"/>
      </w:pPr>
      <w:r>
        <w:rPr>
          <w:sz w:val="20"/>
        </w:rPr>
        <w:t xml:space="preserve">Способом предоставления Субсидии является финансовое обеспечение затрат.</w:t>
      </w:r>
    </w:p>
    <w:p>
      <w:pPr>
        <w:pStyle w:val="0"/>
        <w:jc w:val="both"/>
      </w:pPr>
      <w:r>
        <w:rPr>
          <w:sz w:val="20"/>
        </w:rPr>
        <w:t xml:space="preserve">(п. 3 в ред. </w:t>
      </w:r>
      <w:hyperlink w:history="0" r:id="rId785"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4.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порядке, установленном законодательством Российской Федерации, лимиты бюджетных обязательств на предоставление Субсидии на соответствующий финансовый год и плановый период, осуществляет Мининвест Московской области.</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bookmarkStart w:id="17155" w:name="P17155"/>
    <w:bookmarkEnd w:id="17155"/>
    <w:p>
      <w:pPr>
        <w:pStyle w:val="0"/>
        <w:ind w:firstLine="540"/>
        <w:jc w:val="both"/>
      </w:pPr>
      <w:r>
        <w:rPr>
          <w:sz w:val="20"/>
        </w:rPr>
        <w:t xml:space="preserve">5. Фонд на дату подачи заявки на предоставление Субсидии должен соответствовать следующим требованиям (далее - Требования):</w:t>
      </w:r>
    </w:p>
    <w:bookmarkStart w:id="17156" w:name="P17156"/>
    <w:bookmarkEnd w:id="17156"/>
    <w:p>
      <w:pPr>
        <w:pStyle w:val="0"/>
        <w:spacing w:before="200" w:line-rule="auto"/>
        <w:ind w:firstLine="540"/>
        <w:jc w:val="both"/>
      </w:pPr>
      <w:r>
        <w:rPr>
          <w:sz w:val="20"/>
        </w:rPr>
        <w:t xml:space="preserve">1)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не находится в составляемых в рамках реализации полномочий, предусмотренных </w:t>
      </w:r>
      <w:hyperlink w:history="0" r:id="rId78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не получает средства из бюджета Московской области на основании иных нормативных правовых актов Московской области на цели, установленные настоящим Порядком;</w:t>
      </w:r>
    </w:p>
    <w:bookmarkStart w:id="17160" w:name="P17160"/>
    <w:bookmarkEnd w:id="17160"/>
    <w:p>
      <w:pPr>
        <w:pStyle w:val="0"/>
        <w:spacing w:before="200" w:line-rule="auto"/>
        <w:ind w:firstLine="540"/>
        <w:jc w:val="both"/>
      </w:pPr>
      <w:r>
        <w:rPr>
          <w:sz w:val="20"/>
        </w:rPr>
        <w:t xml:space="preserve">5) не является иностранным агентом в соответствии с Федеральным </w:t>
      </w:r>
      <w:hyperlink w:history="0" r:id="rId787"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6) на едином налоговом счете отсутствует или не превышает размер, определенный </w:t>
      </w:r>
      <w:hyperlink w:history="0" r:id="rId788"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страховых взносов, пеней, штрафов, процентов, подлежащих уплате в бюджеты бюджетной системы Российской Федерации в соответствии с законодательством Российской Федерации о налогах и сборах;</w:t>
      </w:r>
    </w:p>
    <w:bookmarkStart w:id="17162" w:name="P17162"/>
    <w:bookmarkEnd w:id="17162"/>
    <w:p>
      <w:pPr>
        <w:pStyle w:val="0"/>
        <w:spacing w:before="200" w:line-rule="auto"/>
        <w:ind w:firstLine="540"/>
        <w:jc w:val="both"/>
      </w:pPr>
      <w:r>
        <w:rPr>
          <w:sz w:val="20"/>
        </w:rPr>
        <w:t xml:space="preserve">7) отсутствует просроченная задолженность по возврату в бюджет Московской области Субсидии, иных субсидий, бюджетных инвестиций, а также иная просроченная (неурегулированная) задолженность по денежным обязательствам перед Московской областью;</w:t>
      </w:r>
    </w:p>
    <w:bookmarkStart w:id="17163" w:name="P17163"/>
    <w:bookmarkEnd w:id="17163"/>
    <w:p>
      <w:pPr>
        <w:pStyle w:val="0"/>
        <w:spacing w:before="200" w:line-rule="auto"/>
        <w:ind w:firstLine="540"/>
        <w:jc w:val="both"/>
      </w:pPr>
      <w:r>
        <w:rPr>
          <w:sz w:val="20"/>
        </w:rPr>
        <w:t xml:space="preserve">8) не находится в процессе реорганизации (за исключением реорганизации в форме присоединения к Фонду других юридических лиц),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Фонда.</w:t>
      </w:r>
    </w:p>
    <w:p>
      <w:pPr>
        <w:pStyle w:val="0"/>
        <w:jc w:val="both"/>
      </w:pPr>
      <w:r>
        <w:rPr>
          <w:sz w:val="20"/>
        </w:rPr>
        <w:t xml:space="preserve">(п. 5 в ред. </w:t>
      </w:r>
      <w:hyperlink w:history="0" r:id="rId789"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bookmarkStart w:id="17166" w:name="P17166"/>
    <w:bookmarkEnd w:id="17166"/>
    <w:p>
      <w:pPr>
        <w:pStyle w:val="0"/>
        <w:spacing w:before="200" w:line-rule="auto"/>
        <w:ind w:firstLine="540"/>
        <w:jc w:val="both"/>
      </w:pPr>
      <w:r>
        <w:rPr>
          <w:sz w:val="20"/>
        </w:rPr>
        <w:t xml:space="preserve">6. Для получения Субсидии Фонд представляет в Мининвест Московской области следующие документы:</w:t>
      </w:r>
    </w:p>
    <w:bookmarkStart w:id="17167" w:name="P17167"/>
    <w:bookmarkEnd w:id="17167"/>
    <w:p>
      <w:pPr>
        <w:pStyle w:val="0"/>
        <w:spacing w:before="200" w:line-rule="auto"/>
        <w:ind w:firstLine="540"/>
        <w:jc w:val="both"/>
      </w:pPr>
      <w:r>
        <w:rPr>
          <w:sz w:val="20"/>
        </w:rPr>
        <w:t xml:space="preserve">1) заявку на предоставление Субсидии в свободной форме, содержащую информацию о банковских реквизитах для перечисления Субсидии;</w:t>
      </w:r>
    </w:p>
    <w:bookmarkStart w:id="17168" w:name="P17168"/>
    <w:bookmarkEnd w:id="17168"/>
    <w:p>
      <w:pPr>
        <w:pStyle w:val="0"/>
        <w:spacing w:before="200" w:line-rule="auto"/>
        <w:ind w:firstLine="540"/>
        <w:jc w:val="both"/>
      </w:pPr>
      <w:r>
        <w:rPr>
          <w:sz w:val="20"/>
        </w:rPr>
        <w:t xml:space="preserve">2) письмо за подписью руководителя Фонда и главного бухгалтера в свободной форме, содержащее информацию о соответствии Фонда требованиям, указанным в </w:t>
      </w:r>
      <w:hyperlink w:history="0" w:anchor="P17156" w:tooltip="1)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
        <w:r>
          <w:rPr>
            <w:sz w:val="20"/>
            <w:color w:val="0000ff"/>
          </w:rPr>
          <w:t xml:space="preserve">подпунктах первом</w:t>
        </w:r>
      </w:hyperlink>
      <w:r>
        <w:rPr>
          <w:sz w:val="20"/>
        </w:rPr>
        <w:t xml:space="preserve"> - </w:t>
      </w:r>
      <w:hyperlink w:history="0" w:anchor="P17160" w:tooltip="5) не является иностранным агентом в соответствии с Федеральным законом &quot;О контроле за деятельностью лиц, находящихся под иностранным влиянием&quot;;">
        <w:r>
          <w:rPr>
            <w:sz w:val="20"/>
            <w:color w:val="0000ff"/>
          </w:rPr>
          <w:t xml:space="preserve">пятом</w:t>
        </w:r>
      </w:hyperlink>
      <w:r>
        <w:rPr>
          <w:sz w:val="20"/>
        </w:rPr>
        <w:t xml:space="preserve">, </w:t>
      </w:r>
      <w:hyperlink w:history="0" w:anchor="P17162" w:tooltip="7) отсутствует просроченная задолженность по возврату в бюджет Московской области Субсидии, иных субсидий, бюджетных инвестиций, а также иная просроченная (неурегулированная) задолженность по денежным обязательствам перед Московской областью;">
        <w:r>
          <w:rPr>
            <w:sz w:val="20"/>
            <w:color w:val="0000ff"/>
          </w:rPr>
          <w:t xml:space="preserve">седьмом</w:t>
        </w:r>
      </w:hyperlink>
      <w:r>
        <w:rPr>
          <w:sz w:val="20"/>
        </w:rPr>
        <w:t xml:space="preserve"> и </w:t>
      </w:r>
      <w:hyperlink w:history="0" w:anchor="P17163" w:tooltip="8) не находится в процессе реорганизации (за исключением реорганизации в форме присоединения к Фонду других юридических лиц),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r>
          <w:rPr>
            <w:sz w:val="20"/>
            <w:color w:val="0000ff"/>
          </w:rPr>
          <w:t xml:space="preserve">восьмом пункта 5</w:t>
        </w:r>
      </w:hyperlink>
      <w:r>
        <w:rPr>
          <w:sz w:val="20"/>
        </w:rPr>
        <w:t xml:space="preserve"> настоящего Порядка;</w:t>
      </w:r>
    </w:p>
    <w:p>
      <w:pPr>
        <w:pStyle w:val="0"/>
        <w:jc w:val="both"/>
      </w:pPr>
      <w:r>
        <w:rPr>
          <w:sz w:val="20"/>
        </w:rPr>
        <w:t xml:space="preserve">(в ред. </w:t>
      </w:r>
      <w:hyperlink w:history="0" r:id="rId790"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3) информацию о плановых значениях результата предоставления Субсидии;</w:t>
      </w:r>
    </w:p>
    <w:p>
      <w:pPr>
        <w:pStyle w:val="0"/>
        <w:spacing w:before="200" w:line-rule="auto"/>
        <w:ind w:firstLine="540"/>
        <w:jc w:val="both"/>
      </w:pPr>
      <w:r>
        <w:rPr>
          <w:sz w:val="20"/>
        </w:rPr>
        <w:t xml:space="preserve">4) справку об уплате налогов Фондом (в случае непредставления указанной справки Мининвест Московской области запрашивает ее самостоятельно);</w:t>
      </w:r>
    </w:p>
    <w:bookmarkStart w:id="17172" w:name="P17172"/>
    <w:bookmarkEnd w:id="17172"/>
    <w:p>
      <w:pPr>
        <w:pStyle w:val="0"/>
        <w:spacing w:before="200" w:line-rule="auto"/>
        <w:ind w:firstLine="540"/>
        <w:jc w:val="both"/>
      </w:pPr>
      <w:r>
        <w:rPr>
          <w:sz w:val="20"/>
        </w:rPr>
        <w:t xml:space="preserve">5) справку об отсутствии сведений в РДЛ о руководителе, членах коллегиального исполнительного органа, лице, исполняющем функции единоличного исполнительного органа, главном бухгалтере Фонда (в случае непредставления указанной справки Мининвест Московской области запрашивает ее самостоятельно).</w:t>
      </w:r>
    </w:p>
    <w:p>
      <w:pPr>
        <w:pStyle w:val="0"/>
        <w:jc w:val="both"/>
      </w:pPr>
      <w:r>
        <w:rPr>
          <w:sz w:val="20"/>
        </w:rPr>
        <w:t xml:space="preserve">(пп. 5 в ред. </w:t>
      </w:r>
      <w:hyperlink w:history="0" r:id="rId791"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7. Мининвест Московской области в течение 1 месяца рассматривает документы, указанные в </w:t>
      </w:r>
      <w:hyperlink w:history="0" w:anchor="P17166" w:tooltip="6. Для получения Субсидии Фонд представляет в Мининвест Московской области следующие документы:">
        <w:r>
          <w:rPr>
            <w:sz w:val="20"/>
            <w:color w:val="0000ff"/>
          </w:rPr>
          <w:t xml:space="preserve">пункте 6</w:t>
        </w:r>
      </w:hyperlink>
      <w:r>
        <w:rPr>
          <w:sz w:val="20"/>
        </w:rPr>
        <w:t xml:space="preserve"> настоящего Порядка, на предмет соответствия Фонда требованиям, указанным в </w:t>
      </w:r>
      <w:hyperlink w:history="0" w:anchor="P17155" w:tooltip="5. Фонд на дату подачи заявки на предоставление Субсидии должен соответствовать следующим требованиям (далее - Требования):">
        <w:r>
          <w:rPr>
            <w:sz w:val="20"/>
            <w:color w:val="0000ff"/>
          </w:rPr>
          <w:t xml:space="preserve">пункте 5</w:t>
        </w:r>
      </w:hyperlink>
      <w:r>
        <w:rPr>
          <w:sz w:val="20"/>
        </w:rPr>
        <w:t xml:space="preserve"> настоящего Порядка, и принимает решение о предоставлении Субсидии или об отказе в предоставлении Субсидии. Решение о предоставлении Субсидии или об отказе в предоставлении Субсидии оформляется приказом Мининвеста Московской области.</w:t>
      </w:r>
    </w:p>
    <w:p>
      <w:pPr>
        <w:pStyle w:val="0"/>
        <w:jc w:val="both"/>
      </w:pPr>
      <w:r>
        <w:rPr>
          <w:sz w:val="20"/>
        </w:rPr>
        <w:t xml:space="preserve">(в ред. </w:t>
      </w:r>
      <w:hyperlink w:history="0" r:id="rId792"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Мининвест Московской области проводит проверку достоверности сведений, содержащихся в представленных Фондом документах, следующими способами:</w:t>
      </w:r>
    </w:p>
    <w:p>
      <w:pPr>
        <w:pStyle w:val="0"/>
        <w:spacing w:before="200" w:line-rule="auto"/>
        <w:ind w:firstLine="540"/>
        <w:jc w:val="both"/>
      </w:pPr>
      <w:r>
        <w:rPr>
          <w:sz w:val="20"/>
        </w:rPr>
        <w:t xml:space="preserve">1) проводит сравнение сведений, содержащихся в документах Фонда, указанных в </w:t>
      </w:r>
      <w:hyperlink w:history="0" w:anchor="P17168" w:tooltip="2) письмо за подписью руководителя Фонда и главного бухгалтера в свободной форме, содержащее информацию о соответствии Фонда требованиям, указанным в подпунктах первом - пятом, седьмом и восьмом пункта 5 настоящего Порядка;">
        <w:r>
          <w:rPr>
            <w:sz w:val="20"/>
            <w:color w:val="0000ff"/>
          </w:rPr>
          <w:t xml:space="preserve">подпунктах 2</w:t>
        </w:r>
      </w:hyperlink>
      <w:r>
        <w:rPr>
          <w:sz w:val="20"/>
        </w:rPr>
        <w:t xml:space="preserve"> и </w:t>
      </w:r>
      <w:hyperlink w:history="0" w:anchor="P17172" w:tooltip="5) справку об отсутствии сведений в РДЛ о руководителе, членах коллегиального исполнительного органа, лице, исполняющем функции единоличного исполнительного органа, главном бухгалтере Фонда (в случае непредставления указанной справки Мининвест Московской области запрашивает ее самостоятельно).">
        <w:r>
          <w:rPr>
            <w:sz w:val="20"/>
            <w:color w:val="0000ff"/>
          </w:rPr>
          <w:t xml:space="preserve">5 пункта 6</w:t>
        </w:r>
      </w:hyperlink>
      <w:r>
        <w:rPr>
          <w:sz w:val="20"/>
        </w:rPr>
        <w:t xml:space="preserve"> Порядка, с данными из открытых источников;</w:t>
      </w:r>
    </w:p>
    <w:p>
      <w:pPr>
        <w:pStyle w:val="0"/>
        <w:spacing w:before="200" w:line-rule="auto"/>
        <w:ind w:firstLine="540"/>
        <w:jc w:val="both"/>
      </w:pPr>
      <w:r>
        <w:rPr>
          <w:sz w:val="20"/>
        </w:rPr>
        <w:t xml:space="preserve">2) запрашивает у ФНС России в порядке межведомственного электронного информационного взаимодействия информацию о соответствии Фонда </w:t>
      </w:r>
      <w:hyperlink w:history="0" w:anchor="P17167" w:tooltip="1) заявку на предоставление Субсидии в свободной форме, содержащую информацию о банковских реквизитах для перечисления Субсидии;">
        <w:r>
          <w:rPr>
            <w:sz w:val="20"/>
            <w:color w:val="0000ff"/>
          </w:rPr>
          <w:t xml:space="preserve">подпункту 1 пункта 6</w:t>
        </w:r>
      </w:hyperlink>
      <w:r>
        <w:rPr>
          <w:sz w:val="20"/>
        </w:rPr>
        <w:t xml:space="preserve"> Порядка.</w:t>
      </w:r>
    </w:p>
    <w:p>
      <w:pPr>
        <w:pStyle w:val="0"/>
        <w:spacing w:before="200" w:line-rule="auto"/>
        <w:ind w:firstLine="540"/>
        <w:jc w:val="both"/>
      </w:pPr>
      <w:r>
        <w:rPr>
          <w:sz w:val="20"/>
        </w:rPr>
        <w:t xml:space="preserve">Условием принятия Мининвестом Московской области решения о предоставлении Субсидии и заключения соответствующего соглашения с Фондом является отсутствие оснований, установленных пунктом 8 Порядка.</w:t>
      </w:r>
    </w:p>
    <w:p>
      <w:pPr>
        <w:pStyle w:val="0"/>
        <w:spacing w:before="200" w:line-rule="auto"/>
        <w:ind w:firstLine="540"/>
        <w:jc w:val="both"/>
      </w:pPr>
      <w:r>
        <w:rPr>
          <w:sz w:val="20"/>
        </w:rPr>
        <w:t xml:space="preserve">8. Основаниями для принятия решения об отказе в предоставлении Субсидии Фонду являются:</w:t>
      </w:r>
    </w:p>
    <w:p>
      <w:pPr>
        <w:pStyle w:val="0"/>
        <w:spacing w:before="200" w:line-rule="auto"/>
        <w:ind w:firstLine="540"/>
        <w:jc w:val="both"/>
      </w:pPr>
      <w:r>
        <w:rPr>
          <w:sz w:val="20"/>
        </w:rPr>
        <w:t xml:space="preserve">1) несоответствие представленных Фондом документов требованиям, определенным </w:t>
      </w:r>
      <w:hyperlink w:history="0" w:anchor="P17166" w:tooltip="6. Для получения Субсидии Фонд представляет в Мининвест Московской области следующие документы:">
        <w:r>
          <w:rPr>
            <w:sz w:val="20"/>
            <w:color w:val="0000ff"/>
          </w:rPr>
          <w:t xml:space="preserve">пунктом 6</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Фондом информации;</w:t>
      </w:r>
    </w:p>
    <w:p>
      <w:pPr>
        <w:pStyle w:val="0"/>
        <w:spacing w:before="200" w:line-rule="auto"/>
        <w:ind w:firstLine="540"/>
        <w:jc w:val="both"/>
      </w:pPr>
      <w:r>
        <w:rPr>
          <w:sz w:val="20"/>
        </w:rPr>
        <w:t xml:space="preserve">3) несоответствие Фонда требованиям, установленным в </w:t>
      </w:r>
      <w:hyperlink w:history="0" w:anchor="P17155" w:tooltip="5. Фонд на дату подачи заявки на предоставление Субсидии должен соответствовать следующим требованиям (далее - Требования):">
        <w:r>
          <w:rPr>
            <w:sz w:val="20"/>
            <w:color w:val="0000ff"/>
          </w:rPr>
          <w:t xml:space="preserve">пункте 5</w:t>
        </w:r>
      </w:hyperlink>
      <w:r>
        <w:rPr>
          <w:sz w:val="20"/>
        </w:rPr>
        <w:t xml:space="preserve"> настоящего Порядка.</w:t>
      </w:r>
    </w:p>
    <w:p>
      <w:pPr>
        <w:pStyle w:val="0"/>
        <w:jc w:val="both"/>
      </w:pPr>
      <w:r>
        <w:rPr>
          <w:sz w:val="20"/>
        </w:rPr>
        <w:t xml:space="preserve">(п. 8 в ред. </w:t>
      </w:r>
      <w:hyperlink w:history="0" r:id="rId793"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9. Предоставление Фонду из бюджета Московской области Субсидии в размере, установленном в соответствии с действующим законом Московской области о бюджете Московской области на текущий финансовый год и плановый период, осуществляется в соответствии с соглашением о предоставлении Субсидии, которое заключается между Мининвестом Московской области и Фондом в соответствии с типовой формой, утвержденной МЭФ Московской области (далее - Соглашение), в государственной информационной системе "Региональный электронный бюджет Московской области" (далее - ГИС РЭБ МО).</w:t>
      </w:r>
    </w:p>
    <w:p>
      <w:pPr>
        <w:pStyle w:val="0"/>
        <w:jc w:val="both"/>
      </w:pPr>
      <w:r>
        <w:rPr>
          <w:sz w:val="20"/>
        </w:rPr>
        <w:t xml:space="preserve">(п. 9 в ред. </w:t>
      </w:r>
      <w:hyperlink w:history="0" r:id="rId794"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10. Изменение Соглашения, в том числе расторжение Соглашения, осуществляется по соглашению Мининвеста Московской области с Фондом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в ГИС РЭБ МО по типовой форме, утвержденной МЭФ Московской области.</w:t>
      </w:r>
    </w:p>
    <w:p>
      <w:pPr>
        <w:pStyle w:val="0"/>
        <w:spacing w:before="200" w:line-rule="auto"/>
        <w:ind w:firstLine="540"/>
        <w:jc w:val="both"/>
      </w:pPr>
      <w:r>
        <w:rPr>
          <w:sz w:val="20"/>
        </w:rPr>
        <w:t xml:space="preserve">Изменение Соглашения возможно в случаях, не противоречащих законодательству Российской Федерации и законодательству Московской области.</w:t>
      </w:r>
    </w:p>
    <w:p>
      <w:pPr>
        <w:pStyle w:val="0"/>
        <w:jc w:val="both"/>
      </w:pPr>
      <w:r>
        <w:rPr>
          <w:sz w:val="20"/>
        </w:rPr>
        <w:t xml:space="preserve">(п. 10 в ред. </w:t>
      </w:r>
      <w:hyperlink w:history="0" r:id="rId795"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11. Соглашение должно содержать следующие положения:</w:t>
      </w:r>
    </w:p>
    <w:p>
      <w:pPr>
        <w:pStyle w:val="0"/>
        <w:spacing w:before="200" w:line-rule="auto"/>
        <w:ind w:firstLine="540"/>
        <w:jc w:val="both"/>
      </w:pPr>
      <w:r>
        <w:rPr>
          <w:sz w:val="20"/>
        </w:rPr>
        <w:t xml:space="preserve">1) размер Субсидии и сроки ее перечисления;</w:t>
      </w:r>
    </w:p>
    <w:p>
      <w:pPr>
        <w:pStyle w:val="0"/>
        <w:spacing w:before="200" w:line-rule="auto"/>
        <w:ind w:firstLine="540"/>
        <w:jc w:val="both"/>
      </w:pPr>
      <w:r>
        <w:rPr>
          <w:sz w:val="20"/>
        </w:rPr>
        <w:t xml:space="preserve">2) результат предоставления Субсидии, характеристики результата предоставления Субсидии, а также сроки их достижения;</w:t>
      </w:r>
    </w:p>
    <w:p>
      <w:pPr>
        <w:pStyle w:val="0"/>
        <w:spacing w:before="200" w:line-rule="auto"/>
        <w:ind w:firstLine="540"/>
        <w:jc w:val="both"/>
      </w:pPr>
      <w:r>
        <w:rPr>
          <w:sz w:val="20"/>
        </w:rP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Мининвестом Московской области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7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9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запрет приобретения Фондом, а также иными юридическими лицами, получающими средства на основании договоров, заключенных с Фондом,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5) сроки и формы представления Фондом отчетности о достижении результата предоставления Субсидии, а также об осуществлении расходов, источником финансового обеспечения которых является Субсидия;</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7) порядок и сроки возврата Субсидии в бюджет Московской области;</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pPr>
        <w:pStyle w:val="0"/>
        <w:spacing w:before="200" w:line-rule="auto"/>
        <w:ind w:firstLine="540"/>
        <w:jc w:val="both"/>
      </w:pPr>
      <w:r>
        <w:rPr>
          <w:sz w:val="20"/>
        </w:rPr>
        <w:t xml:space="preserve">9) направления расходов, источником финансового обеспечения которых является Субсидия, а именно предоставление поручительств по обязательствам субъектов малого и среднего предпринимательства и самозанятых граждан по кредитным договорам, договорам займа, договорам лизинга и договорам о предоставлении банковской гарантии.</w:t>
      </w:r>
    </w:p>
    <w:p>
      <w:pPr>
        <w:pStyle w:val="0"/>
        <w:jc w:val="both"/>
      </w:pPr>
      <w:r>
        <w:rPr>
          <w:sz w:val="20"/>
        </w:rPr>
        <w:t xml:space="preserve">(п. 11 в ред. </w:t>
      </w:r>
      <w:hyperlink w:history="0" r:id="rId798"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12. Результатом предоставления Субсидии является количество поручительств, предоставленных Фондом субъектам МСП и самозанятым гражданам.</w:t>
      </w:r>
    </w:p>
    <w:p>
      <w:pPr>
        <w:pStyle w:val="0"/>
        <w:spacing w:before="200" w:line-rule="auto"/>
        <w:ind w:firstLine="540"/>
        <w:jc w:val="both"/>
      </w:pPr>
      <w:r>
        <w:rPr>
          <w:sz w:val="20"/>
        </w:rPr>
        <w:t xml:space="preserve">К характеристикам результата предоставления Субсидии, относятся:</w:t>
      </w:r>
    </w:p>
    <w:p>
      <w:pPr>
        <w:pStyle w:val="0"/>
        <w:spacing w:before="200" w:line-rule="auto"/>
        <w:ind w:firstLine="540"/>
        <w:jc w:val="both"/>
      </w:pPr>
      <w:r>
        <w:rPr>
          <w:sz w:val="20"/>
        </w:rPr>
        <w:t xml:space="preserve">объем поручительств, предоставленных Фондом субъектам МСП и самозанятым гражданам.</w:t>
      </w:r>
    </w:p>
    <w:p>
      <w:pPr>
        <w:pStyle w:val="0"/>
        <w:spacing w:before="200" w:line-rule="auto"/>
        <w:ind w:firstLine="540"/>
        <w:jc w:val="both"/>
      </w:pPr>
      <w:r>
        <w:rPr>
          <w:sz w:val="20"/>
        </w:rPr>
        <w:t xml:space="preserve">Характеристики и сроки достижения результата предоставления Субсидии устанавливаются Мининвестом Московской области в Соглашении.</w:t>
      </w:r>
    </w:p>
    <w:p>
      <w:pPr>
        <w:pStyle w:val="0"/>
        <w:jc w:val="both"/>
      </w:pPr>
      <w:r>
        <w:rPr>
          <w:sz w:val="20"/>
        </w:rPr>
        <w:t xml:space="preserve">(п. 12 в ред. </w:t>
      </w:r>
      <w:hyperlink w:history="0" r:id="rId799"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spacing w:before="200" w:line-rule="auto"/>
        <w:ind w:firstLine="540"/>
        <w:jc w:val="both"/>
      </w:pPr>
      <w:r>
        <w:rPr>
          <w:sz w:val="20"/>
        </w:rPr>
        <w:t xml:space="preserve">13. Субсидия перечисляется на указанный в Соглашении расчетный счет Фонда, открытый в кредитной организации, в срок не более 20 календарных дней с даты заключения Соглашения.</w:t>
      </w:r>
    </w:p>
    <w:p>
      <w:pPr>
        <w:pStyle w:val="0"/>
        <w:spacing w:before="200" w:line-rule="auto"/>
        <w:ind w:firstLine="540"/>
        <w:jc w:val="both"/>
      </w:pPr>
      <w:r>
        <w:rPr>
          <w:sz w:val="20"/>
        </w:rPr>
        <w:t xml:space="preserve">14.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порядка предоставления Субсидии.</w:t>
      </w:r>
    </w:p>
    <w:p>
      <w:pPr>
        <w:pStyle w:val="0"/>
        <w:spacing w:before="200" w:line-rule="auto"/>
        <w:ind w:firstLine="540"/>
        <w:jc w:val="both"/>
      </w:pPr>
      <w:r>
        <w:rPr>
          <w:sz w:val="20"/>
        </w:rPr>
        <w:t xml:space="preserve">15.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Фонда в форме разделения, выделения, а также в случае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jc w:val="both"/>
      </w:pPr>
      <w:r>
        <w:rPr>
          <w:sz w:val="20"/>
        </w:rPr>
        <w:t xml:space="preserve">(п. 15 в ред. </w:t>
      </w:r>
      <w:hyperlink w:history="0" r:id="rId800"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15.01.2024 N 16-ПП)</w:t>
      </w:r>
    </w:p>
    <w:p>
      <w:pPr>
        <w:pStyle w:val="0"/>
        <w:jc w:val="both"/>
      </w:pPr>
      <w:r>
        <w:rPr>
          <w:sz w:val="20"/>
        </w:rPr>
      </w:r>
    </w:p>
    <w:p>
      <w:pPr>
        <w:pStyle w:val="2"/>
        <w:outlineLvl w:val="4"/>
        <w:jc w:val="center"/>
      </w:pPr>
      <w:r>
        <w:rPr>
          <w:sz w:val="20"/>
        </w:rPr>
        <w:t xml:space="preserve">III. Требования к отчетности 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center"/>
      </w:pPr>
      <w:r>
        <w:rPr>
          <w:sz w:val="20"/>
        </w:rPr>
      </w:r>
    </w:p>
    <w:p>
      <w:pPr>
        <w:pStyle w:val="0"/>
        <w:jc w:val="center"/>
      </w:pPr>
      <w:r>
        <w:rPr>
          <w:sz w:val="20"/>
        </w:rPr>
        <w:t xml:space="preserve">(в ред. </w:t>
      </w:r>
      <w:hyperlink w:history="0" r:id="rId801"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15.01.2024 N 16-ПП)</w:t>
      </w:r>
    </w:p>
    <w:p>
      <w:pPr>
        <w:pStyle w:val="0"/>
        <w:jc w:val="both"/>
      </w:pPr>
      <w:r>
        <w:rPr>
          <w:sz w:val="20"/>
        </w:rPr>
      </w:r>
    </w:p>
    <w:bookmarkStart w:id="17219" w:name="P17219"/>
    <w:bookmarkEnd w:id="17219"/>
    <w:p>
      <w:pPr>
        <w:pStyle w:val="0"/>
        <w:ind w:firstLine="540"/>
        <w:jc w:val="both"/>
      </w:pPr>
      <w:r>
        <w:rPr>
          <w:sz w:val="20"/>
        </w:rPr>
        <w:t xml:space="preserve">16. Фонд обязан представлять в Мининвест Московской области отчетность о достижении значения результата предоставления Субсидии, а также характеристик результата, об осуществлении расходов, источником финансового обеспечения которых является Субсидия, в порядке и по формам, установленным Соглашением (далее - отчеты).</w:t>
      </w:r>
    </w:p>
    <w:p>
      <w:pPr>
        <w:pStyle w:val="0"/>
        <w:spacing w:before="200" w:line-rule="auto"/>
        <w:ind w:firstLine="540"/>
        <w:jc w:val="both"/>
      </w:pPr>
      <w:r>
        <w:rPr>
          <w:sz w:val="20"/>
        </w:rPr>
        <w:t xml:space="preserve">Отчеты представляются в следующие сроки:</w:t>
      </w:r>
    </w:p>
    <w:p>
      <w:pPr>
        <w:pStyle w:val="0"/>
        <w:spacing w:before="200" w:line-rule="auto"/>
        <w:ind w:firstLine="540"/>
        <w:jc w:val="both"/>
      </w:pPr>
      <w:r>
        <w:rPr>
          <w:sz w:val="20"/>
        </w:rPr>
        <w:t xml:space="preserve">ежеквартальные отчеты - не позднее 3 рабочих дней месяца, следующего за отчетным кварталом;</w:t>
      </w:r>
    </w:p>
    <w:p>
      <w:pPr>
        <w:pStyle w:val="0"/>
        <w:spacing w:before="200" w:line-rule="auto"/>
        <w:ind w:firstLine="540"/>
        <w:jc w:val="both"/>
      </w:pPr>
      <w:r>
        <w:rPr>
          <w:sz w:val="20"/>
        </w:rPr>
        <w:t xml:space="preserve">ежегодные отчеты - не позднее 3 рабочих дней месяца, следующего за отчетным годом;</w:t>
      </w:r>
    </w:p>
    <w:p>
      <w:pPr>
        <w:pStyle w:val="0"/>
        <w:spacing w:before="200" w:line-rule="auto"/>
        <w:ind w:firstLine="540"/>
        <w:jc w:val="both"/>
      </w:pPr>
      <w:r>
        <w:rPr>
          <w:sz w:val="20"/>
        </w:rPr>
        <w:t xml:space="preserve">ежегодные уточненные отчеты - не позднее 1 февраля года, следующего за отчетным годом.</w:t>
      </w:r>
    </w:p>
    <w:p>
      <w:pPr>
        <w:pStyle w:val="0"/>
        <w:spacing w:before="200" w:line-rule="auto"/>
        <w:ind w:firstLine="540"/>
        <w:jc w:val="both"/>
      </w:pPr>
      <w:r>
        <w:rPr>
          <w:sz w:val="20"/>
        </w:rPr>
        <w:t xml:space="preserve">17. В течение 30 рабочих дней со дня представления Фондом отчетности в соответствии с требованиями </w:t>
      </w:r>
      <w:hyperlink w:history="0" w:anchor="P17219" w:tooltip="16. Фонд обязан представлять в Мининвест Московской области отчетность о достижении значения результата предоставления Субсидии, а также характеристик результата, об осуществлении расходов, источником финансового обеспечения которых является Субсидия, в порядке и по формам, установленным Соглашением (далее - отчеты).">
        <w:r>
          <w:rPr>
            <w:sz w:val="20"/>
            <w:color w:val="0000ff"/>
          </w:rPr>
          <w:t xml:space="preserve">пункта 16</w:t>
        </w:r>
      </w:hyperlink>
      <w:r>
        <w:rPr>
          <w:sz w:val="20"/>
        </w:rPr>
        <w:t xml:space="preserve"> настоящего Порядка Мининвестом Московской области осуществляется ее проверка и принятие.</w:t>
      </w:r>
    </w:p>
    <w:p>
      <w:pPr>
        <w:pStyle w:val="0"/>
        <w:spacing w:before="200" w:line-rule="auto"/>
        <w:ind w:firstLine="540"/>
        <w:jc w:val="both"/>
      </w:pPr>
      <w:r>
        <w:rPr>
          <w:sz w:val="20"/>
        </w:rPr>
        <w:t xml:space="preserve">Проверка отчетности проводится на предмет:</w:t>
      </w:r>
    </w:p>
    <w:p>
      <w:pPr>
        <w:pStyle w:val="0"/>
        <w:spacing w:before="200" w:line-rule="auto"/>
        <w:ind w:firstLine="540"/>
        <w:jc w:val="both"/>
      </w:pPr>
      <w:r>
        <w:rPr>
          <w:sz w:val="20"/>
        </w:rPr>
        <w:t xml:space="preserve">1) соблюдения сроков представления отчетности;</w:t>
      </w:r>
    </w:p>
    <w:p>
      <w:pPr>
        <w:pStyle w:val="0"/>
        <w:spacing w:before="200" w:line-rule="auto"/>
        <w:ind w:firstLine="540"/>
        <w:jc w:val="both"/>
      </w:pPr>
      <w:r>
        <w:rPr>
          <w:sz w:val="20"/>
        </w:rPr>
        <w:t xml:space="preserve">2) соответствия отчетности формам, установленным в Соглашении;</w:t>
      </w:r>
    </w:p>
    <w:p>
      <w:pPr>
        <w:pStyle w:val="0"/>
        <w:spacing w:before="200" w:line-rule="auto"/>
        <w:ind w:firstLine="540"/>
        <w:jc w:val="both"/>
      </w:pPr>
      <w:r>
        <w:rPr>
          <w:sz w:val="20"/>
        </w:rPr>
        <w:t xml:space="preserve">3) достижения результата предоставления Субсидий в сроки, установленные в Соглашении;</w:t>
      </w:r>
    </w:p>
    <w:p>
      <w:pPr>
        <w:pStyle w:val="0"/>
        <w:spacing w:before="200" w:line-rule="auto"/>
        <w:ind w:firstLine="540"/>
        <w:jc w:val="both"/>
      </w:pPr>
      <w:r>
        <w:rPr>
          <w:sz w:val="20"/>
        </w:rPr>
        <w:t xml:space="preserve">4) соответствия произведенных расходов целям предоставления Субсидии;</w:t>
      </w:r>
    </w:p>
    <w:p>
      <w:pPr>
        <w:pStyle w:val="0"/>
        <w:spacing w:before="200" w:line-rule="auto"/>
        <w:ind w:firstLine="540"/>
        <w:jc w:val="both"/>
      </w:pPr>
      <w:r>
        <w:rPr>
          <w:sz w:val="20"/>
        </w:rPr>
        <w:t xml:space="preserve">5) обоснованности размера произведенных расходов.</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Фондом отчетность в случае ее соответствия требованиям, установленным настоящим пунктом.</w:t>
      </w:r>
    </w:p>
    <w:p>
      <w:pPr>
        <w:pStyle w:val="0"/>
        <w:spacing w:before="200" w:line-rule="auto"/>
        <w:ind w:firstLine="540"/>
        <w:jc w:val="both"/>
      </w:pPr>
      <w:r>
        <w:rPr>
          <w:sz w:val="20"/>
        </w:rPr>
        <w:t xml:space="preserve">18. Соблюдение Фондом порядка и условий предоставления Субсидии, в том числе в части достижения результата предоставления Субсидии, подлежит проверке Мининвестом Московской области, а также проверке органами государственного финансового контроля в соответствии со </w:t>
      </w:r>
      <w:hyperlink w:history="0" r:id="rId8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8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(далее - органы государственного финансового контроля).</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w:t>
      </w:r>
      <w:hyperlink w:history="0" r:id="rId80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Порядком</w:t>
        </w:r>
      </w:hyperlink>
      <w:r>
        <w:rPr>
          <w:sz w:val="20"/>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29.09.2021 N 138н.</w:t>
      </w:r>
    </w:p>
    <w:p>
      <w:pPr>
        <w:pStyle w:val="0"/>
        <w:spacing w:before="200" w:line-rule="auto"/>
        <w:ind w:firstLine="540"/>
        <w:jc w:val="both"/>
      </w:pPr>
      <w:r>
        <w:rPr>
          <w:sz w:val="20"/>
        </w:rPr>
        <w:t xml:space="preserve">19. Субсидия подлежит возврату в бюджет Московской области в сроки и в порядке, установленные в Соглашении, в случаях:</w:t>
      </w:r>
    </w:p>
    <w:p>
      <w:pPr>
        <w:pStyle w:val="0"/>
        <w:spacing w:before="200" w:line-rule="auto"/>
        <w:ind w:firstLine="540"/>
        <w:jc w:val="both"/>
      </w:pPr>
      <w:r>
        <w:rPr>
          <w:sz w:val="20"/>
        </w:rPr>
        <w:t xml:space="preserve">1) нарушения Фондом условий, установленных при предоставлении Субсидии, выявленного в том числе по фактам проверок, проведенных Мининвестом Московской области и органами государственного финансового контроля;</w:t>
      </w:r>
    </w:p>
    <w:p>
      <w:pPr>
        <w:pStyle w:val="0"/>
        <w:spacing w:before="200" w:line-rule="auto"/>
        <w:ind w:firstLine="540"/>
        <w:jc w:val="both"/>
      </w:pPr>
      <w:r>
        <w:rPr>
          <w:sz w:val="20"/>
        </w:rPr>
        <w:t xml:space="preserve">2) недостижения Фондом результата предоставления Субсидии.</w:t>
      </w:r>
    </w:p>
    <w:p>
      <w:pPr>
        <w:pStyle w:val="0"/>
        <w:spacing w:before="200" w:line-rule="auto"/>
        <w:ind w:firstLine="540"/>
        <w:jc w:val="both"/>
      </w:pPr>
      <w:r>
        <w:rPr>
          <w:sz w:val="20"/>
        </w:rPr>
        <w:t xml:space="preserve">20. При недостижении результата предоставления Субсидии, установленного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w:t>
      </w:r>
    </w:p>
    <w:p>
      <w:pPr>
        <w:pStyle w:val="0"/>
        <w:spacing w:before="200" w:line-rule="auto"/>
        <w:ind w:firstLine="540"/>
        <w:jc w:val="both"/>
      </w:pPr>
      <w:r>
        <w:rPr>
          <w:sz w:val="20"/>
        </w:rPr>
        <w:t xml:space="preserve">Порядок расчета размера Субсидии, подлежащей возврату в бюджет Московской области, устанавливается в Соглашении.</w:t>
      </w:r>
    </w:p>
    <w:p>
      <w:pPr>
        <w:pStyle w:val="0"/>
        <w:spacing w:before="200" w:line-rule="auto"/>
        <w:ind w:firstLine="540"/>
        <w:jc w:val="both"/>
      </w:pPr>
      <w:r>
        <w:rPr>
          <w:sz w:val="20"/>
        </w:rPr>
        <w:t xml:space="preserve">21. В случае выявления по результатам проверок факта нарушений условий и порядка предоставления Субсидии, а также недостижения результата предоставления Субсидии Мининвест Московской области составляет акт о нарушении условий и порядка предоставления Субсидии (далее - Акт), в котором указываются выявленные нарушения.</w:t>
      </w:r>
    </w:p>
    <w:p>
      <w:pPr>
        <w:pStyle w:val="0"/>
        <w:spacing w:before="200" w:line-rule="auto"/>
        <w:ind w:firstLine="540"/>
        <w:jc w:val="both"/>
      </w:pPr>
      <w:r>
        <w:rPr>
          <w:sz w:val="20"/>
        </w:rPr>
        <w:t xml:space="preserve">Акт направляется Фонду в течение 5 календарных дней с даты составления.</w:t>
      </w:r>
    </w:p>
    <w:p>
      <w:pPr>
        <w:pStyle w:val="0"/>
        <w:spacing w:before="200" w:line-rule="auto"/>
        <w:ind w:firstLine="540"/>
        <w:jc w:val="both"/>
      </w:pPr>
      <w:r>
        <w:rPr>
          <w:sz w:val="20"/>
        </w:rPr>
        <w:t xml:space="preserve">22. В течение 10 календарных дней с даты составления Акта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pPr>
        <w:pStyle w:val="0"/>
        <w:spacing w:before="200" w:line-rule="auto"/>
        <w:ind w:firstLine="540"/>
        <w:jc w:val="both"/>
      </w:pPr>
      <w:r>
        <w:rPr>
          <w:sz w:val="20"/>
        </w:rPr>
        <w:t xml:space="preserve">В течение 5 календарных дней с даты подписания требование о возврате направляется Фонду.</w:t>
      </w:r>
    </w:p>
    <w:p>
      <w:pPr>
        <w:pStyle w:val="0"/>
        <w:spacing w:before="200" w:line-rule="auto"/>
        <w:ind w:firstLine="540"/>
        <w:jc w:val="both"/>
      </w:pPr>
      <w:r>
        <w:rPr>
          <w:sz w:val="20"/>
        </w:rPr>
        <w:t xml:space="preserve">23.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pPr>
        <w:pStyle w:val="0"/>
        <w:spacing w:before="200" w:line-rule="auto"/>
        <w:ind w:firstLine="540"/>
        <w:jc w:val="both"/>
      </w:pPr>
      <w:r>
        <w:rPr>
          <w:sz w:val="20"/>
        </w:rPr>
        <w:t xml:space="preserve">24. Фонд осуществляет возврат не использованного в отчетном финансовом году остатка Субсидии в бюджет Московской области в установленный Соглашением срок.</w:t>
      </w:r>
    </w:p>
    <w:p>
      <w:pPr>
        <w:pStyle w:val="0"/>
        <w:spacing w:before="200" w:line-rule="auto"/>
        <w:ind w:firstLine="540"/>
        <w:jc w:val="both"/>
      </w:pPr>
      <w:r>
        <w:rPr>
          <w:sz w:val="20"/>
        </w:rPr>
        <w:t xml:space="preserve">Остатки Субсидии могут быть использованы Фондом в очередном финансовом году на цели, соответствующие целям предоставления Субсидии, при условии включения такого положения в соглашение при наличии документально подтвержденной потребности в не использованных на начало очередного финансового года остатках Субсидии, установленной решением Мининвеста Московской области, по согласованию с МЭФ Московской области в порядке, установленном </w:t>
      </w:r>
      <w:hyperlink w:history="0" w:anchor="P17503" w:tooltip="7.5. Порядок принятия решения о наличии потребности">
        <w:r>
          <w:rPr>
            <w:sz w:val="20"/>
            <w:color w:val="0000ff"/>
          </w:rPr>
          <w:t xml:space="preserve">подразделом 7.5</w:t>
        </w:r>
      </w:hyperlink>
      <w:r>
        <w:rPr>
          <w:sz w:val="20"/>
        </w:rPr>
        <w:t xml:space="preserve"> Подпрограммы 3 государственной программы.</w:t>
      </w:r>
    </w:p>
    <w:p>
      <w:pPr>
        <w:pStyle w:val="0"/>
        <w:spacing w:before="200" w:line-rule="auto"/>
        <w:ind w:firstLine="540"/>
        <w:jc w:val="both"/>
      </w:pPr>
      <w:r>
        <w:rPr>
          <w:sz w:val="20"/>
        </w:rPr>
        <w:t xml:space="preserve">Фонд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цели, указанные в </w:t>
      </w:r>
      <w:hyperlink w:history="0" w:anchor="P17148" w:tooltip="3. Целью предоставления Субсидии является обеспечение уставной деятельности Фонда в целях предоставления поручительств по обязательствам субъектов малого и среднего предпринимательства и самозанятых граждан по кредитным договорам, договорам займа, договорам финансовой аренды (лизинга) и договорам о предоставлении банковской гарантии, в целях реализации мероприятия 02.01.">
        <w:r>
          <w:rPr>
            <w:sz w:val="20"/>
            <w:color w:val="0000ff"/>
          </w:rPr>
          <w:t xml:space="preserve">пункте 3</w:t>
        </w:r>
      </w:hyperlink>
      <w:r>
        <w:rPr>
          <w:sz w:val="20"/>
        </w:rPr>
        <w:t xml:space="preserve"> настоящего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17503" w:tooltip="7.5. Порядок принятия решения о наличии потребности">
        <w:r>
          <w:rPr>
            <w:sz w:val="20"/>
            <w:color w:val="0000ff"/>
          </w:rPr>
          <w:t xml:space="preserve">подразделом 7.5</w:t>
        </w:r>
      </w:hyperlink>
      <w:r>
        <w:rPr>
          <w:sz w:val="20"/>
        </w:rPr>
        <w:t xml:space="preserve"> Подпрограммы 3 государственной программы.</w:t>
      </w:r>
    </w:p>
    <w:p>
      <w:pPr>
        <w:pStyle w:val="0"/>
        <w:jc w:val="both"/>
      </w:pPr>
      <w:r>
        <w:rPr>
          <w:sz w:val="20"/>
        </w:rPr>
      </w:r>
    </w:p>
    <w:p>
      <w:pPr>
        <w:pStyle w:val="2"/>
        <w:outlineLvl w:val="4"/>
        <w:jc w:val="center"/>
      </w:pPr>
      <w:r>
        <w:rPr>
          <w:sz w:val="20"/>
        </w:rPr>
        <w:t xml:space="preserve">IV.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ответственность за их нарушение</w:t>
      </w:r>
    </w:p>
    <w:p>
      <w:pPr>
        <w:pStyle w:val="0"/>
        <w:jc w:val="both"/>
      </w:pPr>
      <w:r>
        <w:rPr>
          <w:sz w:val="20"/>
        </w:rPr>
      </w:r>
    </w:p>
    <w:p>
      <w:pPr>
        <w:pStyle w:val="0"/>
        <w:jc w:val="center"/>
      </w:pPr>
      <w:r>
        <w:rPr>
          <w:sz w:val="20"/>
        </w:rPr>
        <w:t xml:space="preserve">Утратил силу. - </w:t>
      </w:r>
      <w:hyperlink w:history="0" r:id="rId805" w:tooltip="Постановление Правительства МО от 15.01.2024 N 16-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15.01.2024 N 16-ПП.</w:t>
      </w:r>
    </w:p>
    <w:p>
      <w:pPr>
        <w:pStyle w:val="0"/>
        <w:jc w:val="both"/>
      </w:pPr>
      <w:r>
        <w:rPr>
          <w:sz w:val="20"/>
        </w:rPr>
      </w:r>
    </w:p>
    <w:p>
      <w:pPr>
        <w:pStyle w:val="2"/>
        <w:outlineLvl w:val="3"/>
        <w:jc w:val="center"/>
      </w:pPr>
      <w:r>
        <w:rPr>
          <w:sz w:val="20"/>
        </w:rPr>
        <w:t xml:space="preserve">7.3.7. Порядок предоставления из бюджета Московской области</w:t>
      </w:r>
    </w:p>
    <w:p>
      <w:pPr>
        <w:pStyle w:val="2"/>
        <w:jc w:val="center"/>
      </w:pPr>
      <w:r>
        <w:rPr>
          <w:sz w:val="20"/>
        </w:rPr>
        <w:t xml:space="preserve">субсидии АНО "АИР" в рамках реализации мероприятия 02.02</w:t>
      </w:r>
    </w:p>
    <w:p>
      <w:pPr>
        <w:pStyle w:val="2"/>
        <w:jc w:val="center"/>
      </w:pPr>
      <w:r>
        <w:rPr>
          <w:sz w:val="20"/>
        </w:rPr>
        <w:t xml:space="preserve">"Субсидия автономной некоммерческой организации "Агентство</w:t>
      </w:r>
    </w:p>
    <w:p>
      <w:pPr>
        <w:pStyle w:val="2"/>
        <w:jc w:val="center"/>
      </w:pPr>
      <w:r>
        <w:rPr>
          <w:sz w:val="20"/>
        </w:rPr>
        <w:t xml:space="preserve">инвестиционного развития Московской области" в целях</w:t>
      </w:r>
    </w:p>
    <w:p>
      <w:pPr>
        <w:pStyle w:val="2"/>
        <w:jc w:val="center"/>
      </w:pPr>
      <w:r>
        <w:rPr>
          <w:sz w:val="20"/>
        </w:rPr>
        <w:t xml:space="preserve">предоставления комплекса услуг, направленных на вовлечение</w:t>
      </w:r>
    </w:p>
    <w:p>
      <w:pPr>
        <w:pStyle w:val="2"/>
        <w:jc w:val="center"/>
      </w:pPr>
      <w:r>
        <w:rPr>
          <w:sz w:val="20"/>
        </w:rPr>
        <w:t xml:space="preserve">в предпринимательскую деятельность начинающих и действующих</w:t>
      </w:r>
    </w:p>
    <w:p>
      <w:pPr>
        <w:pStyle w:val="2"/>
        <w:jc w:val="center"/>
      </w:pPr>
      <w:r>
        <w:rPr>
          <w:sz w:val="20"/>
        </w:rPr>
        <w:t xml:space="preserve">предпринимателей, граждан, желающих вести бизнес"</w:t>
      </w:r>
    </w:p>
    <w:p>
      <w:pPr>
        <w:pStyle w:val="0"/>
        <w:jc w:val="center"/>
      </w:pPr>
      <w:r>
        <w:rPr>
          <w:sz w:val="20"/>
        </w:rPr>
      </w:r>
    </w:p>
    <w:p>
      <w:pPr>
        <w:pStyle w:val="0"/>
        <w:jc w:val="center"/>
      </w:pPr>
      <w:r>
        <w:rPr>
          <w:sz w:val="20"/>
        </w:rPr>
        <w:t xml:space="preserve">(введен </w:t>
      </w:r>
      <w:hyperlink w:history="0" r:id="rId806"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08.10.2024 N 1223-ПП)</w:t>
      </w:r>
    </w:p>
    <w:p>
      <w:pPr>
        <w:pStyle w:val="0"/>
        <w:jc w:val="both"/>
      </w:pPr>
      <w:r>
        <w:rPr>
          <w:sz w:val="20"/>
        </w:rPr>
      </w:r>
    </w:p>
    <w:p>
      <w:pPr>
        <w:pStyle w:val="2"/>
        <w:outlineLvl w:val="4"/>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предоставления из бюджета Московской области субсидии АНО "АИР" в рамках реализации </w:t>
      </w:r>
      <w:hyperlink w:history="0" w:anchor="P13073" w:tooltip="Мероприятие 02.02. Субсидия автономной некоммерческой организации &quot;Агентство инвестиционного развития Московской области&quot; в целях предоставления комплекса услуг, направленных на вовлечение в предпринимательскую деятельность начинающих и действующих предпринимателей, граждан, желающих вести бизнес">
        <w:r>
          <w:rPr>
            <w:sz w:val="20"/>
            <w:color w:val="0000ff"/>
          </w:rPr>
          <w:t xml:space="preserve">мероприятия 02.02</w:t>
        </w:r>
      </w:hyperlink>
      <w:r>
        <w:rPr>
          <w:sz w:val="20"/>
        </w:rPr>
        <w:t xml:space="preserve"> "Субсидия автономной некоммерческой организации "Агентство инвестиционного развития Московской области" в целях предоставления комплекса услуг, направленных на вовлечение в предпринимательскую деятельность начинающих и действующих предпринимателей, граждан, желающих вести бизнес" (далее соответственно - Порядок, субсидия) разработан в соответствии со </w:t>
      </w:r>
      <w:hyperlink w:history="0" r:id="rId80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808"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w:t>
      </w:r>
    </w:p>
    <w:p>
      <w:pPr>
        <w:pStyle w:val="0"/>
        <w:spacing w:before="200" w:line-rule="auto"/>
        <w:ind w:firstLine="540"/>
        <w:jc w:val="both"/>
      </w:pPr>
      <w:r>
        <w:rPr>
          <w:sz w:val="20"/>
        </w:rPr>
        <w:t xml:space="preserve">цель, условия и порядок предоставления субсидии, а также результат ее предоставления;</w:t>
      </w:r>
    </w:p>
    <w:p>
      <w:pPr>
        <w:pStyle w:val="0"/>
        <w:spacing w:before="200" w:line-rule="auto"/>
        <w:ind w:firstLine="540"/>
        <w:jc w:val="both"/>
      </w:pPr>
      <w:r>
        <w:rPr>
          <w:sz w:val="20"/>
        </w:rPr>
        <w:t xml:space="preserve">требования к отчетности;</w:t>
      </w:r>
    </w:p>
    <w:p>
      <w:pPr>
        <w:pStyle w:val="0"/>
        <w:spacing w:before="200" w:line-rule="auto"/>
        <w:ind w:firstLine="540"/>
        <w:jc w:val="both"/>
      </w:pPr>
      <w:r>
        <w:rPr>
          <w:sz w:val="20"/>
        </w:rPr>
        <w:t xml:space="preserve">требования к осуществлению контроля (мониторинга) за соблюдением условий и порядка предоставления субсидии и ответственность за их нарушение.</w:t>
      </w:r>
    </w:p>
    <w:p>
      <w:pPr>
        <w:pStyle w:val="0"/>
        <w:spacing w:before="200" w:line-rule="auto"/>
        <w:ind w:firstLine="540"/>
        <w:jc w:val="both"/>
      </w:pPr>
      <w:r>
        <w:rPr>
          <w:sz w:val="20"/>
        </w:rPr>
        <w:t xml:space="preserve">Понятия, используемые в Порядке:</w:t>
      </w:r>
    </w:p>
    <w:p>
      <w:pPr>
        <w:pStyle w:val="0"/>
        <w:spacing w:before="200" w:line-rule="auto"/>
        <w:ind w:firstLine="540"/>
        <w:jc w:val="both"/>
      </w:pPr>
      <w:r>
        <w:rPr>
          <w:sz w:val="20"/>
        </w:rPr>
        <w:t xml:space="preserve">инжиниринговые услуги -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услуги по содействию в получении статуса малой технологической компании;</w:t>
      </w:r>
    </w:p>
    <w:p>
      <w:pPr>
        <w:pStyle w:val="0"/>
        <w:spacing w:before="200" w:line-rule="auto"/>
        <w:ind w:firstLine="540"/>
        <w:jc w:val="both"/>
      </w:pPr>
      <w:r>
        <w:rPr>
          <w:sz w:val="20"/>
        </w:rPr>
        <w:t xml:space="preserve">действующие предприниматели - зарегистрированные и действующие более 2 (двух) лет субъекты МСП (индивидуальные предприниматели и юридические лица), соответствующие условиям, установленным Федеральным </w:t>
      </w:r>
      <w:hyperlink w:history="0" r:id="rId8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w:t>
      </w:r>
    </w:p>
    <w:p>
      <w:pPr>
        <w:pStyle w:val="0"/>
        <w:spacing w:before="200" w:line-rule="auto"/>
        <w:ind w:firstLine="540"/>
        <w:jc w:val="both"/>
      </w:pPr>
      <w:r>
        <w:rPr>
          <w:sz w:val="20"/>
        </w:rPr>
        <w:t xml:space="preserve">начинающие предприниматели - вновь зарегистрированные и действующие менее 2 (двух) лет субъекты МСП (индивидуальные предприниматели и юридические лица), соответствующие условиям, установленным Федеральным </w:t>
      </w:r>
      <w:hyperlink w:history="0" r:id="rId8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N 209-ФЗ;</w:t>
      </w:r>
    </w:p>
    <w:p>
      <w:pPr>
        <w:pStyle w:val="0"/>
        <w:spacing w:before="200" w:line-rule="auto"/>
        <w:ind w:firstLine="540"/>
        <w:jc w:val="both"/>
      </w:pPr>
      <w:r>
        <w:rPr>
          <w:sz w:val="20"/>
        </w:rPr>
        <w:t xml:space="preserve">комплекс услуг - услуги и меры поддержки, оказываемые начинающим и действующим предпринимателям и гражданам, желающим вести бизнес.</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инвестиций, промышленности и науки Московской области (далее - Мининвест Московской области) как получателя средств бюджета Московской области на цель, указанную в </w:t>
      </w:r>
      <w:hyperlink w:history="0" w:anchor="P17280" w:tooltip="5. Целью предоставления субсидии является финансовое обеспечение затрат АНО &quot;АИР&quot;, связанных с обеспечением деятельности АНО &quot;АИР&quot;, направленной на предоставление комплекса услуг начинающим и действующим предпринимателям и гражданам, желающим вести бизнес.">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Мининвест Московской области.</w:t>
      </w:r>
    </w:p>
    <w:p>
      <w:pPr>
        <w:pStyle w:val="0"/>
        <w:spacing w:before="200" w:line-rule="auto"/>
        <w:ind w:firstLine="540"/>
        <w:jc w:val="both"/>
      </w:pPr>
      <w:r>
        <w:rPr>
          <w:sz w:val="20"/>
        </w:rPr>
        <w:t xml:space="preserve">4. Способ предоставления субсидии - финансовое обеспечение затрат.</w:t>
      </w:r>
    </w:p>
    <w:bookmarkStart w:id="17280" w:name="P17280"/>
    <w:bookmarkEnd w:id="17280"/>
    <w:p>
      <w:pPr>
        <w:pStyle w:val="0"/>
        <w:spacing w:before="200" w:line-rule="auto"/>
        <w:ind w:firstLine="540"/>
        <w:jc w:val="both"/>
      </w:pPr>
      <w:r>
        <w:rPr>
          <w:sz w:val="20"/>
        </w:rPr>
        <w:t xml:space="preserve">5. Целью предоставления субсидии является финансовое обеспечение затрат АНО "АИР", связанных с обеспечением деятельности АНО "АИР", направленной на предоставление комплекса услуг начинающим и действующим предпринимателям и гражданам, желающим вести бизнес.</w:t>
      </w:r>
    </w:p>
    <w:p>
      <w:pPr>
        <w:pStyle w:val="0"/>
        <w:spacing w:before="200" w:line-rule="auto"/>
        <w:ind w:firstLine="540"/>
        <w:jc w:val="both"/>
      </w:pPr>
      <w:r>
        <w:rPr>
          <w:sz w:val="20"/>
        </w:rPr>
        <w:t xml:space="preserve">6. Получателем субсидии, определенным законом Московской области о бюджете Московской области на соответствующий финансовый год и на плановый период, является АНО "АИР" (далее - получатель субсидии).</w:t>
      </w:r>
    </w:p>
    <w:p>
      <w:pPr>
        <w:pStyle w:val="0"/>
        <w:spacing w:before="200" w:line-rule="auto"/>
        <w:ind w:firstLine="540"/>
        <w:jc w:val="both"/>
      </w:pPr>
      <w:r>
        <w:rPr>
          <w:sz w:val="20"/>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bookmarkStart w:id="17283" w:name="P17283"/>
    <w:bookmarkEnd w:id="17283"/>
    <w:p>
      <w:pPr>
        <w:pStyle w:val="0"/>
        <w:spacing w:before="200" w:line-rule="auto"/>
        <w:ind w:firstLine="540"/>
        <w:jc w:val="both"/>
      </w:pPr>
      <w:r>
        <w:rPr>
          <w:sz w:val="20"/>
        </w:rPr>
        <w:t xml:space="preserve">8. Требования, которым должен соответствовать получатель субсидии:</w:t>
      </w:r>
    </w:p>
    <w:p>
      <w:pPr>
        <w:pStyle w:val="0"/>
        <w:spacing w:before="200" w:line-rule="auto"/>
        <w:ind w:firstLine="540"/>
        <w:jc w:val="both"/>
      </w:pPr>
      <w:r>
        <w:rPr>
          <w:sz w:val="20"/>
        </w:rPr>
        <w:t xml:space="preserve">1) отсутствие на дату не ранее чем за 30 календарных дней до даты подачи заявки на предоставление субсидии (далее - заявка) на едином налоговом счете или не превышение размера, определенного </w:t>
      </w:r>
      <w:hyperlink w:history="0" r:id="rId811"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дату подписания уполномоченным лицом получателя субсидии заявки:</w:t>
      </w:r>
    </w:p>
    <w:bookmarkStart w:id="17286" w:name="P17286"/>
    <w:bookmarkEnd w:id="17286"/>
    <w:p>
      <w:pPr>
        <w:pStyle w:val="0"/>
        <w:spacing w:before="200" w:line-rule="auto"/>
        <w:ind w:firstLine="540"/>
        <w:jc w:val="both"/>
      </w:pPr>
      <w:r>
        <w:rPr>
          <w:sz w:val="20"/>
        </w:rPr>
        <w:t xml:space="preserve">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bookmarkStart w:id="17288" w:name="P17288"/>
    <w:bookmarkEnd w:id="17288"/>
    <w:p>
      <w:pPr>
        <w:pStyle w:val="0"/>
        <w:spacing w:before="200" w:line-rule="auto"/>
        <w:ind w:firstLine="540"/>
        <w:jc w:val="both"/>
      </w:pPr>
      <w:r>
        <w:rPr>
          <w:sz w:val="20"/>
        </w:rPr>
        <w:t xml:space="preserve">получатель субсидии не должен находиться в составляемых в рамках реализации полномочий, предусмотренных </w:t>
      </w:r>
      <w:hyperlink w:history="0" r:id="rId81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Start w:id="17289" w:name="P17289"/>
    <w:bookmarkEnd w:id="17289"/>
    <w:p>
      <w:pPr>
        <w:pStyle w:val="0"/>
        <w:spacing w:before="200" w:line-rule="auto"/>
        <w:ind w:firstLine="540"/>
        <w:jc w:val="both"/>
      </w:pPr>
      <w:r>
        <w:rPr>
          <w:sz w:val="20"/>
        </w:rPr>
        <w:t xml:space="preserve">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w:t>
      </w:r>
      <w:hyperlink w:history="0" w:anchor="P17280" w:tooltip="5. Целью предоставления субсидии является финансовое обеспечение затрат АНО &quot;АИР&quot;, связанных с обеспечением деятельности АНО &quot;АИР&quot;, направленной на предоставление комплекса услуг начинающим и действующим предпринимателям и гражданам, желающим вести бизнес.">
        <w:r>
          <w:rPr>
            <w:sz w:val="20"/>
            <w:color w:val="0000ff"/>
          </w:rPr>
          <w:t xml:space="preserve">пунктом 5</w:t>
        </w:r>
      </w:hyperlink>
      <w:r>
        <w:rPr>
          <w:sz w:val="20"/>
        </w:rPr>
        <w:t xml:space="preserve"> Порядка;</w:t>
      </w:r>
    </w:p>
    <w:bookmarkStart w:id="17290" w:name="P17290"/>
    <w:bookmarkEnd w:id="17290"/>
    <w:p>
      <w:pPr>
        <w:pStyle w:val="0"/>
        <w:spacing w:before="200" w:line-rule="auto"/>
        <w:ind w:firstLine="540"/>
        <w:jc w:val="both"/>
      </w:pPr>
      <w:r>
        <w:rPr>
          <w:sz w:val="20"/>
        </w:rPr>
        <w:t xml:space="preserve">получатель субсидии не должен являться иностранным агентом в соответствии с Федеральным </w:t>
      </w:r>
      <w:hyperlink w:history="0" r:id="rId813"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7291" w:name="P17291"/>
    <w:bookmarkEnd w:id="17291"/>
    <w:p>
      <w:pPr>
        <w:pStyle w:val="0"/>
        <w:spacing w:before="200" w:line-rule="auto"/>
        <w:ind w:firstLine="540"/>
        <w:jc w:val="both"/>
      </w:pPr>
      <w:r>
        <w:rPr>
          <w:sz w:val="20"/>
        </w:rPr>
        <w:t xml:space="preserve">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w:t>
      </w:r>
    </w:p>
    <w:bookmarkStart w:id="17292" w:name="P17292"/>
    <w:bookmarkEnd w:id="17292"/>
    <w:p>
      <w:pPr>
        <w:pStyle w:val="0"/>
        <w:spacing w:before="200" w:line-rule="auto"/>
        <w:ind w:firstLine="540"/>
        <w:jc w:val="both"/>
      </w:pPr>
      <w:r>
        <w:rPr>
          <w:sz w:val="20"/>
        </w:rPr>
        <w:t xml:space="preserve">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bookmarkStart w:id="17293" w:name="P17293"/>
    <w:bookmarkEnd w:id="17293"/>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bookmarkStart w:id="17294" w:name="P17294"/>
    <w:bookmarkEnd w:id="17294"/>
    <w:p>
      <w:pPr>
        <w:pStyle w:val="0"/>
        <w:spacing w:before="200" w:line-rule="auto"/>
        <w:ind w:firstLine="540"/>
        <w:jc w:val="both"/>
      </w:pPr>
      <w:r>
        <w:rPr>
          <w:sz w:val="20"/>
        </w:rPr>
        <w:t xml:space="preserve">9. Получатель субсидии в подтверждение соответствия требованиям, указанным в </w:t>
      </w:r>
      <w:hyperlink w:history="0" w:anchor="P17283" w:tooltip="8. Требования, которым должен соответствовать получатель субсидии:">
        <w:r>
          <w:rPr>
            <w:sz w:val="20"/>
            <w:color w:val="0000ff"/>
          </w:rPr>
          <w:t xml:space="preserve">пункте 8</w:t>
        </w:r>
      </w:hyperlink>
      <w:r>
        <w:rPr>
          <w:sz w:val="20"/>
        </w:rPr>
        <w:t xml:space="preserve"> Порядка, представляет в срок до 1 марта соответствующего финансового года в Мининвест Московской области заявку, составленную в свободной форме.</w:t>
      </w:r>
    </w:p>
    <w:p>
      <w:pPr>
        <w:pStyle w:val="0"/>
        <w:spacing w:before="200" w:line-rule="auto"/>
        <w:ind w:firstLine="540"/>
        <w:jc w:val="both"/>
      </w:pPr>
      <w:r>
        <w:rPr>
          <w:sz w:val="20"/>
        </w:rPr>
        <w:t xml:space="preserve">Заявка должна содержать 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 связанной с предоставлением субсидии получателю субсидии.</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справка, подписанная руководителем либо иным уполномоченным лицом, а также главным бухгалтером (при наличии) получателя субсидии, подтверждающая соответствие требованиям, предусмотренным </w:t>
      </w:r>
      <w:hyperlink w:history="0" w:anchor="P17289" w:tooltip="получатель субсидии не должен получать средства из бюджета Московской области на основании иных нормативных правовых актов Московской области на цель, установленную пунктом 5 Порядка;">
        <w:r>
          <w:rPr>
            <w:sz w:val="20"/>
            <w:color w:val="0000ff"/>
          </w:rPr>
          <w:t xml:space="preserve">абзацами пятым</w:t>
        </w:r>
      </w:hyperlink>
      <w:r>
        <w:rPr>
          <w:sz w:val="20"/>
        </w:rPr>
        <w:t xml:space="preserve">, </w:t>
      </w:r>
      <w:hyperlink w:history="0" w:anchor="P17291" w:tooltip="у получателя субсидии должна отсутствовать просроченная задолженность по возврату в бюджет Московской области иных субсидий, бюджетных инвестиций, а также иная просроченная (неурегулированная) задолженность по денежным обязательствам перед Московской областью (за исключением случаев, установленных Правительством Московской области);">
        <w:r>
          <w:rPr>
            <w:sz w:val="20"/>
            <w:color w:val="0000ff"/>
          </w:rPr>
          <w:t xml:space="preserve">седьмым</w:t>
        </w:r>
      </w:hyperlink>
      <w:r>
        <w:rPr>
          <w:sz w:val="20"/>
        </w:rPr>
        <w:t xml:space="preserve">, </w:t>
      </w:r>
      <w:hyperlink w:history="0" w:anchor="P17293" w:tooltip="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w:r>
          <w:rPr>
            <w:sz w:val="20"/>
            <w:color w:val="0000ff"/>
          </w:rPr>
          <w:t xml:space="preserve">девятым подпункта 2 пункта 8</w:t>
        </w:r>
      </w:hyperlink>
      <w:r>
        <w:rPr>
          <w:sz w:val="20"/>
        </w:rPr>
        <w:t xml:space="preserve"> Порядка;</w:t>
      </w:r>
    </w:p>
    <w:p>
      <w:pPr>
        <w:pStyle w:val="0"/>
        <w:spacing w:before="200" w:line-rule="auto"/>
        <w:ind w:firstLine="540"/>
        <w:jc w:val="both"/>
      </w:pPr>
      <w:r>
        <w:rPr>
          <w:sz w:val="20"/>
        </w:rPr>
        <w:t xml:space="preserve">справка, подписанная руководителем либо иным уполномоченным лицом получателя субсидии, подтверждающая соответствие требованиям, предусмотренным </w:t>
      </w:r>
      <w:hyperlink w:history="0" w:anchor="P17286" w:tooltip="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r>
          <w:rPr>
            <w:sz w:val="20"/>
            <w:color w:val="0000ff"/>
          </w:rPr>
          <w:t xml:space="preserve">абзацами вторым</w:t>
        </w:r>
      </w:hyperlink>
      <w:r>
        <w:rPr>
          <w:sz w:val="20"/>
        </w:rPr>
        <w:t xml:space="preserve"> - </w:t>
      </w:r>
      <w:hyperlink w:history="0" w:anchor="P17288" w:tooltip="получатель субсидии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r>
          <w:rPr>
            <w:sz w:val="20"/>
            <w:color w:val="0000ff"/>
          </w:rPr>
          <w:t xml:space="preserve">четвертым</w:t>
        </w:r>
      </w:hyperlink>
      <w:r>
        <w:rPr>
          <w:sz w:val="20"/>
        </w:rPr>
        <w:t xml:space="preserve">, </w:t>
      </w:r>
      <w:hyperlink w:history="0" w:anchor="P17290" w:tooltip="получатель субсидии не должен являть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sz w:val="20"/>
            <w:color w:val="0000ff"/>
          </w:rPr>
          <w:t xml:space="preserve">шестым</w:t>
        </w:r>
      </w:hyperlink>
      <w:r>
        <w:rPr>
          <w:sz w:val="20"/>
        </w:rPr>
        <w:t xml:space="preserve">, </w:t>
      </w:r>
      <w:hyperlink w:history="0" w:anchor="P17292" w:tooltip="получатель субсидии не должен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r>
          <w:rPr>
            <w:sz w:val="20"/>
            <w:color w:val="0000ff"/>
          </w:rPr>
          <w:t xml:space="preserve">восьмым подпункта 2 пункта 8</w:t>
        </w:r>
      </w:hyperlink>
      <w:r>
        <w:rPr>
          <w:sz w:val="20"/>
        </w:rPr>
        <w:t xml:space="preserve"> Порядка;</w:t>
      </w:r>
    </w:p>
    <w:p>
      <w:pPr>
        <w:pStyle w:val="0"/>
        <w:spacing w:before="200" w:line-rule="auto"/>
        <w:ind w:firstLine="540"/>
        <w:jc w:val="both"/>
      </w:pPr>
      <w:r>
        <w:rPr>
          <w:sz w:val="20"/>
        </w:rPr>
        <w:t xml:space="preserve">план (смета) расходов получателя субсидии в разрезе направлений расходов, источником финансового обеспечения которых является субсидия, соответствующих цели предоставления субсидии, на текущий финансовый год, содержащий расчет размера субсидии и обоснование указанных расходов;</w:t>
      </w:r>
    </w:p>
    <w:p>
      <w:pPr>
        <w:pStyle w:val="0"/>
        <w:spacing w:before="200" w:line-rule="auto"/>
        <w:ind w:firstLine="540"/>
        <w:jc w:val="both"/>
      </w:pPr>
      <w:r>
        <w:rPr>
          <w:sz w:val="20"/>
        </w:rPr>
        <w:t xml:space="preserve">копии заключенных получателем субсидии договоров на текущий финансовый год (при наличии), коммерческих предложений поставщиков товаров, работ, услуг с обоснованием потребности расходов и (или) иных документов, подтверждающих расчеты потребности получателя субсидии в осуществлении расходов;</w:t>
      </w:r>
    </w:p>
    <w:p>
      <w:pPr>
        <w:pStyle w:val="0"/>
        <w:spacing w:before="200" w:line-rule="auto"/>
        <w:ind w:firstLine="540"/>
        <w:jc w:val="both"/>
      </w:pPr>
      <w:r>
        <w:rPr>
          <w:sz w:val="20"/>
        </w:rPr>
        <w:t xml:space="preserve">информация о плановых значениях результата предоставления субсидии.</w:t>
      </w:r>
    </w:p>
    <w:p>
      <w:pPr>
        <w:pStyle w:val="0"/>
        <w:spacing w:before="200" w:line-rule="auto"/>
        <w:ind w:firstLine="540"/>
        <w:jc w:val="both"/>
      </w:pPr>
      <w:r>
        <w:rPr>
          <w:sz w:val="20"/>
        </w:rPr>
        <w:t xml:space="preserve">10. Документы, предоставляемые получателем субсидии в составе заявки:</w:t>
      </w:r>
    </w:p>
    <w:p>
      <w:pPr>
        <w:pStyle w:val="0"/>
        <w:spacing w:before="200" w:line-rule="auto"/>
        <w:ind w:firstLine="540"/>
        <w:jc w:val="both"/>
      </w:pPr>
      <w:r>
        <w:rPr>
          <w:sz w:val="20"/>
        </w:rPr>
        <w:t xml:space="preserve">должны быть подписаны уполномоченными лицами получателя субсидии;</w:t>
      </w:r>
    </w:p>
    <w:p>
      <w:pPr>
        <w:pStyle w:val="0"/>
        <w:spacing w:before="200" w:line-rule="auto"/>
        <w:ind w:firstLine="540"/>
        <w:jc w:val="both"/>
      </w:pPr>
      <w:r>
        <w:rPr>
          <w:sz w:val="20"/>
        </w:rPr>
        <w:t xml:space="preserve">должны быть представлены в полном объеме со всеми приложениями, являющимися их неотъемлемой частью;</w:t>
      </w:r>
    </w:p>
    <w:p>
      <w:pPr>
        <w:pStyle w:val="0"/>
        <w:spacing w:before="200" w:line-rule="auto"/>
        <w:ind w:firstLine="540"/>
        <w:jc w:val="both"/>
      </w:pPr>
      <w:r>
        <w:rPr>
          <w:sz w:val="20"/>
        </w:rPr>
        <w:t xml:space="preserve">должны быть составлены на русском языке (подача документов, входящих в состав заявок,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0"/>
        <w:spacing w:before="200" w:line-rule="auto"/>
        <w:ind w:firstLine="540"/>
        <w:jc w:val="both"/>
      </w:pPr>
      <w:r>
        <w:rPr>
          <w:sz w:val="20"/>
        </w:rPr>
        <w:t xml:space="preserve">не должны содержать помарок, подчисток, исправлений путем зачеркивания неправильного текста или суммы и надписи правильного текста или суммы над зачеркнутыми (исправление ошибок в документах должно быть специально оговорено на самом документе и подтверждено соответствующими подписями и печатями (при наличии печати);</w:t>
      </w:r>
    </w:p>
    <w:p>
      <w:pPr>
        <w:pStyle w:val="0"/>
        <w:spacing w:before="200" w:line-rule="auto"/>
        <w:ind w:firstLine="540"/>
        <w:jc w:val="both"/>
      </w:pPr>
      <w:r>
        <w:rPr>
          <w:sz w:val="20"/>
        </w:rPr>
        <w:t xml:space="preserve">копии оригиналов документов должны быть представлены в виде неповторяющихся, читаемых копий, на которых виден текст оригинала документа, в том числе реквизиты оригинала документа, подписи и печати (при наличии печати);</w:t>
      </w:r>
    </w:p>
    <w:p>
      <w:pPr>
        <w:pStyle w:val="0"/>
        <w:spacing w:before="200" w:line-rule="auto"/>
        <w:ind w:firstLine="540"/>
        <w:jc w:val="both"/>
      </w:pPr>
      <w:r>
        <w:rPr>
          <w:sz w:val="20"/>
        </w:rPr>
        <w:t xml:space="preserve">копии оригиналов документов должны быть заверены печатью получателя субсидии и подписаны лицом, имеющим право без доверенности действовать от имени получателя субсидии, или лицом, уполномоченным действовать от имени получателя субсидии на основании доверенности (с приложением в составе заявки оригинала такой доверенности, соответствующей требованиям, предъявляемым законодательством Российской Федерации к такой доверенности, подтверждающей право представителя на осуществление соответствующих действий от имени получателя субсидии, или нотариально заверенной копии такой доверенности).</w:t>
      </w:r>
    </w:p>
    <w:p>
      <w:pPr>
        <w:pStyle w:val="0"/>
        <w:spacing w:before="200" w:line-rule="auto"/>
        <w:ind w:firstLine="540"/>
        <w:jc w:val="both"/>
      </w:pPr>
      <w:r>
        <w:rPr>
          <w:sz w:val="20"/>
        </w:rPr>
        <w:t xml:space="preserve">Ответственность за полноту и достоверность информации, представленной в заявке и прилагаемых к ней документах, несет лицо, подписавшее заявку.</w:t>
      </w:r>
    </w:p>
    <w:bookmarkStart w:id="17311" w:name="P17311"/>
    <w:bookmarkEnd w:id="17311"/>
    <w:p>
      <w:pPr>
        <w:pStyle w:val="0"/>
        <w:spacing w:before="200" w:line-rule="auto"/>
        <w:ind w:firstLine="540"/>
        <w:jc w:val="both"/>
      </w:pPr>
      <w:r>
        <w:rPr>
          <w:sz w:val="20"/>
        </w:rPr>
        <w:t xml:space="preserve">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w:t>
      </w:r>
    </w:p>
    <w:p>
      <w:pPr>
        <w:pStyle w:val="0"/>
        <w:spacing w:before="200" w:line-rule="auto"/>
        <w:ind w:firstLine="540"/>
        <w:jc w:val="both"/>
      </w:pPr>
      <w:r>
        <w:rPr>
          <w:sz w:val="20"/>
        </w:rPr>
        <w:t xml:space="preserve">Мининвест Московской области в течение 20 рабочих дней с даты поступления заявки рассматривает документы, указанные в </w:t>
      </w:r>
      <w:hyperlink w:history="0" w:anchor="P17294" w:tooltip="9. Получатель субсидии в подтверждение соответствия требованиям, указанным в пункте 8 Порядка, представляет в срок до 1 марта соответствующего финансового года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проводит проверку соответствия получателя субсидии требованиям, указанным в </w:t>
      </w:r>
      <w:hyperlink w:history="0" w:anchor="P17283"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Проверка сведений осуществляется Мининвестом Московской области путем сопоставления информации, содержащейся в заявке и представляемых документах,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информационно-телекоммуникационной сети "Интернет".</w:t>
      </w:r>
    </w:p>
    <w:p>
      <w:pPr>
        <w:pStyle w:val="0"/>
        <w:spacing w:before="200" w:line-rule="auto"/>
        <w:ind w:firstLine="540"/>
        <w:jc w:val="both"/>
      </w:pPr>
      <w:r>
        <w:rPr>
          <w:sz w:val="20"/>
        </w:rPr>
        <w:t xml:space="preserve">12. При наличии замечаний к заявке в части наличия противоречий, технических ошибок, опечаток, описок в представленных документах заявка возвращается получателю субсидии. Получатель субсидии осуществляет доработку заявки в срок не более 1 рабочего дня со дня возврата заявки.</w:t>
      </w:r>
    </w:p>
    <w:p>
      <w:pPr>
        <w:pStyle w:val="0"/>
        <w:spacing w:before="200" w:line-rule="auto"/>
        <w:ind w:firstLine="540"/>
        <w:jc w:val="both"/>
      </w:pPr>
      <w:r>
        <w:rPr>
          <w:sz w:val="20"/>
        </w:rPr>
        <w:t xml:space="preserve">13. По результатам рассмотрения документов, указанных в </w:t>
      </w:r>
      <w:hyperlink w:history="0" w:anchor="P17294" w:tooltip="9. Получатель субсидии в подтверждение соответствия требованиям, указанным в пункте 8 Порядка, представляет в срок до 1 марта соответствующего финансового года в Мининвест Московской области заявку, составленную в свободной форме.">
        <w:r>
          <w:rPr>
            <w:sz w:val="20"/>
            <w:color w:val="0000ff"/>
          </w:rPr>
          <w:t xml:space="preserve">пункте 9</w:t>
        </w:r>
      </w:hyperlink>
      <w:r>
        <w:rPr>
          <w:sz w:val="20"/>
        </w:rPr>
        <w:t xml:space="preserve"> Порядка, и проведения проверок в соответствии с </w:t>
      </w:r>
      <w:hyperlink w:history="0" w:anchor="P17311" w:tooltip="11. Заявка получателя субсидии регистрируется Мининвестом Московской области посредством межведомственной системы электронного документооборота Московской области (далее - МСЭД) в день ее получения.">
        <w:r>
          <w:rPr>
            <w:sz w:val="20"/>
            <w:color w:val="0000ff"/>
          </w:rPr>
          <w:t xml:space="preserve">пунктом 11</w:t>
        </w:r>
      </w:hyperlink>
      <w:r>
        <w:rPr>
          <w:sz w:val="20"/>
        </w:rPr>
        <w:t xml:space="preserve"> Порядка Мининвест Московской области принимает решение о предоставлении субсидии или об отказе в предоставлении субсидии, которое оформляется распорядительным актом Мининвеста Московской области.</w:t>
      </w:r>
    </w:p>
    <w:p>
      <w:pPr>
        <w:pStyle w:val="0"/>
        <w:spacing w:before="200" w:line-rule="auto"/>
        <w:ind w:firstLine="540"/>
        <w:jc w:val="both"/>
      </w:pPr>
      <w:r>
        <w:rPr>
          <w:sz w:val="20"/>
        </w:rPr>
        <w:t xml:space="preserve">О принятом решении Мининвест Московской области уведомляет получателя субсидии посредством МСЭД.</w:t>
      </w:r>
    </w:p>
    <w:p>
      <w:pPr>
        <w:pStyle w:val="0"/>
        <w:spacing w:before="200" w:line-rule="auto"/>
        <w:ind w:firstLine="540"/>
        <w:jc w:val="both"/>
      </w:pPr>
      <w:r>
        <w:rPr>
          <w:sz w:val="20"/>
        </w:rPr>
        <w:t xml:space="preserve">14. Основаниями для принятия решения об отказе получателю субсидии в предоставлении субсидии являются:</w:t>
      </w:r>
    </w:p>
    <w:p>
      <w:pPr>
        <w:pStyle w:val="0"/>
        <w:spacing w:before="200" w:line-rule="auto"/>
        <w:ind w:firstLine="540"/>
        <w:jc w:val="both"/>
      </w:pPr>
      <w:r>
        <w:rPr>
          <w:sz w:val="20"/>
        </w:rPr>
        <w:t xml:space="preserve">1) несоответствие документов, представленных получателем субсидии, требованиям, определенным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3) несоответствие получателя субсидии требованиям, установленным в </w:t>
      </w:r>
      <w:hyperlink w:history="0" w:anchor="P17283" w:tooltip="8. Требования, которым должен соответствовать получатель субсид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15. Отказ в предоставлении субсидии не препятствует повторному обращению получателя субсидии за предоставлением субсидии в пределах срока, предусмотренного </w:t>
      </w:r>
      <w:hyperlink w:history="0" w:anchor="P17294" w:tooltip="9. Получатель субсидии в подтверждение соответствия требованиям, указанным в пункте 8 Порядка, представляет в срок до 1 марта соответствующего финансового года в Мининвест Московской области заявку, составленную в свободной форме.">
        <w:r>
          <w:rPr>
            <w:sz w:val="20"/>
            <w:color w:val="0000ff"/>
          </w:rPr>
          <w:t xml:space="preserve">абзацем первым пункта 9</w:t>
        </w:r>
      </w:hyperlink>
      <w:r>
        <w:rPr>
          <w:sz w:val="20"/>
        </w:rPr>
        <w:t xml:space="preserve"> Порядка.</w:t>
      </w:r>
    </w:p>
    <w:p>
      <w:pPr>
        <w:pStyle w:val="0"/>
        <w:jc w:val="both"/>
      </w:pPr>
      <w:r>
        <w:rPr>
          <w:sz w:val="20"/>
        </w:rPr>
      </w:r>
    </w:p>
    <w:p>
      <w:pPr>
        <w:pStyle w:val="2"/>
        <w:outlineLvl w:val="4"/>
        <w:jc w:val="center"/>
      </w:pPr>
      <w:r>
        <w:rPr>
          <w:sz w:val="20"/>
        </w:rPr>
        <w:t xml:space="preserve">II. Условия и порядок предоставления субсидии</w:t>
      </w:r>
    </w:p>
    <w:p>
      <w:pPr>
        <w:pStyle w:val="0"/>
        <w:jc w:val="both"/>
      </w:pPr>
      <w:r>
        <w:rPr>
          <w:sz w:val="20"/>
        </w:rPr>
      </w:r>
    </w:p>
    <w:p>
      <w:pPr>
        <w:pStyle w:val="0"/>
        <w:ind w:firstLine="540"/>
        <w:jc w:val="both"/>
      </w:pPr>
      <w:r>
        <w:rPr>
          <w:sz w:val="20"/>
        </w:rPr>
        <w:t xml:space="preserve">16. Направления расходов, источником финансового обеспечения которых является субсидия:</w:t>
      </w:r>
    </w:p>
    <w:p>
      <w:pPr>
        <w:pStyle w:val="0"/>
        <w:spacing w:before="200" w:line-rule="auto"/>
        <w:ind w:firstLine="540"/>
        <w:jc w:val="both"/>
      </w:pPr>
      <w:r>
        <w:rPr>
          <w:sz w:val="20"/>
        </w:rPr>
        <w:t xml:space="preserve">расходы на выполнение работ (оказание услуг) начинающим и действующим предпринимателям и гражданам, желающим вести бизнес, в целях достижения результата предоставления субсидии, в том числе:</w:t>
      </w:r>
    </w:p>
    <w:p>
      <w:pPr>
        <w:pStyle w:val="0"/>
        <w:spacing w:before="200" w:line-rule="auto"/>
        <w:ind w:firstLine="540"/>
        <w:jc w:val="both"/>
      </w:pPr>
      <w:r>
        <w:rPr>
          <w:sz w:val="20"/>
        </w:rPr>
        <w:t xml:space="preserve">оказание инжиниринговых услуг;</w:t>
      </w:r>
    </w:p>
    <w:p>
      <w:pPr>
        <w:pStyle w:val="0"/>
        <w:spacing w:before="200" w:line-rule="auto"/>
        <w:ind w:firstLine="540"/>
        <w:jc w:val="both"/>
      </w:pPr>
      <w:r>
        <w:rPr>
          <w:sz w:val="20"/>
        </w:rPr>
        <w:t xml:space="preserve">проведение обучающих мероприятий по вопросам ведения предпринимательской деятельности;</w:t>
      </w:r>
    </w:p>
    <w:p>
      <w:pPr>
        <w:pStyle w:val="0"/>
        <w:spacing w:before="200" w:line-rule="auto"/>
        <w:ind w:firstLine="540"/>
        <w:jc w:val="both"/>
      </w:pPr>
      <w:r>
        <w:rPr>
          <w:sz w:val="20"/>
        </w:rPr>
        <w:t xml:space="preserve">содействие в популяризации продукции;</w:t>
      </w:r>
    </w:p>
    <w:p>
      <w:pPr>
        <w:pStyle w:val="0"/>
        <w:spacing w:before="200" w:line-rule="auto"/>
        <w:ind w:firstLine="540"/>
        <w:jc w:val="both"/>
      </w:pPr>
      <w:r>
        <w:rPr>
          <w:sz w:val="20"/>
        </w:rPr>
        <w:t xml:space="preserve">содействие в оформлении прав на результаты интеллектуальной деятельности и приравненные к ним средства индивидуализации.</w:t>
      </w:r>
    </w:p>
    <w:p>
      <w:pPr>
        <w:pStyle w:val="0"/>
        <w:spacing w:before="200" w:line-rule="auto"/>
        <w:ind w:firstLine="540"/>
        <w:jc w:val="both"/>
      </w:pPr>
      <w:r>
        <w:rPr>
          <w:sz w:val="20"/>
        </w:rPr>
        <w:t xml:space="preserve">17. Размер субсидии, предоставляемой из бюджета Московской области получателю субсидии, составляет 100000000 (сто миллионов) рублей 00 копеек.</w:t>
      </w:r>
    </w:p>
    <w:p>
      <w:pPr>
        <w:pStyle w:val="0"/>
        <w:spacing w:before="200" w:line-rule="auto"/>
        <w:ind w:firstLine="540"/>
        <w:jc w:val="both"/>
      </w:pPr>
      <w:r>
        <w:rPr>
          <w:sz w:val="20"/>
        </w:rPr>
        <w:t xml:space="preserve">18. Предоставление из бюджета Московской области субсидии получателю субсидии осуществляется в соответствии с соглашением, которое заключается между Мининвестом Московской области и получателем субсидии на основании принятого Мининвестом Московской области решения о предоставлении субсидии получателю субсидии (далее - Соглашение).</w:t>
      </w:r>
    </w:p>
    <w:p>
      <w:pPr>
        <w:pStyle w:val="0"/>
        <w:spacing w:before="200" w:line-rule="auto"/>
        <w:ind w:firstLine="540"/>
        <w:jc w:val="both"/>
      </w:pPr>
      <w:r>
        <w:rPr>
          <w:sz w:val="20"/>
        </w:rPr>
        <w:t xml:space="preserve">Соглашение заключается в течение 15 рабочих дней со дня принятия Мининвестом Московской области решения о предоставлении субсидии получателю субсидии в соответствии с типовой формой, установленной Министерством экономики и финансов Московской области, в электронном виде с использованием подсистемы исполнения бюджета Московской области, бюджетов муниципальных образований Московской области государственной информационной системы Московской области "Региональный электронный бюджет Московской области" (далее - ГИС РЭБ), функционального блока "Реестр соглашений".</w:t>
      </w:r>
    </w:p>
    <w:p>
      <w:pPr>
        <w:pStyle w:val="0"/>
        <w:spacing w:before="200" w:line-rule="auto"/>
        <w:ind w:firstLine="540"/>
        <w:jc w:val="both"/>
      </w:pPr>
      <w:r>
        <w:rPr>
          <w:sz w:val="20"/>
        </w:rPr>
        <w:t xml:space="preserve">19. Субсидия предоставляется при условии согласия получателя субсидии и обеспечении получателем субсидии получения согласия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8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8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20. Получателю субсидии, а также иным юридическим лицам, получающими средства на основании договоров, заключенных с получателями субсидий, запрещается приобретать средства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 В Соглашение включаются в том числе следующие условия:</w:t>
      </w:r>
    </w:p>
    <w:p>
      <w:pPr>
        <w:pStyle w:val="0"/>
        <w:spacing w:before="200" w:line-rule="auto"/>
        <w:ind w:firstLine="540"/>
        <w:jc w:val="both"/>
      </w:pPr>
      <w:r>
        <w:rPr>
          <w:sz w:val="20"/>
        </w:rPr>
        <w:t xml:space="preserve">о согласовании новых условий Соглашения или о расторжении Соглашения при недостижении согласия по новым условиям в случае уменьшения Мининвесту Московской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 согласии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Мининвестом Московской области в отношении их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8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8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о запрете приобретения получателем субсидии, а также иными юридическими лицами, получающими средства на основании договоров, заключенных с получателем субсидии, средств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17503" w:tooltip="7.5. Порядок принятия решения о наличии потребности">
        <w:r>
          <w:rPr>
            <w:sz w:val="20"/>
            <w:color w:val="0000ff"/>
          </w:rPr>
          <w:t xml:space="preserve">подразделом 7.5</w:t>
        </w:r>
      </w:hyperlink>
      <w:r>
        <w:rPr>
          <w:sz w:val="20"/>
        </w:rPr>
        <w:t xml:space="preserve"> Подпрограммы 3 государственной программы;</w:t>
      </w:r>
    </w:p>
    <w:p>
      <w:pPr>
        <w:pStyle w:val="0"/>
        <w:spacing w:before="200" w:line-rule="auto"/>
        <w:ind w:firstLine="540"/>
        <w:jc w:val="both"/>
      </w:pPr>
      <w:r>
        <w:rPr>
          <w:sz w:val="20"/>
        </w:rPr>
        <w:t xml:space="preserve">о запрете на размещение средств субсидии на депозитных счетах (банковских вкладах) в кредитной организации и посредством иных финансовых инструментов с целью извлечения дохода (за исключением размещения средств на расчетном счете, на остаток по которому начисляются проценты).</w:t>
      </w:r>
    </w:p>
    <w:p>
      <w:pPr>
        <w:pStyle w:val="0"/>
        <w:spacing w:before="200" w:line-rule="auto"/>
        <w:ind w:firstLine="540"/>
        <w:jc w:val="both"/>
      </w:pPr>
      <w:r>
        <w:rPr>
          <w:sz w:val="20"/>
        </w:rPr>
        <w:t xml:space="preserve">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Московской области.</w:t>
      </w:r>
    </w:p>
    <w:p>
      <w:pPr>
        <w:pStyle w:val="0"/>
        <w:spacing w:before="200" w:line-rule="auto"/>
        <w:ind w:firstLine="540"/>
        <w:jc w:val="both"/>
      </w:pPr>
      <w:r>
        <w:rPr>
          <w:sz w:val="20"/>
        </w:rPr>
        <w:t xml:space="preserve">23. Результатом предоставления субсидии является количество начинающих и действующих предпринимателей и граждан, желающих вести бизнес, которым обеспечено предоставление комплекса услуг.</w:t>
      </w:r>
    </w:p>
    <w:p>
      <w:pPr>
        <w:pStyle w:val="0"/>
        <w:spacing w:before="200" w:line-rule="auto"/>
        <w:ind w:firstLine="540"/>
        <w:jc w:val="both"/>
      </w:pPr>
      <w:r>
        <w:rPr>
          <w:sz w:val="20"/>
        </w:rPr>
        <w:t xml:space="preserve">Точная дата завершения, конечное значение результата предоставления субсидии (конкретная количественная характеристика итогов) устанавливаются в Соглашении.</w:t>
      </w:r>
    </w:p>
    <w:p>
      <w:pPr>
        <w:pStyle w:val="0"/>
        <w:spacing w:before="200" w:line-rule="auto"/>
        <w:ind w:firstLine="540"/>
        <w:jc w:val="both"/>
      </w:pPr>
      <w:r>
        <w:rPr>
          <w:sz w:val="20"/>
        </w:rPr>
        <w:t xml:space="preserve">24. Перечисление субсидии осуществляется в течение 10 календарных дней с даты подписания Соглашения.</w:t>
      </w:r>
    </w:p>
    <w:p>
      <w:pPr>
        <w:pStyle w:val="0"/>
        <w:spacing w:before="200" w:line-rule="auto"/>
        <w:ind w:firstLine="540"/>
        <w:jc w:val="both"/>
      </w:pPr>
      <w:r>
        <w:rPr>
          <w:sz w:val="20"/>
        </w:rPr>
        <w:t xml:space="preserve">25. Субсидия подлежит перечислению в соответствии с бюджетным законодательством Российской Федерации на расчетный счет, открытый получателю субсидии в кредитной организации, указанный в Соглашении.</w:t>
      </w:r>
    </w:p>
    <w:p>
      <w:pPr>
        <w:pStyle w:val="0"/>
        <w:spacing w:before="200" w:line-rule="auto"/>
        <w:ind w:firstLine="540"/>
        <w:jc w:val="both"/>
      </w:pPr>
      <w:r>
        <w:rPr>
          <w:sz w:val="20"/>
        </w:rPr>
        <w:t xml:space="preserve">26. Получатель субсидии осуществляет возврат не использованного в отчетном финансовом году остатка субсидии в бюджет Московской области в установленный Соглашением срок, за исключением случая, установленного </w:t>
      </w:r>
      <w:hyperlink w:history="0" w:anchor="P17349" w:tooltip="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ь, указанную в пункте 5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подразделом 7.5 Подпрограммы 3 государственной программы.">
        <w:r>
          <w:rPr>
            <w:sz w:val="20"/>
            <w:color w:val="0000ff"/>
          </w:rPr>
          <w:t xml:space="preserve">абзацем вторым</w:t>
        </w:r>
      </w:hyperlink>
      <w:r>
        <w:rPr>
          <w:sz w:val="20"/>
        </w:rPr>
        <w:t xml:space="preserve"> настоящего пункта.</w:t>
      </w:r>
    </w:p>
    <w:bookmarkStart w:id="17349" w:name="P17349"/>
    <w:bookmarkEnd w:id="17349"/>
    <w:p>
      <w:pPr>
        <w:pStyle w:val="0"/>
        <w:spacing w:before="200" w:line-rule="auto"/>
        <w:ind w:firstLine="540"/>
        <w:jc w:val="both"/>
      </w:pPr>
      <w:r>
        <w:rPr>
          <w:sz w:val="20"/>
        </w:rPr>
        <w:t xml:space="preserve">Получатель субсидии вправе осуществлять расходы, источником финансового обеспечения которых является не использованный в отчетном финансовом году остаток субсидии, на цель, указанную в </w:t>
      </w:r>
      <w:hyperlink w:history="0" w:anchor="P17280" w:tooltip="5. Целью предоставления субсидии является финансовое обеспечение затрат АНО &quot;АИР&quot;, связанных с обеспечением деятельности АНО &quot;АИР&quot;, направленной на предоставление комплекса услуг начинающим и действующим предпринимателям и гражданам, желающим вести бизнес.">
        <w:r>
          <w:rPr>
            <w:sz w:val="20"/>
            <w:color w:val="0000ff"/>
          </w:rPr>
          <w:t xml:space="preserve">пункте 5</w:t>
        </w:r>
      </w:hyperlink>
      <w:r>
        <w:rPr>
          <w:sz w:val="20"/>
        </w:rPr>
        <w:t xml:space="preserve"> Порядка, при принятии Мининвестом Московской области по согласованию с МЭФ Московской области решения о наличии потребности в указанных средствах в порядке, установленном </w:t>
      </w:r>
      <w:hyperlink w:history="0" w:anchor="P17503" w:tooltip="7.5. Порядок принятия решения о наличии потребности">
        <w:r>
          <w:rPr>
            <w:sz w:val="20"/>
            <w:color w:val="0000ff"/>
          </w:rPr>
          <w:t xml:space="preserve">подразделом 7.5</w:t>
        </w:r>
      </w:hyperlink>
      <w:r>
        <w:rPr>
          <w:sz w:val="20"/>
        </w:rPr>
        <w:t xml:space="preserve"> Подпрограммы 3 государственной программы.</w:t>
      </w:r>
    </w:p>
    <w:p>
      <w:pPr>
        <w:pStyle w:val="0"/>
        <w:jc w:val="both"/>
      </w:pPr>
      <w:r>
        <w:rPr>
          <w:sz w:val="20"/>
        </w:rPr>
      </w:r>
    </w:p>
    <w:p>
      <w:pPr>
        <w:pStyle w:val="2"/>
        <w:outlineLvl w:val="4"/>
        <w:jc w:val="center"/>
      </w:pPr>
      <w:r>
        <w:rPr>
          <w:sz w:val="20"/>
        </w:rPr>
        <w:t xml:space="preserve">III. Требования к отчетности</w:t>
      </w:r>
    </w:p>
    <w:p>
      <w:pPr>
        <w:pStyle w:val="0"/>
        <w:jc w:val="both"/>
      </w:pPr>
      <w:r>
        <w:rPr>
          <w:sz w:val="20"/>
        </w:rPr>
      </w:r>
    </w:p>
    <w:bookmarkStart w:id="17353" w:name="P17353"/>
    <w:bookmarkEnd w:id="17353"/>
    <w:p>
      <w:pPr>
        <w:pStyle w:val="0"/>
        <w:ind w:firstLine="540"/>
        <w:jc w:val="both"/>
      </w:pPr>
      <w:r>
        <w:rPr>
          <w:sz w:val="20"/>
        </w:rPr>
        <w:t xml:space="preserve">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(договоры на выполнение работ (оказание услуг), счета-фактуры, акты выполненных работ (оказанных услуг), сводный реестр об осуществлении расходов, источником финансового обеспечения которых является субсидия, а также иные документы, связанные с оплатой работ (услуг), в том числе расчетные (платежные) документы), представляются получателем субсидии в Мининвест Московской области ежеквартально до 5-го рабочего дня месяца, следующего за отчетным кварталом, а по результатам года - не позднее 15 числа месяца, следующего за отчетным годом.</w:t>
      </w:r>
    </w:p>
    <w:p>
      <w:pPr>
        <w:pStyle w:val="0"/>
        <w:spacing w:before="200" w:line-rule="auto"/>
        <w:ind w:firstLine="540"/>
        <w:jc w:val="both"/>
      </w:pPr>
      <w:r>
        <w:rPr>
          <w:sz w:val="20"/>
        </w:rPr>
        <w:t xml:space="preserve">Формы отчетов определяются распоряжением Министерства экономики и финансов Московской области об утверждении типовой формы соглашения о предоставлении из бюджета Московской области субсидии, в том числе грантов в форме субсидии,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Отчеты предоставляются получателем субсидии в ГИС РЭБ при наличии технической и функциональной возможности системы, а в случае ее отсутствия - посредством МСЭД.</w:t>
      </w:r>
    </w:p>
    <w:p>
      <w:pPr>
        <w:pStyle w:val="0"/>
        <w:spacing w:before="200" w:line-rule="auto"/>
        <w:ind w:firstLine="540"/>
        <w:jc w:val="both"/>
      </w:pPr>
      <w:r>
        <w:rPr>
          <w:sz w:val="20"/>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Министерством финансов Российской Федерации.</w:t>
      </w:r>
    </w:p>
    <w:p>
      <w:pPr>
        <w:pStyle w:val="0"/>
        <w:spacing w:before="200" w:line-rule="auto"/>
        <w:ind w:firstLine="540"/>
        <w:jc w:val="both"/>
      </w:pPr>
      <w:r>
        <w:rPr>
          <w:sz w:val="20"/>
        </w:rPr>
        <w:t xml:space="preserve">28. Проверка и принятие отчетности, представляемой в соответствии с </w:t>
      </w:r>
      <w:hyperlink w:history="0" w:anchor="P17353" w:tooltip="27. Отчеты о достижении значений результата предоставления субсидии и об осуществлении расходов, источником финансового обеспечения которых является субсидия, с приложением документов, подтверждающих такие расходы получателя субсидии (договоры на выполнение работ (оказание услуг), счета-фактуры, акты выполненных работ (оказанных услуг), сводный реестр об осуществлении расходов, источником финансового обеспечения которых является субсидия, а также иные документы, связанные с оплатой работ (услуг), в том ч...">
        <w:r>
          <w:rPr>
            <w:sz w:val="20"/>
            <w:color w:val="0000ff"/>
          </w:rPr>
          <w:t xml:space="preserve">пунктом 27</w:t>
        </w:r>
      </w:hyperlink>
      <w:r>
        <w:rPr>
          <w:sz w:val="20"/>
        </w:rPr>
        <w:t xml:space="preserve"> Порядка, осуществляется Мининвестом Московской области в течение 10 рабочих дней со дня ее представления.</w:t>
      </w:r>
    </w:p>
    <w:p>
      <w:pPr>
        <w:pStyle w:val="0"/>
        <w:spacing w:before="200" w:line-rule="auto"/>
        <w:ind w:firstLine="540"/>
        <w:jc w:val="both"/>
      </w:pPr>
      <w:r>
        <w:rPr>
          <w:sz w:val="20"/>
        </w:rPr>
        <w:t xml:space="preserve">По итогам проведенной проверки Мининвест Московской области принимает представленную получателем субсидии отчетность в случае ее соответствия требованиям, установленным Порядком.</w:t>
      </w:r>
    </w:p>
    <w:p>
      <w:pPr>
        <w:pStyle w:val="0"/>
        <w:spacing w:before="200" w:line-rule="auto"/>
        <w:ind w:firstLine="540"/>
        <w:jc w:val="both"/>
      </w:pPr>
      <w:r>
        <w:rPr>
          <w:sz w:val="20"/>
        </w:rPr>
        <w:t xml:space="preserve">29. В случае несоответствия представленной получателем субсидии отчетности требованиям, установленным Порядком, Мининвест Московской области в течение 5 рабочих дней направляет получателю субсидии уведомление об исправлении представленных отчетов и повторном их направлении в Мининвест Московской области в срок, указанный в уведомлении.</w:t>
      </w:r>
    </w:p>
    <w:p>
      <w:pPr>
        <w:pStyle w:val="0"/>
        <w:spacing w:before="200" w:line-rule="auto"/>
        <w:ind w:firstLine="540"/>
        <w:jc w:val="both"/>
      </w:pPr>
      <w:r>
        <w:rPr>
          <w:sz w:val="20"/>
        </w:rPr>
        <w:t xml:space="preserve">Неустранение получателем субсидии замечаний в течение 5 рабочих дней с даты возврата отчетности Мининвестом Московской области в том числе является основанием для осуществления Мининвестом Московской области проверки соблюдения получателем субсидии порядка и условий предоставления субсидии в соответствии с </w:t>
      </w:r>
      <w:hyperlink w:history="0" w:anchor="P17365" w:tooltip="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
        <w:r>
          <w:rPr>
            <w:sz w:val="20"/>
            <w:color w:val="0000ff"/>
          </w:rPr>
          <w:t xml:space="preserve">пунктом 30</w:t>
        </w:r>
      </w:hyperlink>
      <w:r>
        <w:rPr>
          <w:sz w:val="20"/>
        </w:rPr>
        <w:t xml:space="preserve"> Порядка.</w:t>
      </w:r>
    </w:p>
    <w:p>
      <w:pPr>
        <w:pStyle w:val="0"/>
        <w:jc w:val="both"/>
      </w:pPr>
      <w:r>
        <w:rPr>
          <w:sz w:val="20"/>
        </w:rPr>
      </w:r>
    </w:p>
    <w:p>
      <w:pPr>
        <w:pStyle w:val="2"/>
        <w:outlineLvl w:val="4"/>
        <w:jc w:val="center"/>
      </w:pPr>
      <w:r>
        <w:rPr>
          <w:sz w:val="20"/>
        </w:rPr>
        <w:t xml:space="preserve">IV. Контроль (мониторинг)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bookmarkStart w:id="17365" w:name="P17365"/>
    <w:bookmarkEnd w:id="17365"/>
    <w:p>
      <w:pPr>
        <w:pStyle w:val="0"/>
        <w:ind w:firstLine="540"/>
        <w:jc w:val="both"/>
      </w:pPr>
      <w:r>
        <w:rPr>
          <w:sz w:val="20"/>
        </w:rPr>
        <w:t xml:space="preserve">30. Мининвест Московской области осуществляет в отношении получателя субсидии и лиц, получающих средства на основании договоров, заключенных с получателем субсидии, проверку соблюдения ими порядка и условий предоставления субсидии, в том числе в части достижения результата ее предоставления.</w:t>
      </w:r>
    </w:p>
    <w:p>
      <w:pPr>
        <w:pStyle w:val="0"/>
        <w:spacing w:before="200" w:line-rule="auto"/>
        <w:ind w:firstLine="540"/>
        <w:jc w:val="both"/>
      </w:pPr>
      <w:r>
        <w:rPr>
          <w:sz w:val="20"/>
        </w:rPr>
        <w:t xml:space="preserve">Органы государственного финансового контроля осуществляют проверку получателя субсидии и лиц, получающих средства на основании договоров, заключенных с получателем субсидии, в соответствии со </w:t>
      </w:r>
      <w:hyperlink w:history="0" r:id="rId8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8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pPr>
        <w:pStyle w:val="0"/>
        <w:spacing w:before="200" w:line-rule="auto"/>
        <w:ind w:firstLine="540"/>
        <w:jc w:val="both"/>
      </w:pPr>
      <w:r>
        <w:rPr>
          <w:sz w:val="20"/>
        </w:rPr>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Мининвестом Московской области и органом государственного финансового контроля, получатель субсидии обеспечивает возврат средств субсидии (средств, полученных на основании договоров, заключенных с получателем субсидии), использованных с нарушением таких условий, в бюджет Московской области в течение 30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представлении (предписании) органа государственного финансового контроля.</w:t>
      </w:r>
    </w:p>
    <w:p>
      <w:pPr>
        <w:pStyle w:val="0"/>
        <w:spacing w:before="200" w:line-rule="auto"/>
        <w:ind w:firstLine="540"/>
        <w:jc w:val="both"/>
      </w:pPr>
      <w:r>
        <w:rPr>
          <w:sz w:val="20"/>
        </w:rPr>
        <w:t xml:space="preserve">32. В случае недостижения значения результата предоставления субсидии получатель субсидии обеспечивает возврат средств субсидии (средств, полученных на основании договоров, заключенных с получателем субсидии) в бюджет Московской области в течение 30 рабочих дней со дня получения от Мининвеста Московской области соответствующего требования о возврате средств субсидии (средств, полученных на основании договоров, заключенных с получателем субсидии) или в срок, указанный в акте органа государственного финансового контроля, в размере, рассчитанном пропорционально недостигнутому результату предоставления субсидии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w:t>
      </w:r>
      <w:r>
        <w:rPr>
          <w:sz w:val="20"/>
        </w:rPr>
        <w:t xml:space="preserve"> - размер субсидии, подлежащий возврату;</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АНО "АИР" в отчетном финансовом году;</w:t>
      </w:r>
    </w:p>
    <w:p>
      <w:pPr>
        <w:pStyle w:val="0"/>
        <w:spacing w:before="200" w:line-rule="auto"/>
        <w:ind w:firstLine="540"/>
        <w:jc w:val="both"/>
      </w:pPr>
      <w:r>
        <w:rPr>
          <w:sz w:val="20"/>
        </w:rPr>
        <w:t xml:space="preserve">k - коэффициент возврата субсидии, который определяется по формуле:</w:t>
      </w:r>
    </w:p>
    <w:p>
      <w:pPr>
        <w:pStyle w:val="0"/>
        <w:jc w:val="both"/>
      </w:pPr>
      <w:r>
        <w:rPr>
          <w:sz w:val="20"/>
        </w:rPr>
      </w:r>
    </w:p>
    <w:p>
      <w:pPr>
        <w:pStyle w:val="0"/>
        <w:ind w:firstLine="540"/>
        <w:jc w:val="both"/>
      </w:pPr>
      <w:r>
        <w:rPr>
          <w:sz w:val="20"/>
        </w:rPr>
        <w:t xml:space="preserve">k = 1 - T /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значение результата предоставления субсидии на отчетную дату;</w:t>
      </w:r>
    </w:p>
    <w:p>
      <w:pPr>
        <w:pStyle w:val="0"/>
        <w:spacing w:before="200" w:line-rule="auto"/>
        <w:ind w:firstLine="540"/>
        <w:jc w:val="both"/>
      </w:pPr>
      <w:r>
        <w:rPr>
          <w:sz w:val="20"/>
        </w:rPr>
        <w:t xml:space="preserve">S - плановое значение результата предоставления субсидии, установленное Соглашением.</w:t>
      </w:r>
    </w:p>
    <w:p>
      <w:pPr>
        <w:pStyle w:val="0"/>
        <w:jc w:val="both"/>
      </w:pPr>
      <w:r>
        <w:rPr>
          <w:sz w:val="20"/>
        </w:rPr>
      </w:r>
    </w:p>
    <w:p>
      <w:pPr>
        <w:pStyle w:val="0"/>
        <w:ind w:firstLine="540"/>
        <w:jc w:val="both"/>
      </w:pPr>
      <w:r>
        <w:rPr>
          <w:sz w:val="20"/>
        </w:rPr>
        <w:t xml:space="preserve">33. В случае неисполнения получателем субсидии требования о возврате субсидии Мининвест Московской области производит взыскание средств субсидии в порядке, установленном законодательством Российской Федерации.</w:t>
      </w:r>
    </w:p>
    <w:p>
      <w:pPr>
        <w:pStyle w:val="0"/>
        <w:jc w:val="both"/>
      </w:pPr>
      <w:r>
        <w:rPr>
          <w:sz w:val="20"/>
        </w:rPr>
      </w:r>
    </w:p>
    <w:p>
      <w:pPr>
        <w:pStyle w:val="2"/>
        <w:outlineLvl w:val="2"/>
        <w:jc w:val="center"/>
      </w:pPr>
      <w:r>
        <w:rPr>
          <w:sz w:val="20"/>
        </w:rPr>
        <w:t xml:space="preserve">7.4. Требования к организациям, образующим инфраструктуру</w:t>
      </w:r>
    </w:p>
    <w:p>
      <w:pPr>
        <w:pStyle w:val="2"/>
        <w:jc w:val="center"/>
      </w:pPr>
      <w:r>
        <w:rPr>
          <w:sz w:val="20"/>
        </w:rPr>
        <w:t xml:space="preserve">поддержки субъектов МСП, созданным за счет средств бюджета</w:t>
      </w:r>
    </w:p>
    <w:p>
      <w:pPr>
        <w:pStyle w:val="2"/>
        <w:jc w:val="center"/>
      </w:pPr>
      <w:r>
        <w:rPr>
          <w:sz w:val="20"/>
        </w:rPr>
        <w:t xml:space="preserve">Московской области и федерального бюджета, при реализации</w:t>
      </w:r>
    </w:p>
    <w:p>
      <w:pPr>
        <w:pStyle w:val="2"/>
        <w:jc w:val="center"/>
      </w:pPr>
      <w:r>
        <w:rPr>
          <w:sz w:val="20"/>
        </w:rPr>
        <w:t xml:space="preserve">государственных программ (подпрограмм) развития субъектов</w:t>
      </w:r>
    </w:p>
    <w:p>
      <w:pPr>
        <w:pStyle w:val="2"/>
        <w:jc w:val="center"/>
      </w:pPr>
      <w:r>
        <w:rPr>
          <w:sz w:val="20"/>
        </w:rPr>
        <w:t xml:space="preserve">МСП Московской области и Российской Федерации</w:t>
      </w:r>
    </w:p>
    <w:p>
      <w:pPr>
        <w:pStyle w:val="0"/>
        <w:jc w:val="both"/>
      </w:pPr>
      <w:r>
        <w:rPr>
          <w:sz w:val="20"/>
        </w:rPr>
      </w:r>
    </w:p>
    <w:p>
      <w:pPr>
        <w:pStyle w:val="0"/>
        <w:ind w:firstLine="540"/>
        <w:jc w:val="both"/>
      </w:pPr>
      <w:r>
        <w:rPr>
          <w:sz w:val="20"/>
        </w:rPr>
        <w:t xml:space="preserve">1. К организациям, образующим инфраструктуру поддержки субъектов МСП Московской области при реализации государственных программ (подпрограмм) Московской области (далее - организации инфраструктуры поддержки), относятся организации, указанные в </w:t>
      </w:r>
      <w:hyperlink w:history="0" r:id="rId8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 15</w:t>
        </w:r>
      </w:hyperlink>
      <w:r>
        <w:rPr>
          <w:sz w:val="20"/>
        </w:rPr>
        <w:t xml:space="preserve"> Федерального закона N 209-ФЗ.</w:t>
      </w:r>
    </w:p>
    <w:p>
      <w:pPr>
        <w:pStyle w:val="0"/>
        <w:spacing w:before="200" w:line-rule="auto"/>
        <w:ind w:firstLine="540"/>
        <w:jc w:val="both"/>
      </w:pPr>
      <w:r>
        <w:rPr>
          <w:sz w:val="20"/>
        </w:rPr>
        <w:t xml:space="preserve">2. К организациям инфраструктуры поддержки, указанным в </w:t>
      </w:r>
      <w:hyperlink w:history="0" w:anchor="P207" w:tooltip="1. Паспорт государственной программы Московской области">
        <w:r>
          <w:rPr>
            <w:sz w:val="20"/>
            <w:color w:val="0000ff"/>
          </w:rPr>
          <w:t xml:space="preserve">пункте 1</w:t>
        </w:r>
      </w:hyperlink>
      <w:r>
        <w:rPr>
          <w:sz w:val="20"/>
        </w:rPr>
        <w:t xml:space="preserve">, устанавливаются следующие требования:</w:t>
      </w:r>
    </w:p>
    <w:p>
      <w:pPr>
        <w:pStyle w:val="0"/>
        <w:spacing w:before="200" w:line-rule="auto"/>
        <w:ind w:firstLine="540"/>
        <w:jc w:val="both"/>
      </w:pPr>
      <w:r>
        <w:rPr>
          <w:sz w:val="20"/>
        </w:rPr>
        <w:t xml:space="preserve">1) регистрация в качестве юридического лица на территории Московской области и осуществление деятельности на территории Московской области;</w:t>
      </w:r>
    </w:p>
    <w:p>
      <w:pPr>
        <w:pStyle w:val="0"/>
        <w:spacing w:before="200" w:line-rule="auto"/>
        <w:ind w:firstLine="540"/>
        <w:jc w:val="both"/>
      </w:pPr>
      <w:r>
        <w:rPr>
          <w:sz w:val="20"/>
        </w:rPr>
        <w:t xml:space="preserve">2) осуществление уставной деятельности, направленной на содействие созданию и (или) развитию субъектов МСП и оказание им поддержки согласно </w:t>
      </w:r>
      <w:hyperlink w:history="0" r:id="rId821" w:tooltip="Закон Московской области от 16.07.2010 N 95/2010-ОЗ (ред. от 25.12.2024) &quot;О развитии предпринимательской деятельности в Московской области&quot; (принят постановлением Мособлдумы от 08.07.2010 N 7/126-П) {КонсультантПлюс}">
        <w:r>
          <w:rPr>
            <w:sz w:val="20"/>
            <w:color w:val="0000ff"/>
          </w:rPr>
          <w:t xml:space="preserve">статье 7.1</w:t>
        </w:r>
      </w:hyperlink>
      <w:r>
        <w:rPr>
          <w:sz w:val="20"/>
        </w:rPr>
        <w:t xml:space="preserve"> Закона Московской области N 95/2010-ОЗ "О развитии предпринимательской деятельности в Московской области";</w:t>
      </w:r>
    </w:p>
    <w:p>
      <w:pPr>
        <w:pStyle w:val="0"/>
        <w:spacing w:before="200" w:line-rule="auto"/>
        <w:ind w:firstLine="540"/>
        <w:jc w:val="both"/>
      </w:pPr>
      <w:r>
        <w:rPr>
          <w:sz w:val="20"/>
        </w:rPr>
        <w:t xml:space="preserve">3) наличие отчета </w:t>
      </w:r>
      <w:hyperlink w:history="0" w:anchor="P17410" w:tooltip="&lt;*&gt; Форма отчета устанавливается соглашениями, заключаемыми с организациями инфраструктуры поддержки, о предоставлении средств федерального бюджета, средств бюджета Московской области и (или) бюджетов муниципальных образований Московской области, а такж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&lt;*&gt;</w:t>
        </w:r>
      </w:hyperlink>
      <w:r>
        <w:rPr>
          <w:sz w:val="20"/>
        </w:rPr>
        <w:t xml:space="preserve"> о результатах работы за предыдущий календарный год, содержащего информацию о реализации мероприятий и проектов, достигнутых значениях показателей эффективности деятельности (в случае регистрации организации инфраструктуры поддержки в качестве юридического лица более года);</w:t>
      </w:r>
    </w:p>
    <w:p>
      <w:pPr>
        <w:pStyle w:val="0"/>
        <w:spacing w:before="200" w:line-rule="auto"/>
        <w:ind w:firstLine="540"/>
        <w:jc w:val="both"/>
      </w:pPr>
      <w:r>
        <w:rPr>
          <w:sz w:val="20"/>
        </w:rPr>
        <w:t xml:space="preserve">4) распространение (не реже 1 раза в квартал), в том числе посредством размещения в информационно-телекоммуникационной сети Интернет, следующей информации в отношении организации инфраструктуры поддержки:</w:t>
      </w:r>
    </w:p>
    <w:p>
      <w:pPr>
        <w:pStyle w:val="0"/>
        <w:spacing w:before="200" w:line-rule="auto"/>
        <w:ind w:firstLine="540"/>
        <w:jc w:val="both"/>
      </w:pPr>
      <w:r>
        <w:rPr>
          <w:sz w:val="20"/>
        </w:rPr>
        <w:t xml:space="preserve">общие сведения (наименование, учредительные документы, Ф.И.О. руководителя, контакты организации (местонахождение, телефон, адрес электронной почты);</w:t>
      </w:r>
    </w:p>
    <w:p>
      <w:pPr>
        <w:pStyle w:val="0"/>
        <w:spacing w:before="200" w:line-rule="auto"/>
        <w:ind w:firstLine="540"/>
        <w:jc w:val="both"/>
      </w:pPr>
      <w:r>
        <w:rPr>
          <w:sz w:val="20"/>
        </w:rPr>
        <w:t xml:space="preserve">перечень предоставляемых услуг, порядок их предоставления;</w:t>
      </w:r>
    </w:p>
    <w:p>
      <w:pPr>
        <w:pStyle w:val="0"/>
        <w:spacing w:before="200" w:line-rule="auto"/>
        <w:ind w:firstLine="540"/>
        <w:jc w:val="both"/>
      </w:pPr>
      <w:r>
        <w:rPr>
          <w:sz w:val="20"/>
        </w:rPr>
        <w:t xml:space="preserve">перечень вебинаров, "круглых столов", конференций, форумов, семинаров, иных публичных мероприятий, проводимых организацией инфраструктуры поддержки;</w:t>
      </w:r>
    </w:p>
    <w:p>
      <w:pPr>
        <w:pStyle w:val="0"/>
        <w:spacing w:before="200" w:line-rule="auto"/>
        <w:ind w:firstLine="540"/>
        <w:jc w:val="both"/>
      </w:pPr>
      <w:r>
        <w:rPr>
          <w:sz w:val="20"/>
        </w:rPr>
        <w:t xml:space="preserve">годовые отчеты о результатах работы за предыдущий календарный год;</w:t>
      </w:r>
    </w:p>
    <w:p>
      <w:pPr>
        <w:pStyle w:val="0"/>
        <w:spacing w:before="200" w:line-rule="auto"/>
        <w:ind w:firstLine="540"/>
        <w:jc w:val="both"/>
      </w:pPr>
      <w:r>
        <w:rPr>
          <w:sz w:val="20"/>
        </w:rPr>
        <w:t xml:space="preserve">интернет-ссылки на информационные ресурсы, предназначенные для поддержки и развития МСП;</w:t>
      </w:r>
    </w:p>
    <w:p>
      <w:pPr>
        <w:pStyle w:val="0"/>
        <w:spacing w:before="200" w:line-rule="auto"/>
        <w:ind w:firstLine="540"/>
        <w:jc w:val="both"/>
      </w:pPr>
      <w:r>
        <w:rPr>
          <w:sz w:val="20"/>
        </w:rPr>
        <w:t xml:space="preserve">5) владение на праве собственности или ином законном основании помещением, необходимым для оказания услуг субъектам МСП, с наличием не менее трех рабочих мест, оборудованных мебелью, телефоном, оргтехникой, компьютером с обеспеченным доступом к интернет-связи;</w:t>
      </w:r>
    </w:p>
    <w:p>
      <w:pPr>
        <w:pStyle w:val="0"/>
        <w:spacing w:before="200" w:line-rule="auto"/>
        <w:ind w:firstLine="540"/>
        <w:jc w:val="both"/>
      </w:pPr>
      <w:r>
        <w:rPr>
          <w:sz w:val="20"/>
        </w:rPr>
        <w:t xml:space="preserve">6) наличие квалифицированных работников (руководитель имеет высшее образование и опыт работы на руководящих должностях или опыт работы в сфере поддержки МСП не менее 1 года; наличие в штате организации не менее 2 сотрудников, имеющих высшее образование);</w:t>
      </w:r>
    </w:p>
    <w:p>
      <w:pPr>
        <w:pStyle w:val="0"/>
        <w:spacing w:before="200" w:line-rule="auto"/>
        <w:ind w:firstLine="540"/>
        <w:jc w:val="both"/>
      </w:pPr>
      <w:r>
        <w:rPr>
          <w:sz w:val="20"/>
        </w:rPr>
        <w:t xml:space="preserve">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8) отсутствие процесса реорганизации, ликвидации или банкротства, приостановки деятельности в соответствии с законодательством Российской Федерации;</w:t>
      </w:r>
    </w:p>
    <w:p>
      <w:pPr>
        <w:pStyle w:val="0"/>
        <w:spacing w:before="200" w:line-rule="auto"/>
        <w:ind w:firstLine="540"/>
        <w:jc w:val="both"/>
      </w:pPr>
      <w:r>
        <w:rPr>
          <w:sz w:val="20"/>
        </w:rPr>
        <w:t xml:space="preserve">9) требования к организациям инфраструктуры поддержки также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Московской области при реализации соответственно государственных программ (подпрограмм) Российской Федерации, государственных программ (подпрограмм) Московской области, а также национальных проектов (программ), мероприятий "дорожных карт" по развитию МСП Московской области;</w:t>
      </w:r>
    </w:p>
    <w:p>
      <w:pPr>
        <w:pStyle w:val="0"/>
        <w:spacing w:before="200" w:line-rule="auto"/>
        <w:ind w:firstLine="540"/>
        <w:jc w:val="both"/>
      </w:pPr>
      <w:r>
        <w:rPr>
          <w:sz w:val="20"/>
        </w:rPr>
        <w:t xml:space="preserve">10) отсутствие просроченной (неурегулированной) задолженности по возврату в бюджет Московской области субсидий, бюджетных инвестиций и иной просроченной (неурегулированной) задолженности перед бюджетом Московской области.</w:t>
      </w:r>
    </w:p>
    <w:p>
      <w:pPr>
        <w:pStyle w:val="0"/>
        <w:spacing w:before="200" w:line-rule="auto"/>
        <w:ind w:firstLine="540"/>
        <w:jc w:val="both"/>
      </w:pPr>
      <w:r>
        <w:rPr>
          <w:sz w:val="20"/>
        </w:rPr>
        <w:t xml:space="preserve">--------------------------------</w:t>
      </w:r>
    </w:p>
    <w:bookmarkStart w:id="17410" w:name="P17410"/>
    <w:bookmarkEnd w:id="17410"/>
    <w:p>
      <w:pPr>
        <w:pStyle w:val="0"/>
        <w:spacing w:before="200" w:line-rule="auto"/>
        <w:ind w:firstLine="540"/>
        <w:jc w:val="both"/>
      </w:pPr>
      <w:r>
        <w:rPr>
          <w:sz w:val="20"/>
        </w:rPr>
        <w:t xml:space="preserve">&lt;*&gt; Форма отчета устанавливается соглашениями, заключаемыми с организациями инфраструктуры поддержки, о предоставлении средств федерального бюджета, средств бюджета Московской области и (или) бюджетов муниципальных образований Московской области, а также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r>
    </w:p>
    <w:p>
      <w:pPr>
        <w:pStyle w:val="0"/>
        <w:ind w:firstLine="540"/>
        <w:jc w:val="both"/>
      </w:pPr>
      <w:r>
        <w:rPr>
          <w:sz w:val="20"/>
        </w:rPr>
        <w:t xml:space="preserve">3. Ежегодно не позднее 1 февраля соответствующего года организации инфраструктуры поддержки представляют в Мининвест Московской области сведения по форме согласно </w:t>
      </w:r>
      <w:hyperlink w:history="0" w:anchor="P17421" w:tooltip="Сведения об организации, образующей инфраструктуру поддержки">
        <w:r>
          <w:rPr>
            <w:sz w:val="20"/>
            <w:color w:val="0000ff"/>
          </w:rPr>
          <w:t xml:space="preserve">таблице 1</w:t>
        </w:r>
      </w:hyperlink>
      <w:r>
        <w:rPr>
          <w:sz w:val="20"/>
        </w:rPr>
        <w:t xml:space="preserve"> к настоящим требованиям.</w:t>
      </w:r>
    </w:p>
    <w:p>
      <w:pPr>
        <w:pStyle w:val="0"/>
        <w:spacing w:before="200" w:line-rule="auto"/>
        <w:ind w:firstLine="540"/>
        <w:jc w:val="both"/>
      </w:pPr>
      <w:r>
        <w:rPr>
          <w:sz w:val="20"/>
        </w:rPr>
        <w:t xml:space="preserve">4. Показатели эффективности деятельности организациям, образующим инфраструктуру поддержки субъектов МСП, устанавливаются в государственных программах (подпрограммах) Российской Федерации, государственных программах (подпрограммах) Московской области, а также национальных проектах (программах), целевых моделях в сфере поддержки МСП, соглашениях, заключаемых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и высшим исполнительным органом Московской области, о предоставлении субсидии.</w:t>
      </w:r>
    </w:p>
    <w:p>
      <w:pPr>
        <w:pStyle w:val="0"/>
        <w:jc w:val="both"/>
      </w:pPr>
      <w:r>
        <w:rPr>
          <w:sz w:val="20"/>
        </w:rPr>
        <w:t xml:space="preserve">(в ред. </w:t>
      </w:r>
      <w:hyperlink w:history="0" r:id="rId822" w:tooltip="Постановление Правительства МО от 31.10.2023 N 100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31.10.2023 N 1003-ПП)</w:t>
      </w:r>
    </w:p>
    <w:p>
      <w:pPr>
        <w:pStyle w:val="0"/>
        <w:spacing w:before="200" w:line-rule="auto"/>
        <w:ind w:firstLine="540"/>
        <w:jc w:val="both"/>
      </w:pPr>
      <w:r>
        <w:rPr>
          <w:sz w:val="20"/>
        </w:rPr>
        <w:t xml:space="preserve">5. Организации инфраструктуры поддержки обеспечивают формирование и ведение в электронном виде реестра оказываемых услуг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r>
    </w:p>
    <w:p>
      <w:pPr>
        <w:pStyle w:val="0"/>
        <w:outlineLvl w:val="3"/>
        <w:jc w:val="right"/>
      </w:pPr>
      <w:r>
        <w:rPr>
          <w:sz w:val="20"/>
        </w:rPr>
        <w:t xml:space="preserve">Таблица 1</w:t>
      </w:r>
    </w:p>
    <w:p>
      <w:pPr>
        <w:pStyle w:val="0"/>
        <w:jc w:val="both"/>
      </w:pPr>
      <w:r>
        <w:rPr>
          <w:sz w:val="20"/>
        </w:rPr>
      </w:r>
    </w:p>
    <w:p>
      <w:pPr>
        <w:pStyle w:val="0"/>
        <w:jc w:val="right"/>
      </w:pPr>
      <w:r>
        <w:rPr>
          <w:sz w:val="20"/>
        </w:rPr>
        <w:t xml:space="preserve">Форма</w:t>
      </w:r>
    </w:p>
    <w:p>
      <w:pPr>
        <w:pStyle w:val="0"/>
        <w:jc w:val="both"/>
      </w:pPr>
      <w:r>
        <w:rPr>
          <w:sz w:val="20"/>
        </w:rPr>
      </w:r>
    </w:p>
    <w:bookmarkStart w:id="17421" w:name="P17421"/>
    <w:bookmarkEnd w:id="17421"/>
    <w:p>
      <w:pPr>
        <w:pStyle w:val="0"/>
        <w:jc w:val="center"/>
      </w:pPr>
      <w:r>
        <w:rPr>
          <w:sz w:val="20"/>
        </w:rPr>
        <w:t xml:space="preserve">Сведения об организации, образующей инфраструктуру поддержки</w:t>
      </w:r>
    </w:p>
    <w:p>
      <w:pPr>
        <w:pStyle w:val="0"/>
        <w:jc w:val="center"/>
      </w:pPr>
      <w:r>
        <w:rPr>
          <w:sz w:val="20"/>
        </w:rPr>
        <w:t xml:space="preserve">субъектов МСП Московской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2800"/>
        <w:gridCol w:w="1912"/>
        <w:gridCol w:w="2428"/>
        <w:gridCol w:w="1960"/>
        <w:gridCol w:w="2104"/>
        <w:gridCol w:w="2128"/>
        <w:gridCol w:w="832"/>
        <w:gridCol w:w="1480"/>
        <w:gridCol w:w="1528"/>
        <w:gridCol w:w="1744"/>
        <w:gridCol w:w="1204"/>
        <w:gridCol w:w="1744"/>
        <w:gridCol w:w="1204"/>
        <w:gridCol w:w="1744"/>
        <w:gridCol w:w="1204"/>
        <w:gridCol w:w="1216"/>
        <w:gridCol w:w="2152"/>
      </w:tblGrid>
      <w:tr>
        <w:tc>
          <w:tcPr>
            <w:tcW w:w="460" w:type="dxa"/>
            <w:vMerge w:val="restart"/>
          </w:tcPr>
          <w:p>
            <w:pPr>
              <w:pStyle w:val="0"/>
              <w:jc w:val="center"/>
            </w:pPr>
            <w:r>
              <w:rPr>
                <w:sz w:val="20"/>
              </w:rPr>
              <w:t xml:space="preserve">N п/п</w:t>
            </w:r>
          </w:p>
        </w:tc>
        <w:tc>
          <w:tcPr>
            <w:tcW w:w="2800" w:type="dxa"/>
            <w:vMerge w:val="restart"/>
          </w:tcPr>
          <w:p>
            <w:pPr>
              <w:pStyle w:val="0"/>
              <w:jc w:val="center"/>
            </w:pPr>
            <w:r>
              <w:rPr>
                <w:sz w:val="20"/>
              </w:rPr>
              <w:t xml:space="preserve">Полное наименование организации, образующей инфраструктуру поддержки субъектов МСП или имеющей право в соответствии с федеральными законами выполнять функции организаций, образующих инфраструктуру поддержки субъектов МСП (далее - организация инфраструктуры поддержки), и ее организационно-правовая форма</w:t>
            </w:r>
          </w:p>
        </w:tc>
        <w:tc>
          <w:tcPr>
            <w:tcW w:w="1912" w:type="dxa"/>
            <w:vMerge w:val="restart"/>
          </w:tcPr>
          <w:p>
            <w:pPr>
              <w:pStyle w:val="0"/>
              <w:jc w:val="center"/>
            </w:pPr>
            <w:r>
              <w:rPr>
                <w:sz w:val="20"/>
              </w:rPr>
              <w:t xml:space="preserve">Сокращенное наименование организации инфраструктуры поддержки (при наличии)</w:t>
            </w:r>
          </w:p>
        </w:tc>
        <w:tc>
          <w:tcPr>
            <w:tcW w:w="2428" w:type="dxa"/>
            <w:vMerge w:val="restart"/>
          </w:tcPr>
          <w:p>
            <w:pPr>
              <w:pStyle w:val="0"/>
              <w:jc w:val="center"/>
            </w:pPr>
            <w:r>
              <w:rPr>
                <w:sz w:val="20"/>
              </w:rPr>
              <w:t xml:space="preserve">Идентификационный номер налогоплательщика организации инфраструктуры поддержки</w:t>
            </w:r>
          </w:p>
        </w:tc>
        <w:tc>
          <w:tcPr>
            <w:tcW w:w="1960" w:type="dxa"/>
            <w:vMerge w:val="restart"/>
          </w:tcPr>
          <w:p>
            <w:pPr>
              <w:pStyle w:val="0"/>
              <w:jc w:val="center"/>
            </w:pPr>
            <w:r>
              <w:rPr>
                <w:sz w:val="20"/>
              </w:rPr>
              <w:t xml:space="preserve">Основной государственный регистрационный номер организации инфраструктуры поддержки; дата внесения сведений об организации инфраструктуры поддержки в единый государственный реестр юридических лиц</w:t>
            </w:r>
          </w:p>
        </w:tc>
        <w:tc>
          <w:tcPr>
            <w:tcW w:w="2104" w:type="dxa"/>
            <w:vMerge w:val="restart"/>
          </w:tcPr>
          <w:p>
            <w:pPr>
              <w:pStyle w:val="0"/>
              <w:jc w:val="center"/>
            </w:pPr>
            <w:r>
              <w:rPr>
                <w:sz w:val="20"/>
              </w:rPr>
              <w:t xml:space="preserve">Адрес в пределах местонахождения, указанный в едином государственном реестре юридических лиц</w:t>
            </w:r>
          </w:p>
        </w:tc>
        <w:tc>
          <w:tcPr>
            <w:tcW w:w="2128" w:type="dxa"/>
            <w:vMerge w:val="restart"/>
          </w:tcPr>
          <w:p>
            <w:pPr>
              <w:pStyle w:val="0"/>
              <w:jc w:val="center"/>
            </w:pPr>
            <w:r>
              <w:rPr>
                <w:sz w:val="20"/>
              </w:rPr>
              <w:t xml:space="preserve">Адрес для направления корреспонденции</w:t>
            </w:r>
          </w:p>
        </w:tc>
        <w:tc>
          <w:tcPr>
            <w:gridSpan w:val="3"/>
            <w:tcW w:w="3840" w:type="dxa"/>
          </w:tcPr>
          <w:p>
            <w:pPr>
              <w:pStyle w:val="0"/>
              <w:jc w:val="center"/>
            </w:pPr>
            <w:r>
              <w:rPr>
                <w:sz w:val="20"/>
              </w:rPr>
              <w:t xml:space="preserve">Контактная информация руководителя организации инфраструктуры поддержки</w:t>
            </w:r>
          </w:p>
        </w:tc>
        <w:tc>
          <w:tcPr>
            <w:gridSpan w:val="2"/>
            <w:tcW w:w="2948" w:type="dxa"/>
          </w:tcPr>
          <w:p>
            <w:pPr>
              <w:pStyle w:val="0"/>
              <w:jc w:val="center"/>
            </w:pPr>
            <w:r>
              <w:rPr>
                <w:sz w:val="20"/>
              </w:rPr>
              <w:t xml:space="preserve">Реквизиты закона (решения) о бюджете, предусматривающего выделение бюджетных ассигнований из федерального бюджета и (или) бюджета субъекта Российской Федерации и (или) местного бюджета на создание организации инфраструктуры поддержки</w:t>
            </w:r>
          </w:p>
        </w:tc>
        <w:tc>
          <w:tcPr>
            <w:gridSpan w:val="2"/>
            <w:tcW w:w="2948" w:type="dxa"/>
          </w:tcPr>
          <w:p>
            <w:pPr>
              <w:pStyle w:val="0"/>
              <w:jc w:val="center"/>
            </w:pPr>
            <w:r>
              <w:rPr>
                <w:sz w:val="20"/>
              </w:rPr>
              <w:t xml:space="preserve">Реквизиты государственной (муниципальной) программы (подпрограммы), иной программы развития МСП, предусматривающей создание организации инфраструктуры поддержки полностью или частично за счет средств федерального бюджета и (или) бюджетов субъектов Российской Федерации и (или) местных бюджетов</w:t>
            </w:r>
          </w:p>
        </w:tc>
        <w:tc>
          <w:tcPr>
            <w:gridSpan w:val="2"/>
            <w:tcW w:w="2948" w:type="dxa"/>
          </w:tcPr>
          <w:p>
            <w:pPr>
              <w:pStyle w:val="0"/>
              <w:jc w:val="center"/>
            </w:pPr>
            <w:r>
              <w:rPr>
                <w:sz w:val="20"/>
              </w:rPr>
              <w:t xml:space="preserve">Реквизиты закона, иного нормативного правового акта, устанавливающего требования к организации инфраструктуры поддержки либо предусматривающего право организации выполнять функции организаций инфраструктуры поддержки</w:t>
            </w:r>
          </w:p>
        </w:tc>
        <w:tc>
          <w:tcPr>
            <w:gridSpan w:val="2"/>
            <w:tcW w:w="3368" w:type="dxa"/>
          </w:tcPr>
          <w:p>
            <w:pPr>
              <w:pStyle w:val="0"/>
              <w:jc w:val="center"/>
            </w:pPr>
            <w:r>
              <w:rPr>
                <w:sz w:val="20"/>
              </w:rPr>
              <w:t xml:space="preserve">Реквизиты сертификатов соответствия, подтверждающих соответствие организации инфраструктуры поддержки установленным требованиям</w:t>
            </w:r>
          </w:p>
          <w:p>
            <w:pPr>
              <w:pStyle w:val="0"/>
              <w:jc w:val="center"/>
            </w:pPr>
            <w:r>
              <w:rPr>
                <w:sz w:val="20"/>
              </w:rPr>
              <w:t xml:space="preserve">(при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32" w:type="dxa"/>
          </w:tcPr>
          <w:p>
            <w:pPr>
              <w:pStyle w:val="0"/>
              <w:jc w:val="center"/>
            </w:pPr>
            <w:r>
              <w:rPr>
                <w:sz w:val="20"/>
              </w:rPr>
              <w:t xml:space="preserve">Ф.И.О.</w:t>
            </w:r>
          </w:p>
        </w:tc>
        <w:tc>
          <w:tcPr>
            <w:tcW w:w="1480" w:type="dxa"/>
          </w:tcPr>
          <w:p>
            <w:pPr>
              <w:pStyle w:val="0"/>
              <w:jc w:val="center"/>
            </w:pPr>
            <w:r>
              <w:rPr>
                <w:sz w:val="20"/>
              </w:rPr>
              <w:t xml:space="preserve">Контактный телефон</w:t>
            </w:r>
          </w:p>
        </w:tc>
        <w:tc>
          <w:tcPr>
            <w:tcW w:w="1528" w:type="dxa"/>
          </w:tcPr>
          <w:p>
            <w:pPr>
              <w:pStyle w:val="0"/>
              <w:jc w:val="center"/>
            </w:pPr>
            <w:r>
              <w:rPr>
                <w:sz w:val="20"/>
              </w:rPr>
              <w:t xml:space="preserve">Адрес электронной почты</w:t>
            </w:r>
          </w:p>
        </w:tc>
        <w:tc>
          <w:tcPr>
            <w:tcW w:w="1744" w:type="dxa"/>
          </w:tcPr>
          <w:p>
            <w:pPr>
              <w:pStyle w:val="0"/>
              <w:jc w:val="center"/>
            </w:pPr>
            <w:r>
              <w:rPr>
                <w:sz w:val="20"/>
              </w:rPr>
              <w:t xml:space="preserve">Реквизиты документа (вид, наименование, дата, номер)</w:t>
            </w:r>
          </w:p>
        </w:tc>
        <w:tc>
          <w:tcPr>
            <w:tcW w:w="1204" w:type="dxa"/>
          </w:tcPr>
          <w:p>
            <w:pPr>
              <w:pStyle w:val="0"/>
              <w:jc w:val="center"/>
            </w:pPr>
            <w:r>
              <w:rPr>
                <w:sz w:val="20"/>
              </w:rPr>
              <w:t xml:space="preserve">Номер пункта/статьи/части документа</w:t>
            </w:r>
          </w:p>
        </w:tc>
        <w:tc>
          <w:tcPr>
            <w:tcW w:w="1744" w:type="dxa"/>
          </w:tcPr>
          <w:p>
            <w:pPr>
              <w:pStyle w:val="0"/>
              <w:jc w:val="center"/>
            </w:pPr>
            <w:r>
              <w:rPr>
                <w:sz w:val="20"/>
              </w:rPr>
              <w:t xml:space="preserve">Реквизиты документа (вид, наименование, дата, номер)</w:t>
            </w:r>
          </w:p>
        </w:tc>
        <w:tc>
          <w:tcPr>
            <w:tcW w:w="1204" w:type="dxa"/>
          </w:tcPr>
          <w:p>
            <w:pPr>
              <w:pStyle w:val="0"/>
              <w:jc w:val="center"/>
            </w:pPr>
            <w:r>
              <w:rPr>
                <w:sz w:val="20"/>
              </w:rPr>
              <w:t xml:space="preserve">Номер пункта/статьи/части документа</w:t>
            </w:r>
          </w:p>
        </w:tc>
        <w:tc>
          <w:tcPr>
            <w:tcW w:w="1744" w:type="dxa"/>
          </w:tcPr>
          <w:p>
            <w:pPr>
              <w:pStyle w:val="0"/>
              <w:jc w:val="center"/>
            </w:pPr>
            <w:r>
              <w:rPr>
                <w:sz w:val="20"/>
              </w:rPr>
              <w:t xml:space="preserve">Реквизиты документа (вид, наименование, дата, номер)</w:t>
            </w:r>
          </w:p>
        </w:tc>
        <w:tc>
          <w:tcPr>
            <w:tcW w:w="1204" w:type="dxa"/>
          </w:tcPr>
          <w:p>
            <w:pPr>
              <w:pStyle w:val="0"/>
              <w:jc w:val="center"/>
            </w:pPr>
            <w:r>
              <w:rPr>
                <w:sz w:val="20"/>
              </w:rPr>
              <w:t xml:space="preserve">Номер пункта/статьи/части документа</w:t>
            </w:r>
          </w:p>
        </w:tc>
        <w:tc>
          <w:tcPr>
            <w:tcW w:w="1216" w:type="dxa"/>
          </w:tcPr>
          <w:p>
            <w:pPr>
              <w:pStyle w:val="0"/>
              <w:jc w:val="center"/>
            </w:pPr>
            <w:r>
              <w:rPr>
                <w:sz w:val="20"/>
              </w:rPr>
              <w:t xml:space="preserve">Реквизиты документа (дата, номер)</w:t>
            </w:r>
          </w:p>
        </w:tc>
        <w:tc>
          <w:tcPr>
            <w:tcW w:w="2152" w:type="dxa"/>
          </w:tcPr>
          <w:p>
            <w:pPr>
              <w:pStyle w:val="0"/>
              <w:jc w:val="center"/>
            </w:pPr>
            <w:r>
              <w:rPr>
                <w:sz w:val="20"/>
              </w:rPr>
              <w:t xml:space="preserve">Полное наименование сертифицирующей организации</w:t>
            </w:r>
          </w:p>
        </w:tc>
      </w:tr>
      <w:tr>
        <w:tc>
          <w:tcPr>
            <w:tcW w:w="460" w:type="dxa"/>
            <w:vAlign w:val="center"/>
          </w:tcPr>
          <w:p>
            <w:pPr>
              <w:pStyle w:val="0"/>
              <w:jc w:val="center"/>
            </w:pPr>
            <w:r>
              <w:rPr>
                <w:sz w:val="20"/>
              </w:rPr>
              <w:t xml:space="preserve">1</w:t>
            </w:r>
          </w:p>
        </w:tc>
        <w:tc>
          <w:tcPr>
            <w:tcW w:w="2800" w:type="dxa"/>
            <w:vAlign w:val="center"/>
          </w:tcPr>
          <w:p>
            <w:pPr>
              <w:pStyle w:val="0"/>
              <w:jc w:val="center"/>
            </w:pPr>
            <w:r>
              <w:rPr>
                <w:sz w:val="20"/>
              </w:rPr>
              <w:t xml:space="preserve">2</w:t>
            </w:r>
          </w:p>
        </w:tc>
        <w:tc>
          <w:tcPr>
            <w:tcW w:w="1912" w:type="dxa"/>
            <w:vAlign w:val="center"/>
          </w:tcPr>
          <w:p>
            <w:pPr>
              <w:pStyle w:val="0"/>
              <w:jc w:val="center"/>
            </w:pPr>
            <w:r>
              <w:rPr>
                <w:sz w:val="20"/>
              </w:rPr>
              <w:t xml:space="preserve">3</w:t>
            </w:r>
          </w:p>
        </w:tc>
        <w:tc>
          <w:tcPr>
            <w:tcW w:w="2428" w:type="dxa"/>
            <w:vAlign w:val="center"/>
          </w:tcPr>
          <w:p>
            <w:pPr>
              <w:pStyle w:val="0"/>
              <w:jc w:val="center"/>
            </w:pPr>
            <w:r>
              <w:rPr>
                <w:sz w:val="20"/>
              </w:rPr>
              <w:t xml:space="preserve">4</w:t>
            </w:r>
          </w:p>
        </w:tc>
        <w:tc>
          <w:tcPr>
            <w:tcW w:w="1960" w:type="dxa"/>
            <w:vAlign w:val="center"/>
          </w:tcPr>
          <w:p>
            <w:pPr>
              <w:pStyle w:val="0"/>
              <w:jc w:val="center"/>
            </w:pPr>
            <w:r>
              <w:rPr>
                <w:sz w:val="20"/>
              </w:rPr>
              <w:t xml:space="preserve">5</w:t>
            </w:r>
          </w:p>
        </w:tc>
        <w:tc>
          <w:tcPr>
            <w:tcW w:w="2104" w:type="dxa"/>
            <w:vAlign w:val="center"/>
          </w:tcPr>
          <w:p>
            <w:pPr>
              <w:pStyle w:val="0"/>
              <w:jc w:val="center"/>
            </w:pPr>
            <w:r>
              <w:rPr>
                <w:sz w:val="20"/>
              </w:rPr>
              <w:t xml:space="preserve">6</w:t>
            </w:r>
          </w:p>
        </w:tc>
        <w:tc>
          <w:tcPr>
            <w:tcW w:w="2128" w:type="dxa"/>
            <w:vAlign w:val="center"/>
          </w:tcPr>
          <w:p>
            <w:pPr>
              <w:pStyle w:val="0"/>
              <w:jc w:val="center"/>
            </w:pPr>
            <w:r>
              <w:rPr>
                <w:sz w:val="20"/>
              </w:rPr>
              <w:t xml:space="preserve">7</w:t>
            </w:r>
          </w:p>
        </w:tc>
        <w:tc>
          <w:tcPr>
            <w:tcW w:w="832" w:type="dxa"/>
            <w:vAlign w:val="center"/>
          </w:tcPr>
          <w:p>
            <w:pPr>
              <w:pStyle w:val="0"/>
              <w:jc w:val="center"/>
            </w:pPr>
            <w:r>
              <w:rPr>
                <w:sz w:val="20"/>
              </w:rPr>
              <w:t xml:space="preserve">8</w:t>
            </w:r>
          </w:p>
        </w:tc>
        <w:tc>
          <w:tcPr>
            <w:tcW w:w="1480" w:type="dxa"/>
            <w:vAlign w:val="center"/>
          </w:tcPr>
          <w:p>
            <w:pPr>
              <w:pStyle w:val="0"/>
              <w:jc w:val="center"/>
            </w:pPr>
            <w:r>
              <w:rPr>
                <w:sz w:val="20"/>
              </w:rPr>
              <w:t xml:space="preserve">9</w:t>
            </w:r>
          </w:p>
        </w:tc>
        <w:tc>
          <w:tcPr>
            <w:tcW w:w="1528" w:type="dxa"/>
            <w:vAlign w:val="center"/>
          </w:tcPr>
          <w:p>
            <w:pPr>
              <w:pStyle w:val="0"/>
              <w:jc w:val="center"/>
            </w:pPr>
            <w:r>
              <w:rPr>
                <w:sz w:val="20"/>
              </w:rPr>
              <w:t xml:space="preserve">10</w:t>
            </w:r>
          </w:p>
        </w:tc>
        <w:tc>
          <w:tcPr>
            <w:tcW w:w="1744" w:type="dxa"/>
            <w:vAlign w:val="center"/>
          </w:tcPr>
          <w:p>
            <w:pPr>
              <w:pStyle w:val="0"/>
              <w:jc w:val="center"/>
            </w:pPr>
            <w:r>
              <w:rPr>
                <w:sz w:val="20"/>
              </w:rPr>
              <w:t xml:space="preserve">11</w:t>
            </w:r>
          </w:p>
        </w:tc>
        <w:tc>
          <w:tcPr>
            <w:tcW w:w="1204" w:type="dxa"/>
            <w:vAlign w:val="center"/>
          </w:tcPr>
          <w:p>
            <w:pPr>
              <w:pStyle w:val="0"/>
              <w:jc w:val="center"/>
            </w:pPr>
            <w:r>
              <w:rPr>
                <w:sz w:val="20"/>
              </w:rPr>
              <w:t xml:space="preserve">12</w:t>
            </w:r>
          </w:p>
        </w:tc>
        <w:tc>
          <w:tcPr>
            <w:tcW w:w="1744" w:type="dxa"/>
            <w:vAlign w:val="center"/>
          </w:tcPr>
          <w:p>
            <w:pPr>
              <w:pStyle w:val="0"/>
              <w:jc w:val="center"/>
            </w:pPr>
            <w:r>
              <w:rPr>
                <w:sz w:val="20"/>
              </w:rPr>
              <w:t xml:space="preserve">13</w:t>
            </w:r>
          </w:p>
        </w:tc>
        <w:tc>
          <w:tcPr>
            <w:tcW w:w="1204" w:type="dxa"/>
            <w:vAlign w:val="center"/>
          </w:tcPr>
          <w:p>
            <w:pPr>
              <w:pStyle w:val="0"/>
              <w:jc w:val="center"/>
            </w:pPr>
            <w:r>
              <w:rPr>
                <w:sz w:val="20"/>
              </w:rPr>
              <w:t xml:space="preserve">14</w:t>
            </w:r>
          </w:p>
        </w:tc>
        <w:tc>
          <w:tcPr>
            <w:tcW w:w="1744" w:type="dxa"/>
            <w:vAlign w:val="center"/>
          </w:tcPr>
          <w:p>
            <w:pPr>
              <w:pStyle w:val="0"/>
              <w:jc w:val="center"/>
            </w:pPr>
            <w:r>
              <w:rPr>
                <w:sz w:val="20"/>
              </w:rPr>
              <w:t xml:space="preserve">15</w:t>
            </w:r>
          </w:p>
        </w:tc>
        <w:tc>
          <w:tcPr>
            <w:tcW w:w="1204" w:type="dxa"/>
            <w:vAlign w:val="center"/>
          </w:tcPr>
          <w:p>
            <w:pPr>
              <w:pStyle w:val="0"/>
              <w:jc w:val="center"/>
            </w:pPr>
            <w:r>
              <w:rPr>
                <w:sz w:val="20"/>
              </w:rPr>
              <w:t xml:space="preserve">16</w:t>
            </w:r>
          </w:p>
        </w:tc>
        <w:tc>
          <w:tcPr>
            <w:tcW w:w="1216" w:type="dxa"/>
            <w:vAlign w:val="center"/>
          </w:tcPr>
          <w:p>
            <w:pPr>
              <w:pStyle w:val="0"/>
              <w:jc w:val="center"/>
            </w:pPr>
            <w:r>
              <w:rPr>
                <w:sz w:val="20"/>
              </w:rPr>
              <w:t xml:space="preserve">17</w:t>
            </w:r>
          </w:p>
        </w:tc>
        <w:tc>
          <w:tcPr>
            <w:tcW w:w="2152" w:type="dxa"/>
            <w:vAlign w:val="center"/>
          </w:tcPr>
          <w:p>
            <w:pPr>
              <w:pStyle w:val="0"/>
              <w:jc w:val="center"/>
            </w:pPr>
            <w:r>
              <w:rPr>
                <w:sz w:val="20"/>
              </w:rPr>
              <w:t xml:space="preserve">18</w:t>
            </w:r>
          </w:p>
        </w:tc>
      </w:tr>
      <w:tr>
        <w:tc>
          <w:tcPr>
            <w:tcW w:w="460" w:type="dxa"/>
            <w:vAlign w:val="center"/>
          </w:tcPr>
          <w:p>
            <w:pPr>
              <w:pStyle w:val="0"/>
            </w:pPr>
            <w:r>
              <w:rPr>
                <w:sz w:val="20"/>
              </w:rPr>
            </w:r>
          </w:p>
        </w:tc>
        <w:tc>
          <w:tcPr>
            <w:tcW w:w="2800" w:type="dxa"/>
            <w:vAlign w:val="center"/>
          </w:tcPr>
          <w:p>
            <w:pPr>
              <w:pStyle w:val="0"/>
            </w:pPr>
            <w:r>
              <w:rPr>
                <w:sz w:val="20"/>
              </w:rPr>
            </w:r>
          </w:p>
        </w:tc>
        <w:tc>
          <w:tcPr>
            <w:tcW w:w="1912" w:type="dxa"/>
            <w:vAlign w:val="center"/>
          </w:tcPr>
          <w:p>
            <w:pPr>
              <w:pStyle w:val="0"/>
            </w:pPr>
            <w:r>
              <w:rPr>
                <w:sz w:val="20"/>
              </w:rPr>
            </w:r>
          </w:p>
        </w:tc>
        <w:tc>
          <w:tcPr>
            <w:tcW w:w="2428" w:type="dxa"/>
            <w:vAlign w:val="center"/>
          </w:tcPr>
          <w:p>
            <w:pPr>
              <w:pStyle w:val="0"/>
            </w:pPr>
            <w:r>
              <w:rPr>
                <w:sz w:val="20"/>
              </w:rPr>
            </w:r>
          </w:p>
        </w:tc>
        <w:tc>
          <w:tcPr>
            <w:tcW w:w="1960" w:type="dxa"/>
            <w:vAlign w:val="center"/>
          </w:tcPr>
          <w:p>
            <w:pPr>
              <w:pStyle w:val="0"/>
            </w:pPr>
            <w:r>
              <w:rPr>
                <w:sz w:val="20"/>
              </w:rPr>
            </w:r>
          </w:p>
        </w:tc>
        <w:tc>
          <w:tcPr>
            <w:tcW w:w="2104" w:type="dxa"/>
            <w:vAlign w:val="center"/>
          </w:tcPr>
          <w:p>
            <w:pPr>
              <w:pStyle w:val="0"/>
            </w:pPr>
            <w:r>
              <w:rPr>
                <w:sz w:val="20"/>
              </w:rPr>
            </w:r>
          </w:p>
        </w:tc>
        <w:tc>
          <w:tcPr>
            <w:tcW w:w="2128" w:type="dxa"/>
            <w:vAlign w:val="center"/>
          </w:tcPr>
          <w:p>
            <w:pPr>
              <w:pStyle w:val="0"/>
            </w:pPr>
            <w:r>
              <w:rPr>
                <w:sz w:val="20"/>
              </w:rPr>
            </w:r>
          </w:p>
        </w:tc>
        <w:tc>
          <w:tcPr>
            <w:tcW w:w="832" w:type="dxa"/>
            <w:vAlign w:val="center"/>
          </w:tcPr>
          <w:p>
            <w:pPr>
              <w:pStyle w:val="0"/>
            </w:pPr>
            <w:r>
              <w:rPr>
                <w:sz w:val="20"/>
              </w:rPr>
            </w:r>
          </w:p>
        </w:tc>
        <w:tc>
          <w:tcPr>
            <w:tcW w:w="1480" w:type="dxa"/>
            <w:vAlign w:val="center"/>
          </w:tcPr>
          <w:p>
            <w:pPr>
              <w:pStyle w:val="0"/>
            </w:pPr>
            <w:r>
              <w:rPr>
                <w:sz w:val="20"/>
              </w:rPr>
            </w:r>
          </w:p>
        </w:tc>
        <w:tc>
          <w:tcPr>
            <w:tcW w:w="1528"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216" w:type="dxa"/>
            <w:vAlign w:val="center"/>
          </w:tcPr>
          <w:p>
            <w:pPr>
              <w:pStyle w:val="0"/>
            </w:pPr>
            <w:r>
              <w:rPr>
                <w:sz w:val="20"/>
              </w:rPr>
            </w:r>
          </w:p>
        </w:tc>
        <w:tc>
          <w:tcPr>
            <w:tcW w:w="2152" w:type="dxa"/>
            <w:vAlign w:val="center"/>
          </w:tcPr>
          <w:p>
            <w:pPr>
              <w:pStyle w:val="0"/>
            </w:pPr>
            <w:r>
              <w:rPr>
                <w:sz w:val="20"/>
              </w:rPr>
            </w:r>
          </w:p>
        </w:tc>
      </w:tr>
      <w:tr>
        <w:tc>
          <w:tcPr>
            <w:tcW w:w="460" w:type="dxa"/>
            <w:vAlign w:val="center"/>
          </w:tcPr>
          <w:p>
            <w:pPr>
              <w:pStyle w:val="0"/>
            </w:pPr>
            <w:r>
              <w:rPr>
                <w:sz w:val="20"/>
              </w:rPr>
            </w:r>
          </w:p>
        </w:tc>
        <w:tc>
          <w:tcPr>
            <w:tcW w:w="2800" w:type="dxa"/>
            <w:vAlign w:val="center"/>
          </w:tcPr>
          <w:p>
            <w:pPr>
              <w:pStyle w:val="0"/>
            </w:pPr>
            <w:r>
              <w:rPr>
                <w:sz w:val="20"/>
              </w:rPr>
            </w:r>
          </w:p>
        </w:tc>
        <w:tc>
          <w:tcPr>
            <w:tcW w:w="1912" w:type="dxa"/>
            <w:vAlign w:val="center"/>
          </w:tcPr>
          <w:p>
            <w:pPr>
              <w:pStyle w:val="0"/>
            </w:pPr>
            <w:r>
              <w:rPr>
                <w:sz w:val="20"/>
              </w:rPr>
            </w:r>
          </w:p>
        </w:tc>
        <w:tc>
          <w:tcPr>
            <w:tcW w:w="2428" w:type="dxa"/>
            <w:vAlign w:val="center"/>
          </w:tcPr>
          <w:p>
            <w:pPr>
              <w:pStyle w:val="0"/>
            </w:pPr>
            <w:r>
              <w:rPr>
                <w:sz w:val="20"/>
              </w:rPr>
            </w:r>
          </w:p>
        </w:tc>
        <w:tc>
          <w:tcPr>
            <w:tcW w:w="1960" w:type="dxa"/>
            <w:vAlign w:val="center"/>
          </w:tcPr>
          <w:p>
            <w:pPr>
              <w:pStyle w:val="0"/>
            </w:pPr>
            <w:r>
              <w:rPr>
                <w:sz w:val="20"/>
              </w:rPr>
            </w:r>
          </w:p>
        </w:tc>
        <w:tc>
          <w:tcPr>
            <w:tcW w:w="2104" w:type="dxa"/>
            <w:vAlign w:val="center"/>
          </w:tcPr>
          <w:p>
            <w:pPr>
              <w:pStyle w:val="0"/>
            </w:pPr>
            <w:r>
              <w:rPr>
                <w:sz w:val="20"/>
              </w:rPr>
            </w:r>
          </w:p>
        </w:tc>
        <w:tc>
          <w:tcPr>
            <w:tcW w:w="2128" w:type="dxa"/>
            <w:vAlign w:val="center"/>
          </w:tcPr>
          <w:p>
            <w:pPr>
              <w:pStyle w:val="0"/>
            </w:pPr>
            <w:r>
              <w:rPr>
                <w:sz w:val="20"/>
              </w:rPr>
            </w:r>
          </w:p>
        </w:tc>
        <w:tc>
          <w:tcPr>
            <w:tcW w:w="832" w:type="dxa"/>
            <w:vAlign w:val="center"/>
          </w:tcPr>
          <w:p>
            <w:pPr>
              <w:pStyle w:val="0"/>
            </w:pPr>
            <w:r>
              <w:rPr>
                <w:sz w:val="20"/>
              </w:rPr>
            </w:r>
          </w:p>
        </w:tc>
        <w:tc>
          <w:tcPr>
            <w:tcW w:w="1480" w:type="dxa"/>
            <w:vAlign w:val="center"/>
          </w:tcPr>
          <w:p>
            <w:pPr>
              <w:pStyle w:val="0"/>
            </w:pPr>
            <w:r>
              <w:rPr>
                <w:sz w:val="20"/>
              </w:rPr>
            </w:r>
          </w:p>
        </w:tc>
        <w:tc>
          <w:tcPr>
            <w:tcW w:w="1528"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744" w:type="dxa"/>
            <w:vAlign w:val="center"/>
          </w:tcPr>
          <w:p>
            <w:pPr>
              <w:pStyle w:val="0"/>
            </w:pPr>
            <w:r>
              <w:rPr>
                <w:sz w:val="20"/>
              </w:rPr>
            </w:r>
          </w:p>
        </w:tc>
        <w:tc>
          <w:tcPr>
            <w:tcW w:w="1204" w:type="dxa"/>
            <w:vAlign w:val="center"/>
          </w:tcPr>
          <w:p>
            <w:pPr>
              <w:pStyle w:val="0"/>
            </w:pPr>
            <w:r>
              <w:rPr>
                <w:sz w:val="20"/>
              </w:rPr>
            </w:r>
          </w:p>
        </w:tc>
        <w:tc>
          <w:tcPr>
            <w:tcW w:w="1216" w:type="dxa"/>
            <w:vAlign w:val="center"/>
          </w:tcPr>
          <w:p>
            <w:pPr>
              <w:pStyle w:val="0"/>
            </w:pPr>
            <w:r>
              <w:rPr>
                <w:sz w:val="20"/>
              </w:rPr>
            </w:r>
          </w:p>
        </w:tc>
        <w:tc>
          <w:tcPr>
            <w:tcW w:w="2152" w:type="dxa"/>
            <w:vAlign w:val="center"/>
          </w:tcPr>
          <w:p>
            <w:pPr>
              <w:pStyle w:val="0"/>
            </w:pPr>
            <w:r>
              <w:rPr>
                <w:sz w:val="20"/>
              </w:rPr>
            </w: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bookmarkStart w:id="17503" w:name="P17503"/>
    <w:bookmarkEnd w:id="17503"/>
    <w:p>
      <w:pPr>
        <w:pStyle w:val="2"/>
        <w:outlineLvl w:val="2"/>
        <w:jc w:val="center"/>
      </w:pPr>
      <w:r>
        <w:rPr>
          <w:sz w:val="20"/>
        </w:rPr>
        <w:t xml:space="preserve">7.5. Порядок принятия решения о наличии потребности</w:t>
      </w:r>
    </w:p>
    <w:p>
      <w:pPr>
        <w:pStyle w:val="2"/>
        <w:jc w:val="center"/>
      </w:pPr>
      <w:r>
        <w:rPr>
          <w:sz w:val="20"/>
        </w:rPr>
        <w:t xml:space="preserve">в не использованных в отчетном финансовом году остатках</w:t>
      </w:r>
    </w:p>
    <w:p>
      <w:pPr>
        <w:pStyle w:val="2"/>
        <w:jc w:val="center"/>
      </w:pPr>
      <w:r>
        <w:rPr>
          <w:sz w:val="20"/>
        </w:rPr>
        <w:t xml:space="preserve">субсидий, в том числе грантов в форме субсидий, или</w:t>
      </w:r>
    </w:p>
    <w:p>
      <w:pPr>
        <w:pStyle w:val="2"/>
        <w:jc w:val="center"/>
      </w:pPr>
      <w:r>
        <w:rPr>
          <w:sz w:val="20"/>
        </w:rPr>
        <w:t xml:space="preserve">о возврате указанных средств, предоставленных из бюджета</w:t>
      </w:r>
    </w:p>
    <w:p>
      <w:pPr>
        <w:pStyle w:val="2"/>
        <w:jc w:val="center"/>
      </w:pPr>
      <w:r>
        <w:rPr>
          <w:sz w:val="20"/>
        </w:rPr>
        <w:t xml:space="preserve">Московской области на финансовое обеспечение затрат в рамках</w:t>
      </w:r>
    </w:p>
    <w:p>
      <w:pPr>
        <w:pStyle w:val="2"/>
        <w:jc w:val="center"/>
      </w:pPr>
      <w:r>
        <w:rPr>
          <w:sz w:val="20"/>
        </w:rPr>
        <w:t xml:space="preserve">реализации мероприятий Подпрограммы 3</w:t>
      </w:r>
    </w:p>
    <w:p>
      <w:pPr>
        <w:pStyle w:val="2"/>
        <w:jc w:val="center"/>
      </w:pPr>
      <w:r>
        <w:rPr>
          <w:sz w:val="20"/>
        </w:rPr>
        <w:t xml:space="preserve">государственной программы</w:t>
      </w:r>
    </w:p>
    <w:p>
      <w:pPr>
        <w:pStyle w:val="0"/>
        <w:jc w:val="center"/>
      </w:pPr>
      <w:r>
        <w:rPr>
          <w:sz w:val="20"/>
        </w:rPr>
      </w:r>
    </w:p>
    <w:p>
      <w:pPr>
        <w:pStyle w:val="0"/>
        <w:jc w:val="center"/>
      </w:pPr>
      <w:r>
        <w:rPr>
          <w:sz w:val="20"/>
        </w:rPr>
        <w:t xml:space="preserve">(в ред. </w:t>
      </w:r>
      <w:hyperlink w:history="0" r:id="rId823" w:tooltip="Постановление Правительства МО от 12.02.2024 N 104-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12.02.2024 N 104-ПП)</w:t>
      </w:r>
    </w:p>
    <w:p>
      <w:pPr>
        <w:pStyle w:val="0"/>
        <w:jc w:val="both"/>
      </w:pPr>
      <w:r>
        <w:rPr>
          <w:sz w:val="20"/>
        </w:rPr>
      </w:r>
    </w:p>
    <w:p>
      <w:pPr>
        <w:pStyle w:val="0"/>
        <w:ind w:firstLine="540"/>
        <w:jc w:val="both"/>
      </w:pPr>
      <w:r>
        <w:rPr>
          <w:sz w:val="20"/>
        </w:rPr>
        <w:t xml:space="preserve">1. Настоящий порядок определяет правила принятия Мининвестом Московской области решения о наличии потребности в не использованных в отчетном финансовом году остатках субсидий, в том числе грантов в форме субсидий, предоставленных из бюджета Московской области получателям субсидий в рамках реализации мероприятий Подпрограммы 3 государственной программы в соответствии с </w:t>
      </w:r>
      <w:hyperlink w:history="0" r:id="rId8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пунктами 1</w:t>
        </w:r>
      </w:hyperlink>
      <w:r>
        <w:rPr>
          <w:sz w:val="20"/>
        </w:rPr>
        <w:t xml:space="preserve"> и </w:t>
      </w:r>
      <w:hyperlink w:history="0" r:id="rId82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7 статьи 78</w:t>
        </w:r>
      </w:hyperlink>
      <w:r>
        <w:rPr>
          <w:sz w:val="20"/>
        </w:rPr>
        <w:t xml:space="preserve">, </w:t>
      </w:r>
      <w:hyperlink w:history="0" r:id="rId8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пунктами 2</w:t>
        </w:r>
      </w:hyperlink>
      <w:r>
        <w:rPr>
          <w:sz w:val="20"/>
        </w:rPr>
        <w:t xml:space="preserve"> и </w:t>
      </w:r>
      <w:hyperlink w:history="0" r:id="rId8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4 статьи 78.1</w:t>
        </w:r>
      </w:hyperlink>
      <w:r>
        <w:rPr>
          <w:sz w:val="20"/>
        </w:rPr>
        <w:t xml:space="preserve"> Бюджетного кодекса Российской Федерации на финансовое обеспечение затрат (далее - Порядок, субсидия, остаток субсидии, получатель субсидии, наличие потребности), или о возврате остатков субсидий в бюджет Московской области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(далее - возврат остатка субсидии).</w:t>
      </w:r>
    </w:p>
    <w:p>
      <w:pPr>
        <w:pStyle w:val="0"/>
        <w:spacing w:before="200" w:line-rule="auto"/>
        <w:ind w:firstLine="540"/>
        <w:jc w:val="both"/>
      </w:pPr>
      <w:r>
        <w:rPr>
          <w:sz w:val="20"/>
        </w:rPr>
        <w:t xml:space="preserve">Положения настоящего Порядка применяются при наличии потребности в случае, если возможность использования остатков субсидии установлена порядком предоставления субсидий из бюджета Московской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Подпрограммы 3 государственной программы (далее - порядок предоставления субсидии) и соглашениями о предоставлении субсидий из бюджета Московской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(далее - соглашение о предоставлении субсидии).</w:t>
      </w:r>
    </w:p>
    <w:p>
      <w:pPr>
        <w:pStyle w:val="0"/>
        <w:spacing w:before="200" w:line-rule="auto"/>
        <w:ind w:firstLine="540"/>
        <w:jc w:val="both"/>
      </w:pPr>
      <w:r>
        <w:rPr>
          <w:sz w:val="20"/>
        </w:rPr>
        <w:t xml:space="preserve">Решение о наличии потребности в использовании остатков субсидии прошлых лет, предшествующих отчетному финансовому году, не принимается. Указанные остатки субсидии прошлых лет, предшествующих отчетному финансовому году, подлежат возврату в доход бюджета Московской области.</w:t>
      </w:r>
    </w:p>
    <w:p>
      <w:pPr>
        <w:pStyle w:val="0"/>
        <w:spacing w:before="200" w:line-rule="auto"/>
        <w:ind w:firstLine="540"/>
        <w:jc w:val="both"/>
      </w:pPr>
      <w:r>
        <w:rPr>
          <w:sz w:val="20"/>
        </w:rPr>
        <w:t xml:space="preserve">2. В отношении субсидий, частично или полностью предоставляемых за счет средств федерального бюджета, настоящий Порядок применяется в части, не противоречащей нормативным правовым актам Российской Федерации, устанавливающим порядок и условия предоставления средств из федерального бюджета, а также положениям заключенных в соответствии с ними соглашений о предоставлении субсидии.</w:t>
      </w:r>
    </w:p>
    <w:bookmarkStart w:id="17518" w:name="P17518"/>
    <w:bookmarkEnd w:id="17518"/>
    <w:p>
      <w:pPr>
        <w:pStyle w:val="0"/>
        <w:spacing w:before="200" w:line-rule="auto"/>
        <w:ind w:firstLine="540"/>
        <w:jc w:val="both"/>
      </w:pPr>
      <w:r>
        <w:rPr>
          <w:sz w:val="20"/>
        </w:rPr>
        <w:t xml:space="preserve">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w:t>
      </w:r>
    </w:p>
    <w:p>
      <w:pPr>
        <w:pStyle w:val="0"/>
        <w:jc w:val="both"/>
      </w:pPr>
      <w:r>
        <w:rPr>
          <w:sz w:val="20"/>
        </w:rPr>
        <w:t xml:space="preserve">(в ред. </w:t>
      </w:r>
      <w:hyperlink w:history="0" r:id="rId828" w:tooltip="Постановление Правительства МО от 08.10.2024 N 1223-ПП &quot;О внесении изменений в государственную программу Московской области &quot;Предпринимательство Подмосковья&quot; на 2023-2027 годы&quot; {КонсультантПлюс}">
        <w:r>
          <w:rPr>
            <w:sz w:val="20"/>
            <w:color w:val="0000ff"/>
          </w:rPr>
          <w:t xml:space="preserve">постановления</w:t>
        </w:r>
      </w:hyperlink>
      <w:r>
        <w:rPr>
          <w:sz w:val="20"/>
        </w:rPr>
        <w:t xml:space="preserve"> Правительства МО от 08.10.2024 N 1223-ПП)</w:t>
      </w:r>
    </w:p>
    <w:p>
      <w:pPr>
        <w:pStyle w:val="0"/>
        <w:spacing w:before="200" w:line-rule="auto"/>
        <w:ind w:firstLine="540"/>
        <w:jc w:val="both"/>
      </w:pPr>
      <w:r>
        <w:rPr>
          <w:sz w:val="20"/>
        </w:rPr>
        <w:t xml:space="preserve">1) сформированный получателем субсидии по состоянию на 1 января текущего финансового года отчет о расходах получателя субсидии, источником финансового обеспечения которых является субсидия;</w:t>
      </w:r>
    </w:p>
    <w:p>
      <w:pPr>
        <w:pStyle w:val="0"/>
        <w:spacing w:before="200" w:line-rule="auto"/>
        <w:ind w:firstLine="540"/>
        <w:jc w:val="both"/>
      </w:pPr>
      <w:r>
        <w:rPr>
          <w:sz w:val="20"/>
        </w:rPr>
        <w:t xml:space="preserve">2) пояснительную записку, содержащую:</w:t>
      </w:r>
    </w:p>
    <w:p>
      <w:pPr>
        <w:pStyle w:val="0"/>
        <w:spacing w:before="200" w:line-rule="auto"/>
        <w:ind w:firstLine="540"/>
        <w:jc w:val="both"/>
      </w:pPr>
      <w:r>
        <w:rPr>
          <w:sz w:val="20"/>
        </w:rPr>
        <w:t xml:space="preserve">сведения об объемах остатков субсидии;</w:t>
      </w:r>
    </w:p>
    <w:p>
      <w:pPr>
        <w:pStyle w:val="0"/>
        <w:spacing w:before="200" w:line-rule="auto"/>
        <w:ind w:firstLine="540"/>
        <w:jc w:val="both"/>
      </w:pPr>
      <w:r>
        <w:rPr>
          <w:sz w:val="20"/>
        </w:rPr>
        <w:t xml:space="preserve">причины образования остатков субсидии;</w:t>
      </w:r>
    </w:p>
    <w:p>
      <w:pPr>
        <w:pStyle w:val="0"/>
        <w:spacing w:before="200" w:line-rule="auto"/>
        <w:ind w:firstLine="540"/>
        <w:jc w:val="both"/>
      </w:pPr>
      <w:r>
        <w:rPr>
          <w:sz w:val="20"/>
        </w:rPr>
        <w:t xml:space="preserve">обоснование потребности в использовании остатков субсидии в текущем финансовом году на цели, определенные порядком предоставления субсидии;</w:t>
      </w:r>
    </w:p>
    <w:p>
      <w:pPr>
        <w:pStyle w:val="0"/>
        <w:spacing w:before="200" w:line-rule="auto"/>
        <w:ind w:firstLine="540"/>
        <w:jc w:val="both"/>
      </w:pPr>
      <w:r>
        <w:rPr>
          <w:sz w:val="20"/>
        </w:rPr>
        <w:t xml:space="preserve">направления расходов, источником финансового обеспечения которых являются остатки субсидии, соответствующие целям предоставления субсидии, определенным порядком предоставления субсидии и заключенным соглашением о предоставлении субсидии;</w:t>
      </w:r>
    </w:p>
    <w:p>
      <w:pPr>
        <w:pStyle w:val="0"/>
        <w:spacing w:before="200" w:line-rule="auto"/>
        <w:ind w:firstLine="540"/>
        <w:jc w:val="both"/>
      </w:pPr>
      <w:r>
        <w:rPr>
          <w:sz w:val="20"/>
        </w:rPr>
        <w:t xml:space="preserve">3) расчеты и заверенные копии документов (при наличии), подтверждающие потребность в использовании остатков субсидии на цели, определенные порядком предоставления субсидии;</w:t>
      </w:r>
    </w:p>
    <w:p>
      <w:pPr>
        <w:pStyle w:val="0"/>
        <w:spacing w:before="200" w:line-rule="auto"/>
        <w:ind w:firstLine="540"/>
        <w:jc w:val="both"/>
      </w:pPr>
      <w:r>
        <w:rPr>
          <w:sz w:val="20"/>
        </w:rPr>
        <w:t xml:space="preserve">4) отчет о достижении значений результатов предоставления субсидий и их характеристик за отчетный финансовый год;</w:t>
      </w:r>
    </w:p>
    <w:p>
      <w:pPr>
        <w:pStyle w:val="0"/>
        <w:spacing w:before="200" w:line-rule="auto"/>
        <w:ind w:firstLine="540"/>
        <w:jc w:val="both"/>
      </w:pPr>
      <w:r>
        <w:rPr>
          <w:sz w:val="20"/>
        </w:rPr>
        <w:t xml:space="preserve">5) сведения (расчет) о планируемых значениях результатов предоставления субсидии и их характеристик за счет использования остатков субсидии.</w:t>
      </w:r>
    </w:p>
    <w:p>
      <w:pPr>
        <w:pStyle w:val="0"/>
        <w:spacing w:before="200" w:line-rule="auto"/>
        <w:ind w:firstLine="540"/>
        <w:jc w:val="both"/>
      </w:pPr>
      <w:r>
        <w:rPr>
          <w:sz w:val="20"/>
        </w:rPr>
        <w:t xml:space="preserve">4. Получатели субсидии несут ответственность за достоверность информации и документов, указанных в </w:t>
      </w:r>
      <w:hyperlink w:history="0" w:anchor="P17518"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5. Мининвест Московской области не позднее 5 рабочих дней, следующих за днем поступления обращения, готовит </w:t>
      </w:r>
      <w:hyperlink w:history="0" w:anchor="P17549" w:tooltip="СПРАВКА">
        <w:r>
          <w:rPr>
            <w:sz w:val="20"/>
            <w:color w:val="0000ff"/>
          </w:rPr>
          <w:t xml:space="preserve">справку</w:t>
        </w:r>
      </w:hyperlink>
      <w:r>
        <w:rPr>
          <w:sz w:val="20"/>
        </w:rPr>
        <w:t xml:space="preserve"> по форме согласно таблице 1 и один из следующих документов:</w:t>
      </w:r>
    </w:p>
    <w:bookmarkStart w:id="17531" w:name="P17531"/>
    <w:bookmarkEnd w:id="17531"/>
    <w:p>
      <w:pPr>
        <w:pStyle w:val="0"/>
        <w:spacing w:before="200" w:line-rule="auto"/>
        <w:ind w:firstLine="540"/>
        <w:jc w:val="both"/>
      </w:pPr>
      <w:r>
        <w:rPr>
          <w:sz w:val="20"/>
        </w:rPr>
        <w:t xml:space="preserve">1) проект решения о подтверждении наличия потребности, которое оформляется в виде проекта приказа Мининвеста Московской области (далее - проект Решения);</w:t>
      </w:r>
    </w:p>
    <w:bookmarkStart w:id="17532" w:name="P17532"/>
    <w:bookmarkEnd w:id="17532"/>
    <w:p>
      <w:pPr>
        <w:pStyle w:val="0"/>
        <w:spacing w:before="200" w:line-rule="auto"/>
        <w:ind w:firstLine="540"/>
        <w:jc w:val="both"/>
      </w:pPr>
      <w:r>
        <w:rPr>
          <w:sz w:val="20"/>
        </w:rPr>
        <w:t xml:space="preserve">2) решение о возврате остатка субсидии, которое оформляется в виде требования о возврате,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(далее - Требование о возврате).</w:t>
      </w:r>
    </w:p>
    <w:bookmarkStart w:id="17533" w:name="P17533"/>
    <w:bookmarkEnd w:id="17533"/>
    <w:p>
      <w:pPr>
        <w:pStyle w:val="0"/>
        <w:spacing w:before="200" w:line-rule="auto"/>
        <w:ind w:firstLine="540"/>
        <w:jc w:val="both"/>
      </w:pPr>
      <w:r>
        <w:rPr>
          <w:sz w:val="20"/>
        </w:rPr>
        <w:t xml:space="preserve">6. Основанием для подготовки проекта Решения, указанного в </w:t>
      </w:r>
      <w:hyperlink w:history="0" w:anchor="P17531" w:tooltip="1) проект решения о подтверждении наличия потребности, которое оформляется в виде проекта приказа Мининвеста Московской области (далее - проект Решения);">
        <w:r>
          <w:rPr>
            <w:sz w:val="20"/>
            <w:color w:val="0000ff"/>
          </w:rPr>
          <w:t xml:space="preserve">подпункте 1 пункта 5</w:t>
        </w:r>
      </w:hyperlink>
      <w:r>
        <w:rPr>
          <w:sz w:val="20"/>
        </w:rPr>
        <w:t xml:space="preserve"> настоящего Порядка, является одновременное соблюдение следующих условий:</w:t>
      </w:r>
    </w:p>
    <w:p>
      <w:pPr>
        <w:pStyle w:val="0"/>
        <w:spacing w:before="200" w:line-rule="auto"/>
        <w:ind w:firstLine="540"/>
        <w:jc w:val="both"/>
      </w:pPr>
      <w:r>
        <w:rPr>
          <w:sz w:val="20"/>
        </w:rPr>
        <w:t xml:space="preserve">1) представление обращения в сроки, установленные </w:t>
      </w:r>
      <w:hyperlink w:history="0" w:anchor="P17518"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наличие в порядке предоставления субсидии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w:t>
      </w:r>
    </w:p>
    <w:p>
      <w:pPr>
        <w:pStyle w:val="0"/>
        <w:spacing w:before="200" w:line-rule="auto"/>
        <w:ind w:firstLine="540"/>
        <w:jc w:val="both"/>
      </w:pPr>
      <w:r>
        <w:rPr>
          <w:sz w:val="20"/>
        </w:rPr>
        <w:t xml:space="preserve">3) соответствие указанных в обращении направлений расходов, источником финансового обеспечения которых являются остатки субсидии, целям предоставления субсидии, определенным порядком предоставления субсидии и заключенным соглашением о предоставлении субсидии;</w:t>
      </w:r>
    </w:p>
    <w:p>
      <w:pPr>
        <w:pStyle w:val="0"/>
        <w:spacing w:before="200" w:line-rule="auto"/>
        <w:ind w:firstLine="540"/>
        <w:jc w:val="both"/>
      </w:pPr>
      <w:r>
        <w:rPr>
          <w:sz w:val="20"/>
        </w:rPr>
        <w:t xml:space="preserve">4) представление документов, соответствующих требованиям </w:t>
      </w:r>
      <w:hyperlink w:history="0" w:anchor="P17518" w:tooltip="3. Получатель субсидии в течение первых 10 рабочих дней текущего финансового года направляет в Мининвест Московской области обращение о наличии потребности в не использованном в отчетном финансовом году остатке субсидии (далее - обращение), которое должно содержать:">
        <w:r>
          <w:rPr>
            <w:sz w:val="20"/>
            <w:color w:val="0000ff"/>
          </w:rPr>
          <w:t xml:space="preserve">пункта 3</w:t>
        </w:r>
      </w:hyperlink>
      <w:r>
        <w:rPr>
          <w:sz w:val="20"/>
        </w:rPr>
        <w:t xml:space="preserve"> настоящего Порядка;</w:t>
      </w:r>
    </w:p>
    <w:p>
      <w:pPr>
        <w:pStyle w:val="0"/>
        <w:spacing w:before="200" w:line-rule="auto"/>
        <w:ind w:firstLine="540"/>
        <w:jc w:val="both"/>
      </w:pPr>
      <w:r>
        <w:rPr>
          <w:sz w:val="20"/>
        </w:rPr>
        <w:t xml:space="preserve">5) заявленная в обращении потребность в использовании остатков субсидии подтверждена в полном объеме.</w:t>
      </w:r>
    </w:p>
    <w:p>
      <w:pPr>
        <w:pStyle w:val="0"/>
        <w:spacing w:before="200" w:line-rule="auto"/>
        <w:ind w:firstLine="540"/>
        <w:jc w:val="both"/>
      </w:pPr>
      <w:r>
        <w:rPr>
          <w:sz w:val="20"/>
        </w:rPr>
        <w:t xml:space="preserve">7. В случае если по результатам рассмотрения Мининвестом Московской области обращения заявленная потребность в использовании остатков субсидии подтверждена не в полном объеме, Мининвест Московской области готовит проект Решения, а также Требование о возврате.</w:t>
      </w:r>
    </w:p>
    <w:p>
      <w:pPr>
        <w:pStyle w:val="0"/>
        <w:spacing w:before="200" w:line-rule="auto"/>
        <w:ind w:firstLine="540"/>
        <w:jc w:val="both"/>
      </w:pPr>
      <w:r>
        <w:rPr>
          <w:sz w:val="20"/>
        </w:rPr>
        <w:t xml:space="preserve">8. Основаниями для подготовки Требования о возврате, указанного в </w:t>
      </w:r>
      <w:hyperlink w:history="0" w:anchor="P17532" w:tooltip="2) решение о возврате остатка субсидии, которое оформляется в виде требования о возврате, содержащего сумму, сроки, код бюджетной классификации Российской Федерации, по которому должен быть осуществлен возврат указанных средств, реквизиты счета, на который должны быть перечислены средства (далее - Требование о возврате).">
        <w:r>
          <w:rPr>
            <w:sz w:val="20"/>
            <w:color w:val="0000ff"/>
          </w:rPr>
          <w:t xml:space="preserve">подпункте 2 пункта 5</w:t>
        </w:r>
      </w:hyperlink>
      <w:r>
        <w:rPr>
          <w:sz w:val="20"/>
        </w:rPr>
        <w:t xml:space="preserve"> настоящего Порядка, является несоблюдение одного или нескольких условий, предусмотренных </w:t>
      </w:r>
      <w:hyperlink w:history="0" w:anchor="P17533" w:tooltip="6. Основанием для подготовки проекта Решения, указанного в подпункте 1 пункта 5 настоящего Порядка, является одновременное соблюдение следующих условий:">
        <w:r>
          <w:rPr>
            <w:sz w:val="20"/>
            <w:color w:val="0000ff"/>
          </w:rPr>
          <w:t xml:space="preserve">пунктом 6</w:t>
        </w:r>
      </w:hyperlink>
      <w:r>
        <w:rPr>
          <w:sz w:val="20"/>
        </w:rPr>
        <w:t xml:space="preserve"> настоящего Порядка.</w:t>
      </w:r>
    </w:p>
    <w:bookmarkStart w:id="17541" w:name="P17541"/>
    <w:bookmarkEnd w:id="17541"/>
    <w:p>
      <w:pPr>
        <w:pStyle w:val="0"/>
        <w:spacing w:before="200" w:line-rule="auto"/>
        <w:ind w:firstLine="540"/>
        <w:jc w:val="both"/>
      </w:pPr>
      <w:r>
        <w:rPr>
          <w:sz w:val="20"/>
        </w:rPr>
        <w:t xml:space="preserve">9. Мининвест Московской области направляет проект Решения, указанного в </w:t>
      </w:r>
      <w:hyperlink w:history="0" w:anchor="P17531" w:tooltip="1) проект решения о подтверждении наличия потребности, которое оформляется в виде проекта приказа Мининвеста Московской области (далее - проект Решения);">
        <w:r>
          <w:rPr>
            <w:sz w:val="20"/>
            <w:color w:val="0000ff"/>
          </w:rPr>
          <w:t xml:space="preserve">подпункте 1 пункта 5</w:t>
        </w:r>
      </w:hyperlink>
      <w:r>
        <w:rPr>
          <w:sz w:val="20"/>
        </w:rPr>
        <w:t xml:space="preserve"> настоящего Порядка, для согласования в МЭФ Московской области с приложением обращения, а также </w:t>
      </w:r>
      <w:hyperlink w:history="0" w:anchor="P17549" w:tooltip="СПРАВКА">
        <w:r>
          <w:rPr>
            <w:sz w:val="20"/>
            <w:color w:val="0000ff"/>
          </w:rPr>
          <w:t xml:space="preserve">справку</w:t>
        </w:r>
      </w:hyperlink>
      <w:r>
        <w:rPr>
          <w:sz w:val="20"/>
        </w:rPr>
        <w:t xml:space="preserve"> по форме согласно таблице 1 к настоящему Порядку в течение 5 рабочих дней, следующих за днем поступления обращения.</w:t>
      </w:r>
    </w:p>
    <w:p>
      <w:pPr>
        <w:pStyle w:val="0"/>
        <w:spacing w:before="200" w:line-rule="auto"/>
        <w:ind w:firstLine="540"/>
        <w:jc w:val="both"/>
      </w:pPr>
      <w:r>
        <w:rPr>
          <w:sz w:val="20"/>
        </w:rPr>
        <w:t xml:space="preserve">10. МЭФ Московской области в течение 15 календарных дней, следующих за днем получения документов, указанных в </w:t>
      </w:r>
      <w:hyperlink w:history="0" w:anchor="P17541" w:tooltip="9. Мининвест Московской области направляет проект Решения, указанного в подпункте 1 пункта 5 настоящего Порядка, для согласования в МЭФ Московской области с приложением обращения, а также справку по форме согласно таблице 1 к настоящему Порядку в течение 5 рабочих дней, следующих за днем поступления обращения.">
        <w:r>
          <w:rPr>
            <w:sz w:val="20"/>
            <w:color w:val="0000ff"/>
          </w:rPr>
          <w:t xml:space="preserve">пункте 9</w:t>
        </w:r>
      </w:hyperlink>
      <w:r>
        <w:rPr>
          <w:sz w:val="20"/>
        </w:rPr>
        <w:t xml:space="preserve"> настоящего Порядка, рассматривает представленные документы и направляет мотивированное заключение о согласовании или несогласовании проекта Решения (далее соответственно - письмо МЭФ Московской области о согласовании или об отказе).</w:t>
      </w:r>
    </w:p>
    <w:p>
      <w:pPr>
        <w:pStyle w:val="0"/>
        <w:spacing w:before="200" w:line-rule="auto"/>
        <w:ind w:firstLine="540"/>
        <w:jc w:val="both"/>
      </w:pPr>
      <w:r>
        <w:rPr>
          <w:sz w:val="20"/>
        </w:rPr>
        <w:t xml:space="preserve">11. Мининвест Московской области в течение 5 дней с даты получения письма МЭФ Московской области об отказе направляет Требование о возврате получателю субсидии.</w:t>
      </w:r>
    </w:p>
    <w:p>
      <w:pPr>
        <w:pStyle w:val="0"/>
        <w:spacing w:before="200" w:line-rule="auto"/>
        <w:ind w:firstLine="540"/>
        <w:jc w:val="both"/>
      </w:pPr>
      <w:r>
        <w:rPr>
          <w:sz w:val="20"/>
        </w:rPr>
        <w:t xml:space="preserve">12. Решение о наличии потребности утверждается приказом Мининвеста Московской области (далее - приказ) в течение 5 рабочих дней с даты получения письма МЭФ Московской области о согласовании.</w:t>
      </w:r>
    </w:p>
    <w:p>
      <w:pPr>
        <w:pStyle w:val="0"/>
        <w:spacing w:before="200" w:line-rule="auto"/>
        <w:ind w:firstLine="540"/>
        <w:jc w:val="both"/>
      </w:pPr>
      <w:r>
        <w:rPr>
          <w:sz w:val="20"/>
        </w:rPr>
        <w:t xml:space="preserve">13. Мининвест Московской области не позднее 5 рабочих дней после утверждения приказа обеспечивает внесение соответствующих изменений в соглашение о предоставлении субсидии с оформлением дополнительного соглашения о предоставлении субсидии (при необходимости).</w:t>
      </w:r>
    </w:p>
    <w:p>
      <w:pPr>
        <w:pStyle w:val="0"/>
        <w:jc w:val="both"/>
      </w:pPr>
      <w:r>
        <w:rPr>
          <w:sz w:val="20"/>
        </w:rPr>
      </w:r>
    </w:p>
    <w:p>
      <w:pPr>
        <w:pStyle w:val="0"/>
        <w:outlineLvl w:val="3"/>
        <w:jc w:val="right"/>
      </w:pPr>
      <w:r>
        <w:rPr>
          <w:sz w:val="20"/>
        </w:rPr>
        <w:t xml:space="preserve">Таблица 1</w:t>
      </w:r>
    </w:p>
    <w:p>
      <w:pPr>
        <w:pStyle w:val="0"/>
        <w:jc w:val="both"/>
      </w:pPr>
      <w:r>
        <w:rPr>
          <w:sz w:val="20"/>
        </w:rPr>
      </w:r>
    </w:p>
    <w:bookmarkStart w:id="17549" w:name="P17549"/>
    <w:bookmarkEnd w:id="17549"/>
    <w:p>
      <w:pPr>
        <w:pStyle w:val="0"/>
        <w:jc w:val="center"/>
      </w:pPr>
      <w:r>
        <w:rPr>
          <w:sz w:val="20"/>
        </w:rPr>
        <w:t xml:space="preserve">СПРАВКА</w:t>
      </w:r>
    </w:p>
    <w:p>
      <w:pPr>
        <w:pStyle w:val="0"/>
        <w:jc w:val="center"/>
      </w:pPr>
      <w:r>
        <w:rPr>
          <w:sz w:val="20"/>
        </w:rPr>
        <w:t xml:space="preserve">о не использованных в отчетном финансовом году</w:t>
      </w:r>
    </w:p>
    <w:p>
      <w:pPr>
        <w:pStyle w:val="0"/>
        <w:jc w:val="center"/>
      </w:pPr>
      <w:r>
        <w:rPr>
          <w:sz w:val="20"/>
        </w:rPr>
        <w:t xml:space="preserve">остатках субсидии, в том числе гранта в форме субсидии,</w:t>
      </w:r>
    </w:p>
    <w:p>
      <w:pPr>
        <w:pStyle w:val="0"/>
        <w:jc w:val="center"/>
      </w:pPr>
      <w:r>
        <w:rPr>
          <w:sz w:val="20"/>
        </w:rPr>
        <w:t xml:space="preserve">предоставленной из бюджета Московской области</w:t>
      </w:r>
    </w:p>
    <w:p>
      <w:pPr>
        <w:pStyle w:val="0"/>
        <w:jc w:val="center"/>
      </w:pPr>
      <w:r>
        <w:rPr>
          <w:sz w:val="20"/>
        </w:rPr>
        <w:t xml:space="preserve">на финансовое обеспечение затрат,</w:t>
      </w:r>
    </w:p>
    <w:p>
      <w:pPr>
        <w:pStyle w:val="0"/>
        <w:jc w:val="center"/>
      </w:pPr>
      <w:r>
        <w:rPr>
          <w:sz w:val="20"/>
        </w:rPr>
        <w:t xml:space="preserve">на 1 января _____ года</w:t>
      </w:r>
    </w:p>
    <w:p>
      <w:pPr>
        <w:pStyle w:val="0"/>
        <w:jc w:val="both"/>
      </w:pPr>
      <w:r>
        <w:rPr>
          <w:sz w:val="20"/>
        </w:rPr>
      </w:r>
    </w:p>
    <w:p>
      <w:pPr>
        <w:pStyle w:val="1"/>
        <w:jc w:val="both"/>
      </w:pPr>
      <w:r>
        <w:rPr>
          <w:sz w:val="20"/>
        </w:rPr>
        <w:t xml:space="preserve">1. Наименование субсидии, гранта в форме субсидии (далее - субсидия): _____</w:t>
      </w:r>
    </w:p>
    <w:p>
      <w:pPr>
        <w:pStyle w:val="1"/>
        <w:jc w:val="both"/>
      </w:pPr>
      <w:r>
        <w:rPr>
          <w:sz w:val="20"/>
        </w:rPr>
        <w:t xml:space="preserve">2. Код бюджетной классификации расходов по предоставлению субсидии: _______</w:t>
      </w:r>
    </w:p>
    <w:p>
      <w:pPr>
        <w:pStyle w:val="1"/>
        <w:jc w:val="both"/>
      </w:pPr>
      <w:r>
        <w:rPr>
          <w:sz w:val="20"/>
        </w:rPr>
        <w:t xml:space="preserve">3. Наименование получателя субсидии: ______________________________________</w:t>
      </w:r>
    </w:p>
    <w:p>
      <w:pPr>
        <w:pStyle w:val="1"/>
        <w:jc w:val="both"/>
      </w:pPr>
      <w:r>
        <w:rPr>
          <w:sz w:val="20"/>
        </w:rPr>
        <w:t xml:space="preserve">4. ИНН: ___________________________________________________________________</w:t>
      </w:r>
    </w:p>
    <w:p>
      <w:pPr>
        <w:pStyle w:val="1"/>
        <w:jc w:val="both"/>
      </w:pPr>
      <w:r>
        <w:rPr>
          <w:sz w:val="20"/>
        </w:rPr>
        <w:t xml:space="preserve">5. Реквизиты соглашения о предоставлении субсидии: ________________________</w:t>
      </w:r>
    </w:p>
    <w:p>
      <w:pPr>
        <w:pStyle w:val="1"/>
        <w:jc w:val="both"/>
      </w:pPr>
      <w:r>
        <w:rPr>
          <w:sz w:val="20"/>
        </w:rPr>
        <w:t xml:space="preserve">6. Размер субсидии в соответствии с соглашением: __________________________</w:t>
      </w:r>
    </w:p>
    <w:p>
      <w:pPr>
        <w:pStyle w:val="1"/>
        <w:jc w:val="both"/>
      </w:pPr>
      <w:r>
        <w:rPr>
          <w:sz w:val="20"/>
        </w:rPr>
        <w:t xml:space="preserve">7. Размер перечисленной субсидии из бюджета Московской области: ___________</w:t>
      </w:r>
    </w:p>
    <w:p>
      <w:pPr>
        <w:pStyle w:val="1"/>
        <w:jc w:val="both"/>
      </w:pPr>
      <w:r>
        <w:rPr>
          <w:sz w:val="20"/>
        </w:rPr>
        <w:t xml:space="preserve">8. Размер остатков субсидии на 1 января соответствующего  финансового года:</w:t>
      </w:r>
    </w:p>
    <w:p>
      <w:pPr>
        <w:pStyle w:val="1"/>
        <w:jc w:val="both"/>
      </w:pPr>
      <w:r>
        <w:rPr>
          <w:sz w:val="20"/>
        </w:rPr>
        <w:t xml:space="preserve">_______</w:t>
      </w:r>
    </w:p>
    <w:p>
      <w:pPr>
        <w:pStyle w:val="1"/>
        <w:jc w:val="both"/>
      </w:pPr>
      <w:r>
        <w:rPr>
          <w:sz w:val="20"/>
        </w:rPr>
        <w:t xml:space="preserve">      в том числе:</w:t>
      </w:r>
    </w:p>
    <w:p>
      <w:pPr>
        <w:pStyle w:val="1"/>
        <w:jc w:val="both"/>
      </w:pPr>
      <w:r>
        <w:rPr>
          <w:sz w:val="20"/>
        </w:rPr>
        <w:t xml:space="preserve">      остаток отчетного года: _____________________________________________</w:t>
      </w:r>
    </w:p>
    <w:p>
      <w:pPr>
        <w:pStyle w:val="1"/>
        <w:jc w:val="both"/>
      </w:pPr>
      <w:r>
        <w:rPr>
          <w:sz w:val="20"/>
        </w:rPr>
        <w:t xml:space="preserve">      остаток за предыдущий период: _______________________________________</w:t>
      </w:r>
    </w:p>
    <w:p>
      <w:pPr>
        <w:pStyle w:val="1"/>
        <w:jc w:val="both"/>
      </w:pPr>
      <w:r>
        <w:rPr>
          <w:sz w:val="20"/>
        </w:rPr>
        <w:t xml:space="preserve">9. Размер подтвержденных остатков субсидии: _______________________________</w:t>
      </w:r>
    </w:p>
    <w:p>
      <w:pPr>
        <w:pStyle w:val="1"/>
        <w:jc w:val="both"/>
      </w:pPr>
      <w:r>
        <w:rPr>
          <w:sz w:val="20"/>
        </w:rPr>
        <w:t xml:space="preserve">10. Размер остатков субсидии, подлежащих возврату: ________________________</w:t>
      </w:r>
    </w:p>
    <w:p>
      <w:pPr>
        <w:pStyle w:val="1"/>
        <w:jc w:val="both"/>
      </w:pPr>
      <w:r>
        <w:rPr>
          <w:sz w:val="20"/>
        </w:rPr>
      </w:r>
    </w:p>
    <w:p>
      <w:pPr>
        <w:pStyle w:val="1"/>
        <w:jc w:val="both"/>
      </w:pPr>
      <w:r>
        <w:rPr>
          <w:sz w:val="20"/>
        </w:rPr>
        <w:t xml:space="preserve">Достоверность сведений подтверждаю</w:t>
      </w:r>
    </w:p>
    <w:p>
      <w:pPr>
        <w:pStyle w:val="1"/>
        <w:jc w:val="both"/>
      </w:pPr>
      <w:r>
        <w:rPr>
          <w:sz w:val="20"/>
        </w:rPr>
        <w:t xml:space="preserve">_____________                  ____________                ________________</w:t>
      </w:r>
    </w:p>
    <w:p>
      <w:pPr>
        <w:pStyle w:val="1"/>
        <w:jc w:val="both"/>
      </w:pPr>
      <w:r>
        <w:rPr>
          <w:sz w:val="20"/>
        </w:rPr>
        <w:t xml:space="preserve"> (должность)                     (подпись)                    (Ф.И.О.)</w:t>
      </w:r>
    </w:p>
    <w:p>
      <w:pPr>
        <w:pStyle w:val="0"/>
        <w:jc w:val="both"/>
      </w:pPr>
      <w:r>
        <w:rPr>
          <w:sz w:val="20"/>
        </w:rPr>
      </w:r>
    </w:p>
    <w:p>
      <w:pPr>
        <w:pStyle w:val="2"/>
        <w:outlineLvl w:val="1"/>
        <w:jc w:val="center"/>
      </w:pPr>
      <w:r>
        <w:rPr>
          <w:sz w:val="20"/>
        </w:rPr>
        <w:t xml:space="preserve">8. Подпрограмма 4 "Развитие потребительского рынка и услуг</w:t>
      </w:r>
    </w:p>
    <w:p>
      <w:pPr>
        <w:pStyle w:val="2"/>
        <w:jc w:val="center"/>
      </w:pPr>
      <w:r>
        <w:rPr>
          <w:sz w:val="20"/>
        </w:rPr>
        <w:t xml:space="preserve">на территории Московской области"</w:t>
      </w:r>
    </w:p>
    <w:p>
      <w:pPr>
        <w:pStyle w:val="0"/>
        <w:jc w:val="both"/>
      </w:pPr>
      <w:r>
        <w:rPr>
          <w:sz w:val="20"/>
        </w:rPr>
      </w:r>
    </w:p>
    <w:p>
      <w:pPr>
        <w:pStyle w:val="2"/>
        <w:outlineLvl w:val="2"/>
        <w:jc w:val="center"/>
      </w:pPr>
      <w:r>
        <w:rPr>
          <w:sz w:val="20"/>
        </w:rPr>
        <w:t xml:space="preserve">8.1. Перечень мероприятий Подпрограммы 4 "Развитие</w:t>
      </w:r>
    </w:p>
    <w:p>
      <w:pPr>
        <w:pStyle w:val="2"/>
        <w:jc w:val="center"/>
      </w:pPr>
      <w:r>
        <w:rPr>
          <w:sz w:val="20"/>
        </w:rPr>
        <w:t xml:space="preserve">потребительского рынка и услуг</w:t>
      </w:r>
    </w:p>
    <w:p>
      <w:pPr>
        <w:pStyle w:val="2"/>
        <w:jc w:val="center"/>
      </w:pPr>
      <w:r>
        <w:rPr>
          <w:sz w:val="20"/>
        </w:rPr>
        <w:t xml:space="preserve">на территории Московской области"</w:t>
      </w:r>
    </w:p>
    <w:p>
      <w:pPr>
        <w:pStyle w:val="0"/>
        <w:jc w:val="center"/>
      </w:pPr>
      <w:r>
        <w:rPr>
          <w:sz w:val="20"/>
        </w:rPr>
      </w:r>
    </w:p>
    <w:p>
      <w:pPr>
        <w:pStyle w:val="0"/>
        <w:jc w:val="center"/>
      </w:pPr>
      <w:r>
        <w:rPr>
          <w:sz w:val="20"/>
        </w:rPr>
        <w:t xml:space="preserve">(в ред. </w:t>
      </w:r>
      <w:hyperlink w:history="0" r:id="rId829"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345"/>
        <w:gridCol w:w="1587"/>
        <w:gridCol w:w="1928"/>
        <w:gridCol w:w="1814"/>
        <w:gridCol w:w="1814"/>
        <w:gridCol w:w="1531"/>
        <w:gridCol w:w="1020"/>
        <w:gridCol w:w="1304"/>
        <w:gridCol w:w="1757"/>
        <w:gridCol w:w="1304"/>
        <w:gridCol w:w="1587"/>
        <w:gridCol w:w="1814"/>
        <w:gridCol w:w="1984"/>
        <w:gridCol w:w="2438"/>
      </w:tblGrid>
      <w:tr>
        <w:tc>
          <w:tcPr>
            <w:tcW w:w="624" w:type="dxa"/>
            <w:vMerge w:val="restart"/>
          </w:tcPr>
          <w:p>
            <w:pPr>
              <w:pStyle w:val="0"/>
              <w:jc w:val="center"/>
            </w:pPr>
            <w:r>
              <w:rPr>
                <w:sz w:val="20"/>
              </w:rPr>
              <w:t xml:space="preserve">N п/п</w:t>
            </w:r>
          </w:p>
        </w:tc>
        <w:tc>
          <w:tcPr>
            <w:tcW w:w="3345" w:type="dxa"/>
            <w:vMerge w:val="restart"/>
          </w:tcPr>
          <w:p>
            <w:pPr>
              <w:pStyle w:val="0"/>
              <w:jc w:val="center"/>
            </w:pPr>
            <w:r>
              <w:rPr>
                <w:sz w:val="20"/>
              </w:rPr>
              <w:t xml:space="preserve">Мероприятие подпрограммы</w:t>
            </w:r>
          </w:p>
        </w:tc>
        <w:tc>
          <w:tcPr>
            <w:tcW w:w="1587" w:type="dxa"/>
            <w:vMerge w:val="restart"/>
          </w:tcPr>
          <w:p>
            <w:pPr>
              <w:pStyle w:val="0"/>
              <w:jc w:val="center"/>
            </w:pPr>
            <w:r>
              <w:rPr>
                <w:sz w:val="20"/>
              </w:rPr>
              <w:t xml:space="preserve">Сроки исполнения мероприятия</w:t>
            </w:r>
          </w:p>
        </w:tc>
        <w:tc>
          <w:tcPr>
            <w:tcW w:w="1928" w:type="dxa"/>
            <w:vMerge w:val="restart"/>
          </w:tcPr>
          <w:p>
            <w:pPr>
              <w:pStyle w:val="0"/>
              <w:jc w:val="center"/>
            </w:pPr>
            <w:r>
              <w:rPr>
                <w:sz w:val="20"/>
              </w:rPr>
              <w:t xml:space="preserve">Источники финансирования</w:t>
            </w:r>
          </w:p>
        </w:tc>
        <w:tc>
          <w:tcPr>
            <w:tcW w:w="1814" w:type="dxa"/>
            <w:vMerge w:val="restart"/>
          </w:tcPr>
          <w:p>
            <w:pPr>
              <w:pStyle w:val="0"/>
              <w:jc w:val="center"/>
            </w:pPr>
            <w:r>
              <w:rPr>
                <w:sz w:val="20"/>
              </w:rPr>
              <w:t xml:space="preserve">Всего (тыс. руб.)</w:t>
            </w:r>
          </w:p>
        </w:tc>
        <w:tc>
          <w:tcPr>
            <w:gridSpan w:val="9"/>
            <w:tcW w:w="14115" w:type="dxa"/>
          </w:tcPr>
          <w:p>
            <w:pPr>
              <w:pStyle w:val="0"/>
              <w:jc w:val="center"/>
            </w:pPr>
            <w:r>
              <w:rPr>
                <w:sz w:val="20"/>
              </w:rPr>
              <w:t xml:space="preserve">Объем финансирования по годам (тыс. руб.)</w:t>
            </w:r>
          </w:p>
        </w:tc>
        <w:tc>
          <w:tcPr>
            <w:tcW w:w="2438" w:type="dxa"/>
            <w:vMerge w:val="restart"/>
          </w:tcPr>
          <w:p>
            <w:pPr>
              <w:pStyle w:val="0"/>
              <w:jc w:val="center"/>
            </w:pPr>
            <w:r>
              <w:rPr>
                <w:sz w:val="20"/>
              </w:rPr>
              <w:t xml:space="preserve">Ответственный за выполнение мероприятия подпрограммы</w:t>
            </w:r>
          </w:p>
        </w:tc>
      </w:tr>
      <w:tr>
        <w:tc>
          <w:tcPr>
            <w:vMerge w:val="continue"/>
          </w:tcPr>
          <w:p/>
        </w:tc>
        <w:tc>
          <w:tcPr>
            <w:vMerge w:val="continue"/>
          </w:tcPr>
          <w:p/>
        </w:tc>
        <w:tc>
          <w:tcPr>
            <w:vMerge w:val="continue"/>
          </w:tcPr>
          <w:p/>
        </w:tc>
        <w:tc>
          <w:tcPr>
            <w:vMerge w:val="continue"/>
          </w:tcPr>
          <w:p/>
        </w:tc>
        <w:tc>
          <w:tcPr>
            <w:vMerge w:val="continue"/>
          </w:tcPr>
          <w:p/>
        </w:tc>
        <w:tc>
          <w:tcPr>
            <w:tcW w:w="1814" w:type="dxa"/>
          </w:tcPr>
          <w:p>
            <w:pPr>
              <w:pStyle w:val="0"/>
              <w:jc w:val="center"/>
            </w:pPr>
            <w:r>
              <w:rPr>
                <w:sz w:val="20"/>
              </w:rPr>
              <w:t xml:space="preserve">2023 год</w:t>
            </w:r>
          </w:p>
        </w:tc>
        <w:tc>
          <w:tcPr>
            <w:tcW w:w="1531" w:type="dxa"/>
          </w:tcPr>
          <w:p>
            <w:pPr>
              <w:pStyle w:val="0"/>
              <w:jc w:val="center"/>
            </w:pPr>
            <w:r>
              <w:rPr>
                <w:sz w:val="20"/>
              </w:rPr>
              <w:t xml:space="preserve">2024 год</w:t>
            </w:r>
          </w:p>
        </w:tc>
        <w:tc>
          <w:tcPr>
            <w:gridSpan w:val="5"/>
            <w:tcW w:w="6972" w:type="dxa"/>
          </w:tcPr>
          <w:p>
            <w:pPr>
              <w:pStyle w:val="0"/>
              <w:jc w:val="center"/>
            </w:pPr>
            <w:r>
              <w:rPr>
                <w:sz w:val="20"/>
              </w:rPr>
              <w:t xml:space="preserve">2025 год</w:t>
            </w:r>
          </w:p>
        </w:tc>
        <w:tc>
          <w:tcPr>
            <w:tcW w:w="1814" w:type="dxa"/>
          </w:tcPr>
          <w:p>
            <w:pPr>
              <w:pStyle w:val="0"/>
              <w:jc w:val="center"/>
            </w:pPr>
            <w:r>
              <w:rPr>
                <w:sz w:val="20"/>
              </w:rPr>
              <w:t xml:space="preserve">2026 год</w:t>
            </w:r>
          </w:p>
        </w:tc>
        <w:tc>
          <w:tcPr>
            <w:tcW w:w="1984" w:type="dxa"/>
          </w:tcPr>
          <w:p>
            <w:pPr>
              <w:pStyle w:val="0"/>
              <w:jc w:val="center"/>
            </w:pPr>
            <w:r>
              <w:rPr>
                <w:sz w:val="20"/>
              </w:rPr>
              <w:t xml:space="preserve">2027 год</w:t>
            </w:r>
          </w:p>
        </w:tc>
        <w:tc>
          <w:tcPr>
            <w:vMerge w:val="continue"/>
          </w:tcPr>
          <w:p/>
        </w:tc>
      </w:tr>
      <w:tr>
        <w:tc>
          <w:tcPr>
            <w:tcW w:w="624" w:type="dxa"/>
          </w:tcPr>
          <w:p>
            <w:pPr>
              <w:pStyle w:val="0"/>
              <w:jc w:val="center"/>
            </w:pPr>
            <w:r>
              <w:rPr>
                <w:sz w:val="20"/>
              </w:rPr>
              <w:t xml:space="preserve">1</w:t>
            </w:r>
          </w:p>
        </w:tc>
        <w:tc>
          <w:tcPr>
            <w:tcW w:w="3345" w:type="dxa"/>
          </w:tcPr>
          <w:p>
            <w:pPr>
              <w:pStyle w:val="0"/>
              <w:jc w:val="center"/>
            </w:pPr>
            <w:r>
              <w:rPr>
                <w:sz w:val="20"/>
              </w:rPr>
              <w:t xml:space="preserve">2</w:t>
            </w:r>
          </w:p>
        </w:tc>
        <w:tc>
          <w:tcPr>
            <w:tcW w:w="1587" w:type="dxa"/>
          </w:tcPr>
          <w:p>
            <w:pPr>
              <w:pStyle w:val="0"/>
              <w:jc w:val="center"/>
            </w:pPr>
            <w:r>
              <w:rPr>
                <w:sz w:val="20"/>
              </w:rPr>
              <w:t xml:space="preserve">3</w:t>
            </w:r>
          </w:p>
        </w:tc>
        <w:tc>
          <w:tcPr>
            <w:tcW w:w="1928" w:type="dxa"/>
          </w:tcPr>
          <w:p>
            <w:pPr>
              <w:pStyle w:val="0"/>
              <w:jc w:val="center"/>
            </w:pPr>
            <w:r>
              <w:rPr>
                <w:sz w:val="20"/>
              </w:rPr>
              <w:t xml:space="preserve">4</w:t>
            </w:r>
          </w:p>
        </w:tc>
        <w:tc>
          <w:tcPr>
            <w:tcW w:w="1814" w:type="dxa"/>
          </w:tcPr>
          <w:p>
            <w:pPr>
              <w:pStyle w:val="0"/>
              <w:jc w:val="center"/>
            </w:pPr>
            <w:r>
              <w:rPr>
                <w:sz w:val="20"/>
              </w:rPr>
              <w:t xml:space="preserve">5</w:t>
            </w:r>
          </w:p>
        </w:tc>
        <w:tc>
          <w:tcPr>
            <w:tcW w:w="1814" w:type="dxa"/>
          </w:tcPr>
          <w:p>
            <w:pPr>
              <w:pStyle w:val="0"/>
              <w:jc w:val="center"/>
            </w:pPr>
            <w:r>
              <w:rPr>
                <w:sz w:val="20"/>
              </w:rPr>
              <w:t xml:space="preserve">6</w:t>
            </w:r>
          </w:p>
        </w:tc>
        <w:tc>
          <w:tcPr>
            <w:tcW w:w="1531" w:type="dxa"/>
          </w:tcPr>
          <w:p>
            <w:pPr>
              <w:pStyle w:val="0"/>
              <w:jc w:val="center"/>
            </w:pPr>
            <w:r>
              <w:rPr>
                <w:sz w:val="20"/>
              </w:rPr>
              <w:t xml:space="preserve">7</w:t>
            </w:r>
          </w:p>
        </w:tc>
        <w:tc>
          <w:tcPr>
            <w:gridSpan w:val="5"/>
            <w:tcW w:w="6972" w:type="dxa"/>
          </w:tcPr>
          <w:p>
            <w:pPr>
              <w:pStyle w:val="0"/>
              <w:jc w:val="center"/>
            </w:pPr>
            <w:r>
              <w:rPr>
                <w:sz w:val="20"/>
              </w:rPr>
              <w:t xml:space="preserve">8</w:t>
            </w:r>
          </w:p>
        </w:tc>
        <w:tc>
          <w:tcPr>
            <w:tcW w:w="1814" w:type="dxa"/>
          </w:tcPr>
          <w:p>
            <w:pPr>
              <w:pStyle w:val="0"/>
              <w:jc w:val="center"/>
            </w:pPr>
            <w:r>
              <w:rPr>
                <w:sz w:val="20"/>
              </w:rPr>
              <w:t xml:space="preserve">9</w:t>
            </w:r>
          </w:p>
        </w:tc>
        <w:tc>
          <w:tcPr>
            <w:tcW w:w="1984" w:type="dxa"/>
          </w:tcPr>
          <w:p>
            <w:pPr>
              <w:pStyle w:val="0"/>
              <w:jc w:val="center"/>
            </w:pPr>
            <w:r>
              <w:rPr>
                <w:sz w:val="20"/>
              </w:rPr>
              <w:t xml:space="preserve">10</w:t>
            </w:r>
          </w:p>
        </w:tc>
        <w:tc>
          <w:tcPr>
            <w:tcW w:w="2438" w:type="dxa"/>
          </w:tcPr>
          <w:p>
            <w:pPr>
              <w:pStyle w:val="0"/>
              <w:jc w:val="center"/>
            </w:pPr>
            <w:r>
              <w:rPr>
                <w:sz w:val="20"/>
              </w:rPr>
              <w:t xml:space="preserve">11</w:t>
            </w:r>
          </w:p>
        </w:tc>
      </w:tr>
      <w:tr>
        <w:tc>
          <w:tcPr>
            <w:tcW w:w="624" w:type="dxa"/>
            <w:vMerge w:val="restart"/>
          </w:tcPr>
          <w:p>
            <w:pPr>
              <w:pStyle w:val="0"/>
              <w:outlineLvl w:val="3"/>
            </w:pPr>
            <w:r>
              <w:rPr>
                <w:sz w:val="20"/>
              </w:rPr>
              <w:t xml:space="preserve">1</w:t>
            </w:r>
          </w:p>
        </w:tc>
        <w:tc>
          <w:tcPr>
            <w:tcW w:w="3345" w:type="dxa"/>
            <w:vMerge w:val="restart"/>
          </w:tcPr>
          <w:p>
            <w:pPr>
              <w:pStyle w:val="0"/>
            </w:pPr>
            <w:r>
              <w:rPr>
                <w:sz w:val="20"/>
              </w:rPr>
              <w:t xml:space="preserve">Основное мероприятие 50. Развитие потребительского рынка</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tcW w:w="1814" w:type="dxa"/>
          </w:tcPr>
          <w:p>
            <w:pPr>
              <w:pStyle w:val="0"/>
            </w:pPr>
            <w:r>
              <w:rPr>
                <w:sz w:val="20"/>
              </w:rPr>
              <w:t xml:space="preserve">-</w:t>
            </w:r>
          </w:p>
        </w:tc>
        <w:tc>
          <w:tcPr>
            <w:tcW w:w="1814" w:type="dxa"/>
          </w:tcPr>
          <w:p>
            <w:pPr>
              <w:pStyle w:val="0"/>
            </w:pPr>
            <w:r>
              <w:rPr>
                <w:sz w:val="20"/>
              </w:rPr>
              <w:t xml:space="preserve">-</w:t>
            </w:r>
          </w:p>
        </w:tc>
        <w:tc>
          <w:tcPr>
            <w:tcW w:w="1531" w:type="dxa"/>
          </w:tcPr>
          <w:p>
            <w:pPr>
              <w:pStyle w:val="0"/>
            </w:pPr>
            <w:r>
              <w:rPr>
                <w:sz w:val="20"/>
              </w:rPr>
              <w:t xml:space="preserve">-</w:t>
            </w:r>
          </w:p>
        </w:tc>
        <w:tc>
          <w:tcPr>
            <w:gridSpan w:val="5"/>
            <w:tcW w:w="6972" w:type="dxa"/>
          </w:tcPr>
          <w:p>
            <w:pPr>
              <w:pStyle w:val="0"/>
            </w:pPr>
            <w:r>
              <w:rPr>
                <w:sz w:val="20"/>
              </w:rPr>
              <w:t xml:space="preserve">-</w:t>
            </w:r>
          </w:p>
        </w:tc>
        <w:tc>
          <w:tcPr>
            <w:tcW w:w="1814" w:type="dxa"/>
          </w:tcPr>
          <w:p>
            <w:pPr>
              <w:pStyle w:val="0"/>
            </w:pPr>
            <w:r>
              <w:rPr>
                <w:sz w:val="20"/>
              </w:rPr>
              <w:t xml:space="preserve">-</w:t>
            </w:r>
          </w:p>
        </w:tc>
        <w:tc>
          <w:tcPr>
            <w:tcW w:w="1984" w:type="dxa"/>
          </w:tcPr>
          <w:p>
            <w:pPr>
              <w:pStyle w:val="0"/>
            </w:pPr>
            <w:r>
              <w:rPr>
                <w:sz w:val="20"/>
              </w:rPr>
              <w:t xml:space="preserve">-</w:t>
            </w:r>
          </w:p>
        </w:tc>
        <w:tc>
          <w:tcPr>
            <w:vMerge w:val="continue"/>
          </w:tcPr>
          <w:p/>
        </w:tc>
      </w:tr>
      <w:tr>
        <w:tc>
          <w:tcPr>
            <w:vMerge w:val="continue"/>
          </w:tcPr>
          <w:p/>
        </w:tc>
        <w:tc>
          <w:tcPr>
            <w:vMerge w:val="continue"/>
          </w:tcPr>
          <w:p/>
        </w:tc>
        <w:tc>
          <w:tcPr>
            <w:vMerge w:val="continue"/>
          </w:tcPr>
          <w:p/>
        </w:tc>
        <w:tc>
          <w:tcPr>
            <w:tcW w:w="1928" w:type="dxa"/>
          </w:tcPr>
          <w:p>
            <w:pPr>
              <w:pStyle w:val="0"/>
            </w:pPr>
            <w:r>
              <w:rPr>
                <w:sz w:val="20"/>
              </w:rPr>
              <w:t xml:space="preserve">Внебюджетные средства</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vMerge w:val="continue"/>
          </w:tcPr>
          <w:p/>
        </w:tc>
      </w:tr>
      <w:tr>
        <w:tc>
          <w:tcPr>
            <w:tcW w:w="624" w:type="dxa"/>
            <w:vMerge w:val="restart"/>
          </w:tcPr>
          <w:p>
            <w:pPr>
              <w:pStyle w:val="0"/>
            </w:pPr>
            <w:r>
              <w:rPr>
                <w:sz w:val="20"/>
              </w:rPr>
              <w:t xml:space="preserve">1.1</w:t>
            </w:r>
          </w:p>
        </w:tc>
        <w:tc>
          <w:tcPr>
            <w:tcW w:w="3345" w:type="dxa"/>
            <w:vMerge w:val="restart"/>
          </w:tcPr>
          <w:p>
            <w:pPr>
              <w:pStyle w:val="0"/>
            </w:pPr>
            <w:r>
              <w:rPr>
                <w:sz w:val="20"/>
              </w:rPr>
              <w:t xml:space="preserve">Мероприятие 50.01. 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tcW w:w="2438" w:type="dxa"/>
            <w:vMerge w:val="restart"/>
          </w:tcPr>
          <w:p>
            <w:pPr>
              <w:pStyle w:val="0"/>
            </w:pPr>
            <w:r>
              <w:rPr>
                <w:sz w:val="20"/>
              </w:rPr>
              <w:t xml:space="preserve">Минсельхозпрод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Внебюджетные средства</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vMerge w:val="continue"/>
          </w:tcPr>
          <w:p/>
        </w:tc>
      </w:tr>
      <w:tr>
        <w:tc>
          <w:tcPr>
            <w:vMerge w:val="continue"/>
          </w:tcPr>
          <w:p/>
        </w:tc>
        <w:tc>
          <w:tcPr>
            <w:tcW w:w="3345" w:type="dxa"/>
            <w:vMerge w:val="restart"/>
          </w:tcPr>
          <w:p>
            <w:pPr>
              <w:pStyle w:val="0"/>
            </w:pPr>
            <w:r>
              <w:rPr>
                <w:sz w:val="20"/>
              </w:rPr>
              <w:t xml:space="preserve">Результат 1. Население обеспечено площадью торговых объектов (нарастающим итогом), кв. м на 1000 человек</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1594,3</w:t>
            </w:r>
          </w:p>
        </w:tc>
        <w:tc>
          <w:tcPr>
            <w:tcW w:w="1814" w:type="dxa"/>
          </w:tcPr>
          <w:p>
            <w:pPr>
              <w:pStyle w:val="0"/>
            </w:pPr>
            <w:r>
              <w:rPr>
                <w:sz w:val="20"/>
              </w:rPr>
              <w:t xml:space="preserve">1545,0</w:t>
            </w:r>
          </w:p>
        </w:tc>
        <w:tc>
          <w:tcPr>
            <w:tcW w:w="1531" w:type="dxa"/>
          </w:tcPr>
          <w:p>
            <w:pPr>
              <w:pStyle w:val="0"/>
            </w:pPr>
            <w:r>
              <w:rPr>
                <w:sz w:val="20"/>
              </w:rPr>
              <w:t xml:space="preserve">1565,7</w:t>
            </w:r>
          </w:p>
        </w:tc>
        <w:tc>
          <w:tcPr>
            <w:tcW w:w="1020" w:type="dxa"/>
          </w:tcPr>
          <w:p>
            <w:pPr>
              <w:pStyle w:val="0"/>
            </w:pPr>
            <w:r>
              <w:rPr>
                <w:sz w:val="20"/>
              </w:rPr>
              <w:t xml:space="preserve">1573,0</w:t>
            </w:r>
          </w:p>
        </w:tc>
        <w:tc>
          <w:tcPr>
            <w:tcW w:w="1304" w:type="dxa"/>
          </w:tcPr>
          <w:p>
            <w:pPr>
              <w:pStyle w:val="0"/>
            </w:pPr>
            <w:r>
              <w:rPr>
                <w:sz w:val="20"/>
              </w:rPr>
              <w:t xml:space="preserve">1559,8</w:t>
            </w:r>
          </w:p>
        </w:tc>
        <w:tc>
          <w:tcPr>
            <w:tcW w:w="1757" w:type="dxa"/>
          </w:tcPr>
          <w:p>
            <w:pPr>
              <w:pStyle w:val="0"/>
            </w:pPr>
            <w:r>
              <w:rPr>
                <w:sz w:val="20"/>
              </w:rPr>
              <w:t xml:space="preserve">1564,7</w:t>
            </w:r>
          </w:p>
        </w:tc>
        <w:tc>
          <w:tcPr>
            <w:tcW w:w="1304" w:type="dxa"/>
          </w:tcPr>
          <w:p>
            <w:pPr>
              <w:pStyle w:val="0"/>
            </w:pPr>
            <w:r>
              <w:rPr>
                <w:sz w:val="20"/>
              </w:rPr>
              <w:t xml:space="preserve">1569,5</w:t>
            </w:r>
          </w:p>
        </w:tc>
        <w:tc>
          <w:tcPr>
            <w:tcW w:w="1587" w:type="dxa"/>
          </w:tcPr>
          <w:p>
            <w:pPr>
              <w:pStyle w:val="0"/>
            </w:pPr>
            <w:r>
              <w:rPr>
                <w:sz w:val="20"/>
              </w:rPr>
              <w:t xml:space="preserve">1573,0</w:t>
            </w:r>
          </w:p>
        </w:tc>
        <w:tc>
          <w:tcPr>
            <w:tcW w:w="1814" w:type="dxa"/>
          </w:tcPr>
          <w:p>
            <w:pPr>
              <w:pStyle w:val="0"/>
            </w:pPr>
            <w:r>
              <w:rPr>
                <w:sz w:val="20"/>
              </w:rPr>
              <w:t xml:space="preserve">1583,6</w:t>
            </w:r>
          </w:p>
        </w:tc>
        <w:tc>
          <w:tcPr>
            <w:tcW w:w="1984" w:type="dxa"/>
          </w:tcPr>
          <w:p>
            <w:pPr>
              <w:pStyle w:val="0"/>
            </w:pPr>
            <w:r>
              <w:rPr>
                <w:sz w:val="20"/>
              </w:rPr>
              <w:t xml:space="preserve">1594,3</w:t>
            </w:r>
          </w:p>
        </w:tc>
        <w:tc>
          <w:tcPr>
            <w:vMerge w:val="continue"/>
          </w:tcPr>
          <w:p/>
        </w:tc>
      </w:tr>
      <w:tr>
        <w:tc>
          <w:tcPr>
            <w:tcW w:w="624" w:type="dxa"/>
            <w:vMerge w:val="restart"/>
          </w:tcPr>
          <w:p>
            <w:pPr>
              <w:pStyle w:val="0"/>
            </w:pPr>
            <w:r>
              <w:rPr>
                <w:sz w:val="20"/>
              </w:rPr>
              <w:t xml:space="preserve">1.2</w:t>
            </w:r>
          </w:p>
        </w:tc>
        <w:tc>
          <w:tcPr>
            <w:tcW w:w="3345" w:type="dxa"/>
            <w:vMerge w:val="restart"/>
          </w:tcPr>
          <w:p>
            <w:pPr>
              <w:pStyle w:val="0"/>
            </w:pPr>
            <w:r>
              <w:rPr>
                <w:sz w:val="20"/>
              </w:rPr>
              <w:t xml:space="preserve">Мероприятие 50.02. Организация и проведение ярмарок с участием субъектов малого и среднего предпринимательства и производителей сельскохозяйственной продукции</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Организованы и проведены ярмарки, единиц</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8366</w:t>
            </w:r>
          </w:p>
        </w:tc>
        <w:tc>
          <w:tcPr>
            <w:tcW w:w="1814" w:type="dxa"/>
          </w:tcPr>
          <w:p>
            <w:pPr>
              <w:pStyle w:val="0"/>
            </w:pPr>
            <w:r>
              <w:rPr>
                <w:sz w:val="20"/>
              </w:rPr>
              <w:t xml:space="preserve">720</w:t>
            </w:r>
          </w:p>
        </w:tc>
        <w:tc>
          <w:tcPr>
            <w:tcW w:w="1531" w:type="dxa"/>
          </w:tcPr>
          <w:p>
            <w:pPr>
              <w:pStyle w:val="0"/>
            </w:pPr>
            <w:r>
              <w:rPr>
                <w:sz w:val="20"/>
              </w:rPr>
              <w:t xml:space="preserve">1910</w:t>
            </w:r>
          </w:p>
        </w:tc>
        <w:tc>
          <w:tcPr>
            <w:tcW w:w="1020" w:type="dxa"/>
          </w:tcPr>
          <w:p>
            <w:pPr>
              <w:pStyle w:val="0"/>
            </w:pPr>
            <w:r>
              <w:rPr>
                <w:sz w:val="20"/>
              </w:rPr>
              <w:t xml:space="preserve">1911</w:t>
            </w:r>
          </w:p>
        </w:tc>
        <w:tc>
          <w:tcPr>
            <w:tcW w:w="1304" w:type="dxa"/>
          </w:tcPr>
          <w:p>
            <w:pPr>
              <w:pStyle w:val="0"/>
            </w:pPr>
            <w:r>
              <w:rPr>
                <w:sz w:val="20"/>
              </w:rPr>
              <w:t xml:space="preserve">-</w:t>
            </w:r>
          </w:p>
        </w:tc>
        <w:tc>
          <w:tcPr>
            <w:tcW w:w="1757" w:type="dxa"/>
          </w:tcPr>
          <w:p>
            <w:pPr>
              <w:pStyle w:val="0"/>
            </w:pPr>
            <w:r>
              <w:rPr>
                <w:sz w:val="20"/>
              </w:rPr>
              <w:t xml:space="preserve">956</w:t>
            </w:r>
          </w:p>
        </w:tc>
        <w:tc>
          <w:tcPr>
            <w:tcW w:w="1304" w:type="dxa"/>
          </w:tcPr>
          <w:p>
            <w:pPr>
              <w:pStyle w:val="0"/>
            </w:pPr>
            <w:r>
              <w:rPr>
                <w:sz w:val="20"/>
              </w:rPr>
              <w:t xml:space="preserve">1455</w:t>
            </w:r>
          </w:p>
        </w:tc>
        <w:tc>
          <w:tcPr>
            <w:tcW w:w="1587" w:type="dxa"/>
          </w:tcPr>
          <w:p>
            <w:pPr>
              <w:pStyle w:val="0"/>
            </w:pPr>
            <w:r>
              <w:rPr>
                <w:sz w:val="20"/>
              </w:rPr>
              <w:t xml:space="preserve">1911</w:t>
            </w:r>
          </w:p>
        </w:tc>
        <w:tc>
          <w:tcPr>
            <w:tcW w:w="1814" w:type="dxa"/>
          </w:tcPr>
          <w:p>
            <w:pPr>
              <w:pStyle w:val="0"/>
            </w:pPr>
            <w:r>
              <w:rPr>
                <w:sz w:val="20"/>
              </w:rPr>
              <w:t xml:space="preserve">1912</w:t>
            </w:r>
          </w:p>
        </w:tc>
        <w:tc>
          <w:tcPr>
            <w:tcW w:w="1984" w:type="dxa"/>
          </w:tcPr>
          <w:p>
            <w:pPr>
              <w:pStyle w:val="0"/>
            </w:pPr>
            <w:r>
              <w:rPr>
                <w:sz w:val="20"/>
              </w:rPr>
              <w:t xml:space="preserve">1913</w:t>
            </w:r>
          </w:p>
        </w:tc>
        <w:tc>
          <w:tcPr>
            <w:vMerge w:val="continue"/>
          </w:tcPr>
          <w:p/>
        </w:tc>
      </w:tr>
      <w:tr>
        <w:tc>
          <w:tcPr>
            <w:tcW w:w="624" w:type="dxa"/>
            <w:vMerge w:val="restart"/>
          </w:tcPr>
          <w:p>
            <w:pPr>
              <w:pStyle w:val="0"/>
            </w:pPr>
            <w:r>
              <w:rPr>
                <w:sz w:val="20"/>
              </w:rPr>
              <w:t xml:space="preserve">1.3</w:t>
            </w:r>
          </w:p>
        </w:tc>
        <w:tc>
          <w:tcPr>
            <w:tcW w:w="3345" w:type="dxa"/>
            <w:vMerge w:val="restart"/>
          </w:tcPr>
          <w:p>
            <w:pPr>
              <w:pStyle w:val="0"/>
            </w:pPr>
            <w:r>
              <w:rPr>
                <w:sz w:val="20"/>
              </w:rPr>
              <w:t xml:space="preserve">Мероприятие 50.03. Мониторинг нестационарных торговых объектов</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8630</w:t>
            </w:r>
          </w:p>
        </w:tc>
        <w:tc>
          <w:tcPr>
            <w:tcW w:w="1814" w:type="dxa"/>
          </w:tcPr>
          <w:p>
            <w:pPr>
              <w:pStyle w:val="0"/>
            </w:pPr>
            <w:r>
              <w:rPr>
                <w:sz w:val="20"/>
              </w:rPr>
              <w:t xml:space="preserve">7818</w:t>
            </w:r>
          </w:p>
        </w:tc>
        <w:tc>
          <w:tcPr>
            <w:tcW w:w="1531" w:type="dxa"/>
          </w:tcPr>
          <w:p>
            <w:pPr>
              <w:pStyle w:val="0"/>
            </w:pPr>
            <w:r>
              <w:rPr>
                <w:sz w:val="20"/>
              </w:rPr>
              <w:t xml:space="preserve">8133</w:t>
            </w:r>
          </w:p>
        </w:tc>
        <w:tc>
          <w:tcPr>
            <w:tcW w:w="1020" w:type="dxa"/>
          </w:tcPr>
          <w:p>
            <w:pPr>
              <w:pStyle w:val="0"/>
            </w:pPr>
            <w:r>
              <w:rPr>
                <w:sz w:val="20"/>
              </w:rPr>
              <w:t xml:space="preserve">8295</w:t>
            </w:r>
          </w:p>
        </w:tc>
        <w:tc>
          <w:tcPr>
            <w:tcW w:w="1304" w:type="dxa"/>
          </w:tcPr>
          <w:p>
            <w:pPr>
              <w:pStyle w:val="0"/>
            </w:pPr>
            <w:r>
              <w:rPr>
                <w:sz w:val="20"/>
              </w:rPr>
              <w:t xml:space="preserve">8133</w:t>
            </w:r>
          </w:p>
        </w:tc>
        <w:tc>
          <w:tcPr>
            <w:tcW w:w="1757" w:type="dxa"/>
          </w:tcPr>
          <w:p>
            <w:pPr>
              <w:pStyle w:val="0"/>
            </w:pPr>
            <w:r>
              <w:rPr>
                <w:sz w:val="20"/>
              </w:rPr>
              <w:t xml:space="preserve">8187</w:t>
            </w:r>
          </w:p>
        </w:tc>
        <w:tc>
          <w:tcPr>
            <w:tcW w:w="1304" w:type="dxa"/>
          </w:tcPr>
          <w:p>
            <w:pPr>
              <w:pStyle w:val="0"/>
            </w:pPr>
            <w:r>
              <w:rPr>
                <w:sz w:val="20"/>
              </w:rPr>
              <w:t xml:space="preserve">8240</w:t>
            </w:r>
          </w:p>
        </w:tc>
        <w:tc>
          <w:tcPr>
            <w:tcW w:w="1587" w:type="dxa"/>
          </w:tcPr>
          <w:p>
            <w:pPr>
              <w:pStyle w:val="0"/>
            </w:pPr>
            <w:r>
              <w:rPr>
                <w:sz w:val="20"/>
              </w:rPr>
              <w:t xml:space="preserve">8295</w:t>
            </w:r>
          </w:p>
        </w:tc>
        <w:tc>
          <w:tcPr>
            <w:tcW w:w="1814" w:type="dxa"/>
          </w:tcPr>
          <w:p>
            <w:pPr>
              <w:pStyle w:val="0"/>
            </w:pPr>
            <w:r>
              <w:rPr>
                <w:sz w:val="20"/>
              </w:rPr>
              <w:t xml:space="preserve">8461</w:t>
            </w:r>
          </w:p>
        </w:tc>
        <w:tc>
          <w:tcPr>
            <w:tcW w:w="1984" w:type="dxa"/>
          </w:tcPr>
          <w:p>
            <w:pPr>
              <w:pStyle w:val="0"/>
            </w:pPr>
            <w:r>
              <w:rPr>
                <w:sz w:val="20"/>
              </w:rPr>
              <w:t xml:space="preserve">8630</w:t>
            </w:r>
          </w:p>
        </w:tc>
        <w:tc>
          <w:tcPr>
            <w:vMerge w:val="continue"/>
          </w:tcPr>
          <w:p/>
        </w:tc>
      </w:tr>
      <w:tr>
        <w:tc>
          <w:tcPr>
            <w:tcW w:w="624" w:type="dxa"/>
            <w:vMerge w:val="restart"/>
          </w:tcPr>
          <w:p>
            <w:pPr>
              <w:pStyle w:val="0"/>
            </w:pPr>
            <w:r>
              <w:rPr>
                <w:sz w:val="20"/>
              </w:rPr>
              <w:t xml:space="preserve">1.4</w:t>
            </w:r>
          </w:p>
        </w:tc>
        <w:tc>
          <w:tcPr>
            <w:tcW w:w="3345" w:type="dxa"/>
            <w:vMerge w:val="restart"/>
          </w:tcPr>
          <w:p>
            <w:pPr>
              <w:pStyle w:val="0"/>
            </w:pPr>
            <w:r>
              <w:rPr>
                <w:sz w:val="20"/>
              </w:rPr>
              <w:t xml:space="preserve">Мероприятие 50.04. Содействие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2025 года)</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Построены (реконструированы) здания для размещения розничных рынков, а также торговые объекты других форматов, образованные в результате реконструкции розничных рынков (нарастающим итогом), единиц</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335</w:t>
            </w:r>
          </w:p>
        </w:tc>
        <w:tc>
          <w:tcPr>
            <w:tcW w:w="1814" w:type="dxa"/>
          </w:tcPr>
          <w:p>
            <w:pPr>
              <w:pStyle w:val="0"/>
            </w:pPr>
            <w:r>
              <w:rPr>
                <w:sz w:val="20"/>
              </w:rPr>
              <w:t xml:space="preserve">309</w:t>
            </w:r>
          </w:p>
        </w:tc>
        <w:tc>
          <w:tcPr>
            <w:tcW w:w="1531" w:type="dxa"/>
          </w:tcPr>
          <w:p>
            <w:pPr>
              <w:pStyle w:val="0"/>
            </w:pPr>
            <w:r>
              <w:rPr>
                <w:sz w:val="20"/>
              </w:rPr>
              <w:t xml:space="preserve">316</w:t>
            </w:r>
          </w:p>
        </w:tc>
        <w:tc>
          <w:tcPr>
            <w:tcW w:w="1020" w:type="dxa"/>
          </w:tcPr>
          <w:p>
            <w:pPr>
              <w:pStyle w:val="0"/>
            </w:pPr>
            <w:r>
              <w:rPr>
                <w:sz w:val="20"/>
              </w:rPr>
              <w:t xml:space="preserve">324</w:t>
            </w:r>
          </w:p>
        </w:tc>
        <w:tc>
          <w:tcPr>
            <w:tcW w:w="1304" w:type="dxa"/>
          </w:tcPr>
          <w:p>
            <w:pPr>
              <w:pStyle w:val="0"/>
            </w:pPr>
            <w:r>
              <w:rPr>
                <w:sz w:val="20"/>
              </w:rPr>
              <w:t xml:space="preserve">316</w:t>
            </w:r>
          </w:p>
        </w:tc>
        <w:tc>
          <w:tcPr>
            <w:tcW w:w="1757" w:type="dxa"/>
          </w:tcPr>
          <w:p>
            <w:pPr>
              <w:pStyle w:val="0"/>
            </w:pPr>
            <w:r>
              <w:rPr>
                <w:sz w:val="20"/>
              </w:rPr>
              <w:t xml:space="preserve">318</w:t>
            </w:r>
          </w:p>
        </w:tc>
        <w:tc>
          <w:tcPr>
            <w:tcW w:w="1304" w:type="dxa"/>
          </w:tcPr>
          <w:p>
            <w:pPr>
              <w:pStyle w:val="0"/>
            </w:pPr>
            <w:r>
              <w:rPr>
                <w:sz w:val="20"/>
              </w:rPr>
              <w:t xml:space="preserve">321</w:t>
            </w:r>
          </w:p>
        </w:tc>
        <w:tc>
          <w:tcPr>
            <w:tcW w:w="1587" w:type="dxa"/>
          </w:tcPr>
          <w:p>
            <w:pPr>
              <w:pStyle w:val="0"/>
            </w:pPr>
            <w:r>
              <w:rPr>
                <w:sz w:val="20"/>
              </w:rPr>
              <w:t xml:space="preserve">324</w:t>
            </w:r>
          </w:p>
        </w:tc>
        <w:tc>
          <w:tcPr>
            <w:tcW w:w="1814" w:type="dxa"/>
          </w:tcPr>
          <w:p>
            <w:pPr>
              <w:pStyle w:val="0"/>
            </w:pPr>
            <w:r>
              <w:rPr>
                <w:sz w:val="20"/>
              </w:rPr>
              <w:t xml:space="preserve">330</w:t>
            </w:r>
          </w:p>
        </w:tc>
        <w:tc>
          <w:tcPr>
            <w:tcW w:w="1984" w:type="dxa"/>
          </w:tcPr>
          <w:p>
            <w:pPr>
              <w:pStyle w:val="0"/>
            </w:pPr>
            <w:r>
              <w:rPr>
                <w:sz w:val="20"/>
              </w:rPr>
              <w:t xml:space="preserve">335</w:t>
            </w:r>
          </w:p>
        </w:tc>
        <w:tc>
          <w:tcPr>
            <w:vMerge w:val="continue"/>
          </w:tcPr>
          <w:p/>
        </w:tc>
      </w:tr>
      <w:tr>
        <w:tc>
          <w:tcPr>
            <w:tcW w:w="624" w:type="dxa"/>
            <w:vMerge w:val="restart"/>
          </w:tcPr>
          <w:p>
            <w:pPr>
              <w:pStyle w:val="0"/>
            </w:pPr>
            <w:r>
              <w:rPr>
                <w:sz w:val="20"/>
              </w:rPr>
              <w:t xml:space="preserve">1.5</w:t>
            </w:r>
          </w:p>
        </w:tc>
        <w:tc>
          <w:tcPr>
            <w:tcW w:w="3345" w:type="dxa"/>
            <w:vMerge w:val="restart"/>
          </w:tcPr>
          <w:p>
            <w:pPr>
              <w:pStyle w:val="0"/>
            </w:pPr>
            <w:r>
              <w:rPr>
                <w:sz w:val="20"/>
              </w:rPr>
              <w:t xml:space="preserve">Мероприятие 50.05. Развитие оптовой торговли</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 Минстроя Московской области, МТДи Московской области</w:t>
            </w:r>
          </w:p>
        </w:tc>
        <w:tc>
          <w:tcPr>
            <w:tcW w:w="2438" w:type="dxa"/>
            <w:vMerge w:val="restart"/>
          </w:tcPr>
          <w:p>
            <w:pPr>
              <w:pStyle w:val="0"/>
            </w:pPr>
            <w:r>
              <w:rPr>
                <w:sz w:val="20"/>
              </w:rPr>
              <w:t xml:space="preserve">Минсельхозпрод Московской области, Минстрой Московской области, МТДи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Площадь оптовых объектов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 (нарастающим итогом), тыс. кв. м</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18408,2</w:t>
            </w:r>
          </w:p>
        </w:tc>
        <w:tc>
          <w:tcPr>
            <w:tcW w:w="1814" w:type="dxa"/>
          </w:tcPr>
          <w:p>
            <w:pPr>
              <w:pStyle w:val="0"/>
            </w:pPr>
            <w:r>
              <w:rPr>
                <w:sz w:val="20"/>
              </w:rPr>
              <w:t xml:space="preserve">16922,8</w:t>
            </w:r>
          </w:p>
        </w:tc>
        <w:tc>
          <w:tcPr>
            <w:tcW w:w="1531" w:type="dxa"/>
          </w:tcPr>
          <w:p>
            <w:pPr>
              <w:pStyle w:val="0"/>
            </w:pPr>
            <w:r>
              <w:rPr>
                <w:sz w:val="20"/>
              </w:rPr>
              <w:t xml:space="preserve">17417,8</w:t>
            </w:r>
          </w:p>
        </w:tc>
        <w:tc>
          <w:tcPr>
            <w:tcW w:w="1020" w:type="dxa"/>
          </w:tcPr>
          <w:p>
            <w:pPr>
              <w:pStyle w:val="0"/>
            </w:pPr>
            <w:r>
              <w:rPr>
                <w:sz w:val="20"/>
              </w:rPr>
              <w:t xml:space="preserve">17726,2</w:t>
            </w:r>
          </w:p>
        </w:tc>
        <w:tc>
          <w:tcPr>
            <w:tcW w:w="1304" w:type="dxa"/>
          </w:tcPr>
          <w:p>
            <w:pPr>
              <w:pStyle w:val="0"/>
            </w:pPr>
            <w:r>
              <w:rPr>
                <w:sz w:val="20"/>
              </w:rPr>
              <w:t xml:space="preserve">17495,0</w:t>
            </w:r>
          </w:p>
        </w:tc>
        <w:tc>
          <w:tcPr>
            <w:tcW w:w="1757" w:type="dxa"/>
          </w:tcPr>
          <w:p>
            <w:pPr>
              <w:pStyle w:val="0"/>
            </w:pPr>
            <w:r>
              <w:rPr>
                <w:sz w:val="20"/>
              </w:rPr>
              <w:t xml:space="preserve">17572,1</w:t>
            </w:r>
          </w:p>
        </w:tc>
        <w:tc>
          <w:tcPr>
            <w:tcW w:w="1304" w:type="dxa"/>
          </w:tcPr>
          <w:p>
            <w:pPr>
              <w:pStyle w:val="0"/>
            </w:pPr>
            <w:r>
              <w:rPr>
                <w:sz w:val="20"/>
              </w:rPr>
              <w:t xml:space="preserve">17649,0</w:t>
            </w:r>
          </w:p>
        </w:tc>
        <w:tc>
          <w:tcPr>
            <w:tcW w:w="1587" w:type="dxa"/>
          </w:tcPr>
          <w:p>
            <w:pPr>
              <w:pStyle w:val="0"/>
            </w:pPr>
            <w:r>
              <w:rPr>
                <w:sz w:val="20"/>
              </w:rPr>
              <w:t xml:space="preserve">17726,2</w:t>
            </w:r>
          </w:p>
        </w:tc>
        <w:tc>
          <w:tcPr>
            <w:tcW w:w="1814" w:type="dxa"/>
          </w:tcPr>
          <w:p>
            <w:pPr>
              <w:pStyle w:val="0"/>
            </w:pPr>
            <w:r>
              <w:rPr>
                <w:sz w:val="20"/>
              </w:rPr>
              <w:t xml:space="preserve">18051,2</w:t>
            </w:r>
          </w:p>
        </w:tc>
        <w:tc>
          <w:tcPr>
            <w:tcW w:w="1984" w:type="dxa"/>
          </w:tcPr>
          <w:p>
            <w:pPr>
              <w:pStyle w:val="0"/>
            </w:pPr>
            <w:r>
              <w:rPr>
                <w:sz w:val="20"/>
              </w:rPr>
              <w:t xml:space="preserve">18408,2</w:t>
            </w:r>
          </w:p>
        </w:tc>
        <w:tc>
          <w:tcPr>
            <w:vMerge w:val="continue"/>
          </w:tcPr>
          <w:p/>
        </w:tc>
      </w:tr>
      <w:tr>
        <w:tc>
          <w:tcPr>
            <w:tcW w:w="624" w:type="dxa"/>
            <w:vMerge w:val="restart"/>
          </w:tcPr>
          <w:p>
            <w:pPr>
              <w:pStyle w:val="0"/>
            </w:pPr>
            <w:r>
              <w:rPr>
                <w:sz w:val="20"/>
              </w:rPr>
              <w:t xml:space="preserve">1.6</w:t>
            </w:r>
          </w:p>
        </w:tc>
        <w:tc>
          <w:tcPr>
            <w:tcW w:w="3345" w:type="dxa"/>
            <w:vMerge w:val="restart"/>
          </w:tcPr>
          <w:p>
            <w:pPr>
              <w:pStyle w:val="0"/>
            </w:pPr>
            <w:r>
              <w:rPr>
                <w:sz w:val="20"/>
              </w:rPr>
              <w:t xml:space="preserve">Мероприятие 50.06. Развитие дистанционной торговли</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Доля продаж через информационно-телекоммуникационную сеть "Интернет" в общем объеме оборота розничной торговли, процентов</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12,8</w:t>
            </w:r>
          </w:p>
        </w:tc>
        <w:tc>
          <w:tcPr>
            <w:tcW w:w="1814" w:type="dxa"/>
          </w:tcPr>
          <w:p>
            <w:pPr>
              <w:pStyle w:val="0"/>
            </w:pPr>
            <w:r>
              <w:rPr>
                <w:sz w:val="20"/>
              </w:rPr>
              <w:t xml:space="preserve">8,7</w:t>
            </w:r>
          </w:p>
        </w:tc>
        <w:tc>
          <w:tcPr>
            <w:tcW w:w="1531" w:type="dxa"/>
          </w:tcPr>
          <w:p>
            <w:pPr>
              <w:pStyle w:val="0"/>
            </w:pPr>
            <w:r>
              <w:rPr>
                <w:sz w:val="20"/>
              </w:rPr>
              <w:t xml:space="preserve">12,5</w:t>
            </w:r>
          </w:p>
        </w:tc>
        <w:tc>
          <w:tcPr>
            <w:tcW w:w="1020" w:type="dxa"/>
          </w:tcPr>
          <w:p>
            <w:pPr>
              <w:pStyle w:val="0"/>
            </w:pPr>
            <w:r>
              <w:rPr>
                <w:sz w:val="20"/>
              </w:rPr>
              <w:t xml:space="preserve">12,6</w:t>
            </w:r>
          </w:p>
        </w:tc>
        <w:tc>
          <w:tcPr>
            <w:tcW w:w="1304" w:type="dxa"/>
          </w:tcPr>
          <w:p>
            <w:pPr>
              <w:pStyle w:val="0"/>
            </w:pPr>
            <w:r>
              <w:rPr>
                <w:sz w:val="20"/>
              </w:rPr>
              <w:t xml:space="preserve">12,5</w:t>
            </w:r>
          </w:p>
        </w:tc>
        <w:tc>
          <w:tcPr>
            <w:tcW w:w="1757" w:type="dxa"/>
          </w:tcPr>
          <w:p>
            <w:pPr>
              <w:pStyle w:val="0"/>
            </w:pPr>
            <w:r>
              <w:rPr>
                <w:sz w:val="20"/>
              </w:rPr>
              <w:t xml:space="preserve">12,5</w:t>
            </w:r>
          </w:p>
        </w:tc>
        <w:tc>
          <w:tcPr>
            <w:tcW w:w="1304" w:type="dxa"/>
          </w:tcPr>
          <w:p>
            <w:pPr>
              <w:pStyle w:val="0"/>
            </w:pPr>
            <w:r>
              <w:rPr>
                <w:sz w:val="20"/>
              </w:rPr>
              <w:t xml:space="preserve">12,5</w:t>
            </w:r>
          </w:p>
        </w:tc>
        <w:tc>
          <w:tcPr>
            <w:tcW w:w="1587" w:type="dxa"/>
          </w:tcPr>
          <w:p>
            <w:pPr>
              <w:pStyle w:val="0"/>
            </w:pPr>
            <w:r>
              <w:rPr>
                <w:sz w:val="20"/>
              </w:rPr>
              <w:t xml:space="preserve">12,6</w:t>
            </w:r>
          </w:p>
        </w:tc>
        <w:tc>
          <w:tcPr>
            <w:tcW w:w="1814" w:type="dxa"/>
          </w:tcPr>
          <w:p>
            <w:pPr>
              <w:pStyle w:val="0"/>
            </w:pPr>
            <w:r>
              <w:rPr>
                <w:sz w:val="20"/>
              </w:rPr>
              <w:t xml:space="preserve">12,7</w:t>
            </w:r>
          </w:p>
        </w:tc>
        <w:tc>
          <w:tcPr>
            <w:tcW w:w="1984" w:type="dxa"/>
          </w:tcPr>
          <w:p>
            <w:pPr>
              <w:pStyle w:val="0"/>
            </w:pPr>
            <w:r>
              <w:rPr>
                <w:sz w:val="20"/>
              </w:rPr>
              <w:t xml:space="preserve">12,8</w:t>
            </w:r>
          </w:p>
        </w:tc>
        <w:tc>
          <w:tcPr>
            <w:vMerge w:val="continue"/>
          </w:tcPr>
          <w:p/>
        </w:tc>
      </w:tr>
      <w:tr>
        <w:tc>
          <w:tcPr>
            <w:tcW w:w="624" w:type="dxa"/>
            <w:vMerge w:val="restart"/>
          </w:tcPr>
          <w:p>
            <w:pPr>
              <w:pStyle w:val="0"/>
              <w:outlineLvl w:val="3"/>
            </w:pPr>
            <w:r>
              <w:rPr>
                <w:sz w:val="20"/>
              </w:rPr>
              <w:t xml:space="preserve">2</w:t>
            </w:r>
          </w:p>
        </w:tc>
        <w:tc>
          <w:tcPr>
            <w:tcW w:w="3345" w:type="dxa"/>
            <w:vMerge w:val="restart"/>
          </w:tcPr>
          <w:p>
            <w:pPr>
              <w:pStyle w:val="0"/>
            </w:pPr>
            <w:r>
              <w:rPr>
                <w:sz w:val="20"/>
              </w:rPr>
              <w:t xml:space="preserve">Основное мероприятие 51. Развитие сферы общественного питания</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24" w:type="dxa"/>
            <w:vMerge w:val="restart"/>
          </w:tcPr>
          <w:p>
            <w:pPr>
              <w:pStyle w:val="0"/>
            </w:pPr>
            <w:r>
              <w:rPr>
                <w:sz w:val="20"/>
              </w:rPr>
              <w:t xml:space="preserve">2.1</w:t>
            </w:r>
          </w:p>
        </w:tc>
        <w:tc>
          <w:tcPr>
            <w:tcW w:w="3345" w:type="dxa"/>
            <w:vMerge w:val="restart"/>
          </w:tcPr>
          <w:p>
            <w:pPr>
              <w:pStyle w:val="0"/>
            </w:pPr>
            <w:r>
              <w:rPr>
                <w:sz w:val="20"/>
              </w:rPr>
              <w:t xml:space="preserve">Мероприятие 51.01. Содействие увеличению уровня обеспеченности населения предприятиями общественного питания</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Население обеспечено предприятиями общественного питания (нарастающим итогом), пос. мест на 1000 человек</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41</w:t>
            </w:r>
          </w:p>
        </w:tc>
        <w:tc>
          <w:tcPr>
            <w:tcW w:w="1814" w:type="dxa"/>
          </w:tcPr>
          <w:p>
            <w:pPr>
              <w:pStyle w:val="0"/>
            </w:pPr>
            <w:r>
              <w:rPr>
                <w:sz w:val="20"/>
              </w:rPr>
              <w:t xml:space="preserve">38,64</w:t>
            </w:r>
          </w:p>
        </w:tc>
        <w:tc>
          <w:tcPr>
            <w:tcW w:w="1531" w:type="dxa"/>
          </w:tcPr>
          <w:p>
            <w:pPr>
              <w:pStyle w:val="0"/>
            </w:pPr>
            <w:r>
              <w:rPr>
                <w:sz w:val="20"/>
              </w:rPr>
              <w:t xml:space="preserve">39,35</w:t>
            </w:r>
          </w:p>
        </w:tc>
        <w:tc>
          <w:tcPr>
            <w:tcW w:w="1020" w:type="dxa"/>
          </w:tcPr>
          <w:p>
            <w:pPr>
              <w:pStyle w:val="0"/>
            </w:pPr>
            <w:r>
              <w:rPr>
                <w:sz w:val="20"/>
              </w:rPr>
              <w:t xml:space="preserve">39,95</w:t>
            </w:r>
          </w:p>
        </w:tc>
        <w:tc>
          <w:tcPr>
            <w:tcW w:w="1304" w:type="dxa"/>
          </w:tcPr>
          <w:p>
            <w:pPr>
              <w:pStyle w:val="0"/>
            </w:pPr>
            <w:r>
              <w:rPr>
                <w:sz w:val="20"/>
              </w:rPr>
              <w:t xml:space="preserve">39,50</w:t>
            </w:r>
          </w:p>
        </w:tc>
        <w:tc>
          <w:tcPr>
            <w:tcW w:w="1757" w:type="dxa"/>
          </w:tcPr>
          <w:p>
            <w:pPr>
              <w:pStyle w:val="0"/>
            </w:pPr>
            <w:r>
              <w:rPr>
                <w:sz w:val="20"/>
              </w:rPr>
              <w:t xml:space="preserve">39,65</w:t>
            </w:r>
          </w:p>
        </w:tc>
        <w:tc>
          <w:tcPr>
            <w:tcW w:w="1304" w:type="dxa"/>
          </w:tcPr>
          <w:p>
            <w:pPr>
              <w:pStyle w:val="0"/>
            </w:pPr>
            <w:r>
              <w:rPr>
                <w:sz w:val="20"/>
              </w:rPr>
              <w:t xml:space="preserve">39,80</w:t>
            </w:r>
          </w:p>
        </w:tc>
        <w:tc>
          <w:tcPr>
            <w:tcW w:w="1587" w:type="dxa"/>
          </w:tcPr>
          <w:p>
            <w:pPr>
              <w:pStyle w:val="0"/>
            </w:pPr>
            <w:r>
              <w:rPr>
                <w:sz w:val="20"/>
              </w:rPr>
              <w:t xml:space="preserve">39,95</w:t>
            </w:r>
          </w:p>
        </w:tc>
        <w:tc>
          <w:tcPr>
            <w:tcW w:w="1814" w:type="dxa"/>
          </w:tcPr>
          <w:p>
            <w:pPr>
              <w:pStyle w:val="0"/>
            </w:pPr>
            <w:r>
              <w:rPr>
                <w:sz w:val="20"/>
              </w:rPr>
              <w:t xml:space="preserve">40,45</w:t>
            </w:r>
          </w:p>
        </w:tc>
        <w:tc>
          <w:tcPr>
            <w:tcW w:w="1984" w:type="dxa"/>
          </w:tcPr>
          <w:p>
            <w:pPr>
              <w:pStyle w:val="0"/>
            </w:pPr>
            <w:r>
              <w:rPr>
                <w:sz w:val="20"/>
              </w:rPr>
              <w:t xml:space="preserve">41</w:t>
            </w:r>
          </w:p>
        </w:tc>
        <w:tc>
          <w:tcPr>
            <w:vMerge w:val="continue"/>
          </w:tcPr>
          <w:p/>
        </w:tc>
      </w:tr>
      <w:tr>
        <w:tc>
          <w:tcPr>
            <w:tcW w:w="624" w:type="dxa"/>
            <w:vMerge w:val="restart"/>
          </w:tcPr>
          <w:p>
            <w:pPr>
              <w:pStyle w:val="0"/>
              <w:outlineLvl w:val="3"/>
            </w:pPr>
            <w:r>
              <w:rPr>
                <w:sz w:val="20"/>
              </w:rPr>
              <w:t xml:space="preserve">3</w:t>
            </w:r>
          </w:p>
        </w:tc>
        <w:tc>
          <w:tcPr>
            <w:tcW w:w="3345" w:type="dxa"/>
            <w:vMerge w:val="restart"/>
          </w:tcPr>
          <w:p>
            <w:pPr>
              <w:pStyle w:val="0"/>
            </w:pPr>
            <w:r>
              <w:rPr>
                <w:sz w:val="20"/>
              </w:rPr>
              <w:t xml:space="preserve">Основное мероприятие 52. Развитие сферы бытовых услуг</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tcW w:w="624" w:type="dxa"/>
            <w:vMerge w:val="restart"/>
          </w:tcPr>
          <w:p>
            <w:pPr>
              <w:pStyle w:val="0"/>
            </w:pPr>
            <w:r>
              <w:rPr>
                <w:sz w:val="20"/>
              </w:rPr>
              <w:t xml:space="preserve">3.1</w:t>
            </w:r>
          </w:p>
        </w:tc>
        <w:tc>
          <w:tcPr>
            <w:tcW w:w="3345" w:type="dxa"/>
            <w:vMerge w:val="restart"/>
          </w:tcPr>
          <w:p>
            <w:pPr>
              <w:pStyle w:val="0"/>
            </w:pPr>
            <w:r>
              <w:rPr>
                <w:sz w:val="20"/>
              </w:rPr>
              <w:t xml:space="preserve">Мероприятие 52.01. Содействие увеличению уровня обеспеченности населения предприятиями бытового обслуживания</w:t>
            </w:r>
          </w:p>
        </w:tc>
        <w:tc>
          <w:tcPr>
            <w:tcW w:w="1587" w:type="dxa"/>
            <w:vMerge w:val="restart"/>
          </w:tcPr>
          <w:p>
            <w:pPr>
              <w:pStyle w:val="0"/>
            </w:pPr>
            <w:r>
              <w:rPr>
                <w:sz w:val="20"/>
              </w:rPr>
              <w:t xml:space="preserve">2023-2027</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Население обеспечено предприятиями бытового обслуживания (нарастающим итогом), раб. мест на 1000 человек</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10,45</w:t>
            </w:r>
          </w:p>
        </w:tc>
        <w:tc>
          <w:tcPr>
            <w:tcW w:w="1814" w:type="dxa"/>
          </w:tcPr>
          <w:p>
            <w:pPr>
              <w:pStyle w:val="0"/>
            </w:pPr>
            <w:r>
              <w:rPr>
                <w:sz w:val="20"/>
              </w:rPr>
              <w:t xml:space="preserve">10,9</w:t>
            </w:r>
          </w:p>
        </w:tc>
        <w:tc>
          <w:tcPr>
            <w:tcW w:w="1531" w:type="dxa"/>
          </w:tcPr>
          <w:p>
            <w:pPr>
              <w:pStyle w:val="0"/>
            </w:pPr>
            <w:r>
              <w:rPr>
                <w:sz w:val="20"/>
              </w:rPr>
              <w:t xml:space="preserve">10,10</w:t>
            </w:r>
          </w:p>
        </w:tc>
        <w:tc>
          <w:tcPr>
            <w:tcW w:w="1020" w:type="dxa"/>
          </w:tcPr>
          <w:p>
            <w:pPr>
              <w:pStyle w:val="0"/>
            </w:pPr>
            <w:r>
              <w:rPr>
                <w:sz w:val="20"/>
              </w:rPr>
              <w:t xml:space="preserve">10,17</w:t>
            </w:r>
          </w:p>
        </w:tc>
        <w:tc>
          <w:tcPr>
            <w:tcW w:w="1304" w:type="dxa"/>
          </w:tcPr>
          <w:p>
            <w:pPr>
              <w:pStyle w:val="0"/>
            </w:pPr>
            <w:r>
              <w:rPr>
                <w:sz w:val="20"/>
              </w:rPr>
              <w:t xml:space="preserve">10,12</w:t>
            </w:r>
          </w:p>
        </w:tc>
        <w:tc>
          <w:tcPr>
            <w:tcW w:w="1757" w:type="dxa"/>
          </w:tcPr>
          <w:p>
            <w:pPr>
              <w:pStyle w:val="0"/>
            </w:pPr>
            <w:r>
              <w:rPr>
                <w:sz w:val="20"/>
              </w:rPr>
              <w:t xml:space="preserve">10,14</w:t>
            </w:r>
          </w:p>
        </w:tc>
        <w:tc>
          <w:tcPr>
            <w:tcW w:w="1304" w:type="dxa"/>
          </w:tcPr>
          <w:p>
            <w:pPr>
              <w:pStyle w:val="0"/>
            </w:pPr>
            <w:r>
              <w:rPr>
                <w:sz w:val="20"/>
              </w:rPr>
              <w:t xml:space="preserve">10,15</w:t>
            </w:r>
          </w:p>
        </w:tc>
        <w:tc>
          <w:tcPr>
            <w:tcW w:w="1587" w:type="dxa"/>
          </w:tcPr>
          <w:p>
            <w:pPr>
              <w:pStyle w:val="0"/>
            </w:pPr>
            <w:r>
              <w:rPr>
                <w:sz w:val="20"/>
              </w:rPr>
              <w:t xml:space="preserve">10,17</w:t>
            </w:r>
          </w:p>
        </w:tc>
        <w:tc>
          <w:tcPr>
            <w:tcW w:w="1814" w:type="dxa"/>
          </w:tcPr>
          <w:p>
            <w:pPr>
              <w:pStyle w:val="0"/>
            </w:pPr>
            <w:r>
              <w:rPr>
                <w:sz w:val="20"/>
              </w:rPr>
              <w:t xml:space="preserve">10,25</w:t>
            </w:r>
          </w:p>
        </w:tc>
        <w:tc>
          <w:tcPr>
            <w:tcW w:w="1984" w:type="dxa"/>
          </w:tcPr>
          <w:p>
            <w:pPr>
              <w:pStyle w:val="0"/>
            </w:pPr>
            <w:r>
              <w:rPr>
                <w:sz w:val="20"/>
              </w:rPr>
              <w:t xml:space="preserve">10,45</w:t>
            </w:r>
          </w:p>
        </w:tc>
        <w:tc>
          <w:tcPr>
            <w:vMerge w:val="continue"/>
          </w:tcPr>
          <w:p/>
        </w:tc>
      </w:tr>
      <w:tr>
        <w:tc>
          <w:tcPr>
            <w:tcW w:w="624" w:type="dxa"/>
            <w:vMerge w:val="restart"/>
          </w:tcPr>
          <w:p>
            <w:pPr>
              <w:pStyle w:val="0"/>
            </w:pPr>
            <w:r>
              <w:rPr>
                <w:sz w:val="20"/>
              </w:rPr>
              <w:t xml:space="preserve">3.2</w:t>
            </w:r>
          </w:p>
        </w:tc>
        <w:tc>
          <w:tcPr>
            <w:tcW w:w="3345" w:type="dxa"/>
            <w:vMerge w:val="restart"/>
          </w:tcPr>
          <w:p>
            <w:pPr>
              <w:pStyle w:val="0"/>
            </w:pPr>
            <w:r>
              <w:rPr>
                <w:sz w:val="20"/>
              </w:rPr>
              <w:t xml:space="preserve">Мероприятие 52.02. Содействие в приведении всех объектов дорожного и придорожного сервиса в соответствие с требованиями, нормами и стандартами действующего законодательства</w:t>
            </w:r>
          </w:p>
        </w:tc>
        <w:tc>
          <w:tcPr>
            <w:tcW w:w="1587" w:type="dxa"/>
            <w:vMerge w:val="restart"/>
          </w:tcPr>
          <w:p>
            <w:pPr>
              <w:pStyle w:val="0"/>
            </w:pPr>
            <w:r>
              <w:rPr>
                <w:sz w:val="20"/>
              </w:rPr>
              <w:t xml:space="preserve">2023-2024</w:t>
            </w:r>
          </w:p>
        </w:tc>
        <w:tc>
          <w:tcPr>
            <w:tcW w:w="1928" w:type="dxa"/>
          </w:tcPr>
          <w:p>
            <w:pPr>
              <w:pStyle w:val="0"/>
            </w:pPr>
            <w:r>
              <w:rPr>
                <w:sz w:val="20"/>
              </w:rPr>
              <w:t xml:space="preserve">Итого:</w:t>
            </w:r>
          </w:p>
        </w:tc>
        <w:tc>
          <w:tcPr>
            <w:gridSpan w:val="10"/>
            <w:tcW w:w="15929" w:type="dxa"/>
            <w:vMerge w:val="restart"/>
          </w:tcPr>
          <w:p>
            <w:pPr>
              <w:pStyle w:val="0"/>
            </w:pPr>
            <w:r>
              <w:rPr>
                <w:sz w:val="20"/>
              </w:rPr>
              <w:t xml:space="preserve">В пределах средств на обеспечение деятельности Минсельхозпрода Московской области и органов местного самоуправления муниципальных образований Московской области</w:t>
            </w:r>
          </w:p>
        </w:tc>
        <w:tc>
          <w:tcPr>
            <w:tcW w:w="2438" w:type="dxa"/>
            <w:vMerge w:val="restart"/>
          </w:tcPr>
          <w:p>
            <w:pPr>
              <w:pStyle w:val="0"/>
            </w:pPr>
            <w:r>
              <w:rPr>
                <w:sz w:val="20"/>
              </w:rPr>
              <w:t xml:space="preserve">Минсельхозпрод Московской области, органы местного самоуправления муниципальных образований Московской области</w:t>
            </w:r>
          </w:p>
        </w:tc>
      </w:tr>
      <w:tr>
        <w:tc>
          <w:tcPr>
            <w:vMerge w:val="continue"/>
          </w:tcPr>
          <w:p/>
        </w:tc>
        <w:tc>
          <w:tcPr>
            <w:vMerge w:val="continue"/>
          </w:tcPr>
          <w:p/>
        </w:tc>
        <w:tc>
          <w:tcPr>
            <w:vMerge w:val="continue"/>
          </w:tcPr>
          <w:p/>
        </w:tc>
        <w:tc>
          <w:tcPr>
            <w:tcW w:w="1928" w:type="dxa"/>
          </w:tcPr>
          <w:p>
            <w:pPr>
              <w:pStyle w:val="0"/>
            </w:pPr>
            <w:r>
              <w:rPr>
                <w:sz w:val="20"/>
              </w:rPr>
              <w:t xml:space="preserve">Средства бюджета Московской области</w:t>
            </w:r>
          </w:p>
        </w:tc>
        <w:tc>
          <w:tcPr>
            <w:gridSpan w:val="10"/>
            <w:vMerge w:val="continue"/>
          </w:tcPr>
          <w:p/>
        </w:tc>
        <w:tc>
          <w:tcPr>
            <w:vMerge w:val="continue"/>
          </w:tcPr>
          <w:p/>
        </w:tc>
      </w:tr>
      <w:tr>
        <w:tc>
          <w:tcPr>
            <w:vMerge w:val="continue"/>
          </w:tcPr>
          <w:p/>
        </w:tc>
        <w:tc>
          <w:tcPr>
            <w:tcW w:w="3345" w:type="dxa"/>
            <w:vMerge w:val="restart"/>
          </w:tcPr>
          <w:p>
            <w:pPr>
              <w:pStyle w:val="0"/>
            </w:pPr>
            <w:r>
              <w:rPr>
                <w:sz w:val="20"/>
              </w:rPr>
              <w:t xml:space="preserve">Результат 1. 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587" w:type="dxa"/>
            <w:vMerge w:val="restart"/>
          </w:tcPr>
          <w:p>
            <w:pPr>
              <w:pStyle w:val="0"/>
            </w:pPr>
            <w:r>
              <w:rPr>
                <w:sz w:val="20"/>
              </w:rPr>
              <w:t xml:space="preserve">Х</w:t>
            </w:r>
          </w:p>
        </w:tc>
        <w:tc>
          <w:tcPr>
            <w:tcW w:w="1928" w:type="dxa"/>
            <w:vMerge w:val="restart"/>
          </w:tcPr>
          <w:p>
            <w:pPr>
              <w:pStyle w:val="0"/>
            </w:pPr>
            <w:r>
              <w:rPr>
                <w:sz w:val="20"/>
              </w:rPr>
              <w:t xml:space="preserve">Х</w:t>
            </w:r>
          </w:p>
        </w:tc>
        <w:tc>
          <w:tcPr>
            <w:tcW w:w="1814" w:type="dxa"/>
            <w:vMerge w:val="restart"/>
          </w:tcPr>
          <w:p>
            <w:pPr>
              <w:pStyle w:val="0"/>
            </w:pPr>
            <w:r>
              <w:rPr>
                <w:sz w:val="20"/>
              </w:rPr>
              <w:t xml:space="preserve">Всего</w:t>
            </w:r>
          </w:p>
        </w:tc>
        <w:tc>
          <w:tcPr>
            <w:tcW w:w="1814" w:type="dxa"/>
            <w:vMerge w:val="restart"/>
          </w:tcPr>
          <w:p>
            <w:pPr>
              <w:pStyle w:val="0"/>
            </w:pPr>
            <w:r>
              <w:rPr>
                <w:sz w:val="20"/>
              </w:rPr>
              <w:t xml:space="preserve">2023 год</w:t>
            </w:r>
          </w:p>
        </w:tc>
        <w:tc>
          <w:tcPr>
            <w:tcW w:w="1531" w:type="dxa"/>
            <w:vMerge w:val="restart"/>
          </w:tcPr>
          <w:p>
            <w:pPr>
              <w:pStyle w:val="0"/>
            </w:pPr>
            <w:r>
              <w:rPr>
                <w:sz w:val="20"/>
              </w:rPr>
              <w:t xml:space="preserve">2024 год</w:t>
            </w:r>
          </w:p>
        </w:tc>
        <w:tc>
          <w:tcPr>
            <w:tcW w:w="1020" w:type="dxa"/>
            <w:vMerge w:val="restart"/>
          </w:tcPr>
          <w:p>
            <w:pPr>
              <w:pStyle w:val="0"/>
            </w:pPr>
            <w:r>
              <w:rPr>
                <w:sz w:val="20"/>
              </w:rPr>
              <w:t xml:space="preserve">Итого 2025 год</w:t>
            </w:r>
          </w:p>
        </w:tc>
        <w:tc>
          <w:tcPr>
            <w:gridSpan w:val="4"/>
            <w:tcW w:w="5952" w:type="dxa"/>
          </w:tcPr>
          <w:p>
            <w:pPr>
              <w:pStyle w:val="0"/>
            </w:pPr>
            <w:r>
              <w:rPr>
                <w:sz w:val="20"/>
              </w:rPr>
              <w:t xml:space="preserve">В том числе:</w:t>
            </w:r>
          </w:p>
        </w:tc>
        <w:tc>
          <w:tcPr>
            <w:tcW w:w="1814" w:type="dxa"/>
            <w:vMerge w:val="restart"/>
          </w:tcPr>
          <w:p>
            <w:pPr>
              <w:pStyle w:val="0"/>
            </w:pPr>
            <w:r>
              <w:rPr>
                <w:sz w:val="20"/>
              </w:rPr>
              <w:t xml:space="preserve">2026 год</w:t>
            </w:r>
          </w:p>
        </w:tc>
        <w:tc>
          <w:tcPr>
            <w:tcW w:w="1984" w:type="dxa"/>
            <w:vMerge w:val="restart"/>
          </w:tcPr>
          <w:p>
            <w:pPr>
              <w:pStyle w:val="0"/>
            </w:pPr>
            <w:r>
              <w:rPr>
                <w:sz w:val="20"/>
              </w:rPr>
              <w:t xml:space="preserve">2027 год</w:t>
            </w:r>
          </w:p>
        </w:tc>
        <w:tc>
          <w:tcPr>
            <w:tcW w:w="2438" w:type="dxa"/>
            <w:vMerge w:val="restart"/>
          </w:tcPr>
          <w:p>
            <w:pPr>
              <w:pStyle w:val="0"/>
            </w:pPr>
            <w:r>
              <w:rPr>
                <w:sz w:val="20"/>
              </w:rPr>
              <w:t xml:space="preserve">Х</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304" w:type="dxa"/>
          </w:tcPr>
          <w:p>
            <w:pPr>
              <w:pStyle w:val="0"/>
            </w:pPr>
            <w:r>
              <w:rPr>
                <w:sz w:val="20"/>
              </w:rPr>
              <w:t xml:space="preserve">1 квартал</w:t>
            </w:r>
          </w:p>
        </w:tc>
        <w:tc>
          <w:tcPr>
            <w:tcW w:w="1757" w:type="dxa"/>
          </w:tcPr>
          <w:p>
            <w:pPr>
              <w:pStyle w:val="0"/>
            </w:pPr>
            <w:r>
              <w:rPr>
                <w:sz w:val="20"/>
              </w:rPr>
              <w:t xml:space="preserve">1 полугодие</w:t>
            </w:r>
          </w:p>
        </w:tc>
        <w:tc>
          <w:tcPr>
            <w:tcW w:w="1304" w:type="dxa"/>
          </w:tcPr>
          <w:p>
            <w:pPr>
              <w:pStyle w:val="0"/>
            </w:pPr>
            <w:r>
              <w:rPr>
                <w:sz w:val="20"/>
              </w:rPr>
              <w:t xml:space="preserve">9 месяцев</w:t>
            </w:r>
          </w:p>
        </w:tc>
        <w:tc>
          <w:tcPr>
            <w:tcW w:w="1587" w:type="dxa"/>
          </w:tcPr>
          <w:p>
            <w:pPr>
              <w:pStyle w:val="0"/>
            </w:pPr>
            <w:r>
              <w:rPr>
                <w:sz w:val="20"/>
              </w:rPr>
              <w:t xml:space="preserve">12 месяцев</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814" w:type="dxa"/>
          </w:tcPr>
          <w:p>
            <w:pPr>
              <w:pStyle w:val="0"/>
            </w:pPr>
            <w:r>
              <w:rPr>
                <w:sz w:val="20"/>
              </w:rPr>
              <w:t xml:space="preserve">3381</w:t>
            </w:r>
          </w:p>
        </w:tc>
        <w:tc>
          <w:tcPr>
            <w:tcW w:w="1814" w:type="dxa"/>
          </w:tcPr>
          <w:p>
            <w:pPr>
              <w:pStyle w:val="0"/>
            </w:pPr>
            <w:r>
              <w:rPr>
                <w:sz w:val="20"/>
              </w:rPr>
              <w:t xml:space="preserve">3181</w:t>
            </w:r>
          </w:p>
        </w:tc>
        <w:tc>
          <w:tcPr>
            <w:tcW w:w="1531" w:type="dxa"/>
          </w:tcPr>
          <w:p>
            <w:pPr>
              <w:pStyle w:val="0"/>
            </w:pPr>
            <w:r>
              <w:rPr>
                <w:sz w:val="20"/>
              </w:rPr>
              <w:t xml:space="preserve">3381</w:t>
            </w:r>
          </w:p>
        </w:tc>
        <w:tc>
          <w:tcPr>
            <w:tcW w:w="1020" w:type="dxa"/>
          </w:tcPr>
          <w:p>
            <w:pPr>
              <w:pStyle w:val="0"/>
            </w:pPr>
            <w:r>
              <w:rPr>
                <w:sz w:val="20"/>
              </w:rPr>
              <w:t xml:space="preserve">-</w:t>
            </w:r>
          </w:p>
        </w:tc>
        <w:tc>
          <w:tcPr>
            <w:tcW w:w="1304" w:type="dxa"/>
          </w:tcPr>
          <w:p>
            <w:pPr>
              <w:pStyle w:val="0"/>
            </w:pPr>
            <w:r>
              <w:rPr>
                <w:sz w:val="20"/>
              </w:rPr>
              <w:t xml:space="preserve">-</w:t>
            </w:r>
          </w:p>
        </w:tc>
        <w:tc>
          <w:tcPr>
            <w:tcW w:w="1757" w:type="dxa"/>
          </w:tcPr>
          <w:p>
            <w:pPr>
              <w:pStyle w:val="0"/>
            </w:pPr>
            <w:r>
              <w:rPr>
                <w:sz w:val="20"/>
              </w:rPr>
              <w:t xml:space="preserve">-</w:t>
            </w:r>
          </w:p>
        </w:tc>
        <w:tc>
          <w:tcPr>
            <w:tcW w:w="1304" w:type="dxa"/>
          </w:tcPr>
          <w:p>
            <w:pPr>
              <w:pStyle w:val="0"/>
            </w:pPr>
            <w:r>
              <w:rPr>
                <w:sz w:val="20"/>
              </w:rPr>
              <w:t xml:space="preserve">-</w:t>
            </w:r>
          </w:p>
        </w:tc>
        <w:tc>
          <w:tcPr>
            <w:tcW w:w="1587" w:type="dxa"/>
          </w:tcPr>
          <w:p>
            <w:pPr>
              <w:pStyle w:val="0"/>
            </w:pPr>
            <w:r>
              <w:rPr>
                <w:sz w:val="20"/>
              </w:rPr>
              <w:t xml:space="preserve">-</w:t>
            </w:r>
          </w:p>
        </w:tc>
        <w:tc>
          <w:tcPr>
            <w:tcW w:w="1814" w:type="dxa"/>
          </w:tcPr>
          <w:p>
            <w:pPr>
              <w:pStyle w:val="0"/>
            </w:pPr>
            <w:r>
              <w:rPr>
                <w:sz w:val="20"/>
              </w:rPr>
              <w:t xml:space="preserve">-</w:t>
            </w:r>
          </w:p>
        </w:tc>
        <w:tc>
          <w:tcPr>
            <w:tcW w:w="1984" w:type="dxa"/>
          </w:tcPr>
          <w:p>
            <w:pPr>
              <w:pStyle w:val="0"/>
            </w:pPr>
            <w:r>
              <w:rPr>
                <w:sz w:val="20"/>
              </w:rPr>
              <w:t xml:space="preserve">-</w:t>
            </w:r>
          </w:p>
        </w:tc>
        <w:tc>
          <w:tcPr>
            <w:vMerge w:val="continue"/>
          </w:tcPr>
          <w:p/>
        </w:tc>
      </w:tr>
      <w:tr>
        <w:tc>
          <w:tcPr>
            <w:gridSpan w:val="3"/>
            <w:tcW w:w="5556" w:type="dxa"/>
            <w:vMerge w:val="restart"/>
          </w:tcPr>
          <w:p>
            <w:pPr>
              <w:pStyle w:val="0"/>
            </w:pPr>
            <w:r>
              <w:rPr>
                <w:sz w:val="20"/>
              </w:rPr>
              <w:t xml:space="preserve">Итого по подпрограмме</w:t>
            </w:r>
          </w:p>
        </w:tc>
        <w:tc>
          <w:tcPr>
            <w:tcW w:w="1928" w:type="dxa"/>
          </w:tcPr>
          <w:p>
            <w:pPr>
              <w:pStyle w:val="0"/>
            </w:pPr>
            <w:r>
              <w:rPr>
                <w:sz w:val="20"/>
              </w:rPr>
              <w:t xml:space="preserve">Итого:</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tcW w:w="2438" w:type="dxa"/>
            <w:vMerge w:val="restart"/>
          </w:tcPr>
          <w:p>
            <w:pPr>
              <w:pStyle w:val="0"/>
            </w:pPr>
            <w:r>
              <w:rPr>
                <w:sz w:val="20"/>
              </w:rPr>
              <w:t xml:space="preserve">Х</w:t>
            </w:r>
          </w:p>
        </w:tc>
      </w:tr>
      <w:tr>
        <w:tc>
          <w:tcPr>
            <w:gridSpan w:val="3"/>
            <w:vMerge w:val="continue"/>
          </w:tcPr>
          <w:p/>
        </w:tc>
        <w:tc>
          <w:tcPr>
            <w:tcW w:w="1928" w:type="dxa"/>
          </w:tcPr>
          <w:p>
            <w:pPr>
              <w:pStyle w:val="0"/>
            </w:pPr>
            <w:r>
              <w:rPr>
                <w:sz w:val="20"/>
              </w:rPr>
              <w:t xml:space="preserve">Средства бюджета Московской области</w:t>
            </w:r>
          </w:p>
        </w:tc>
        <w:tc>
          <w:tcPr>
            <w:tcW w:w="1814" w:type="dxa"/>
          </w:tcPr>
          <w:p>
            <w:pPr>
              <w:pStyle w:val="0"/>
            </w:pPr>
            <w:r>
              <w:rPr>
                <w:sz w:val="20"/>
              </w:rPr>
              <w:t xml:space="preserve">-</w:t>
            </w:r>
          </w:p>
        </w:tc>
        <w:tc>
          <w:tcPr>
            <w:tcW w:w="1814" w:type="dxa"/>
          </w:tcPr>
          <w:p>
            <w:pPr>
              <w:pStyle w:val="0"/>
            </w:pPr>
            <w:r>
              <w:rPr>
                <w:sz w:val="20"/>
              </w:rPr>
              <w:t xml:space="preserve">-</w:t>
            </w:r>
          </w:p>
        </w:tc>
        <w:tc>
          <w:tcPr>
            <w:tcW w:w="1531" w:type="dxa"/>
          </w:tcPr>
          <w:p>
            <w:pPr>
              <w:pStyle w:val="0"/>
            </w:pPr>
            <w:r>
              <w:rPr>
                <w:sz w:val="20"/>
              </w:rPr>
              <w:t xml:space="preserve">-</w:t>
            </w:r>
          </w:p>
        </w:tc>
        <w:tc>
          <w:tcPr>
            <w:gridSpan w:val="5"/>
            <w:tcW w:w="6972" w:type="dxa"/>
          </w:tcPr>
          <w:p>
            <w:pPr>
              <w:pStyle w:val="0"/>
            </w:pPr>
            <w:r>
              <w:rPr>
                <w:sz w:val="20"/>
              </w:rPr>
              <w:t xml:space="preserve">-</w:t>
            </w:r>
          </w:p>
        </w:tc>
        <w:tc>
          <w:tcPr>
            <w:tcW w:w="1814" w:type="dxa"/>
          </w:tcPr>
          <w:p>
            <w:pPr>
              <w:pStyle w:val="0"/>
            </w:pPr>
            <w:r>
              <w:rPr>
                <w:sz w:val="20"/>
              </w:rPr>
              <w:t xml:space="preserve">-</w:t>
            </w:r>
          </w:p>
        </w:tc>
        <w:tc>
          <w:tcPr>
            <w:tcW w:w="1984" w:type="dxa"/>
          </w:tcPr>
          <w:p>
            <w:pPr>
              <w:pStyle w:val="0"/>
            </w:pPr>
            <w:r>
              <w:rPr>
                <w:sz w:val="20"/>
              </w:rPr>
              <w:t xml:space="preserve">-</w:t>
            </w:r>
          </w:p>
        </w:tc>
        <w:tc>
          <w:tcPr>
            <w:vMerge w:val="continue"/>
          </w:tcPr>
          <w:p/>
        </w:tc>
      </w:tr>
      <w:tr>
        <w:tc>
          <w:tcPr>
            <w:gridSpan w:val="3"/>
            <w:vMerge w:val="continue"/>
          </w:tcPr>
          <w:p/>
        </w:tc>
        <w:tc>
          <w:tcPr>
            <w:tcW w:w="1928" w:type="dxa"/>
          </w:tcPr>
          <w:p>
            <w:pPr>
              <w:pStyle w:val="0"/>
            </w:pPr>
            <w:r>
              <w:rPr>
                <w:sz w:val="20"/>
              </w:rPr>
              <w:t xml:space="preserve">Внебюджетные средства</w:t>
            </w:r>
          </w:p>
        </w:tc>
        <w:tc>
          <w:tcPr>
            <w:tcW w:w="1814" w:type="dxa"/>
          </w:tcPr>
          <w:p>
            <w:pPr>
              <w:pStyle w:val="0"/>
            </w:pPr>
            <w:r>
              <w:rPr>
                <w:sz w:val="20"/>
              </w:rPr>
              <w:t xml:space="preserve">117250000,00</w:t>
            </w:r>
          </w:p>
        </w:tc>
        <w:tc>
          <w:tcPr>
            <w:tcW w:w="1814" w:type="dxa"/>
          </w:tcPr>
          <w:p>
            <w:pPr>
              <w:pStyle w:val="0"/>
            </w:pPr>
            <w:r>
              <w:rPr>
                <w:sz w:val="20"/>
              </w:rPr>
              <w:t xml:space="preserve">23650000,00</w:t>
            </w:r>
          </w:p>
        </w:tc>
        <w:tc>
          <w:tcPr>
            <w:tcW w:w="1531" w:type="dxa"/>
          </w:tcPr>
          <w:p>
            <w:pPr>
              <w:pStyle w:val="0"/>
            </w:pPr>
            <w:r>
              <w:rPr>
                <w:sz w:val="20"/>
              </w:rPr>
              <w:t xml:space="preserve">21700000,00</w:t>
            </w:r>
          </w:p>
        </w:tc>
        <w:tc>
          <w:tcPr>
            <w:gridSpan w:val="5"/>
            <w:tcW w:w="6972" w:type="dxa"/>
          </w:tcPr>
          <w:p>
            <w:pPr>
              <w:pStyle w:val="0"/>
            </w:pPr>
            <w:r>
              <w:rPr>
                <w:sz w:val="20"/>
              </w:rPr>
              <w:t xml:space="preserve">22500000,00</w:t>
            </w:r>
          </w:p>
        </w:tc>
        <w:tc>
          <w:tcPr>
            <w:tcW w:w="1814" w:type="dxa"/>
          </w:tcPr>
          <w:p>
            <w:pPr>
              <w:pStyle w:val="0"/>
            </w:pPr>
            <w:r>
              <w:rPr>
                <w:sz w:val="20"/>
              </w:rPr>
              <w:t xml:space="preserve">24200000,00</w:t>
            </w:r>
          </w:p>
        </w:tc>
        <w:tc>
          <w:tcPr>
            <w:tcW w:w="1984" w:type="dxa"/>
          </w:tcPr>
          <w:p>
            <w:pPr>
              <w:pStyle w:val="0"/>
            </w:pPr>
            <w:r>
              <w:rPr>
                <w:sz w:val="20"/>
              </w:rPr>
              <w:t xml:space="preserve">25200000,00</w:t>
            </w:r>
          </w:p>
        </w:tc>
        <w:tc>
          <w:tcPr>
            <w:vMerge w:val="continue"/>
          </w:tcPr>
          <w:p/>
        </w:tc>
      </w:tr>
    </w:tbl>
    <w:p>
      <w:pPr>
        <w:pStyle w:val="0"/>
        <w:jc w:val="both"/>
      </w:pPr>
      <w:r>
        <w:rPr>
          <w:sz w:val="20"/>
        </w:rPr>
      </w:r>
    </w:p>
    <w:p>
      <w:pPr>
        <w:pStyle w:val="2"/>
        <w:outlineLvl w:val="1"/>
        <w:jc w:val="center"/>
      </w:pPr>
      <w:r>
        <w:rPr>
          <w:sz w:val="20"/>
        </w:rPr>
        <w:t xml:space="preserve">9. Подпрограмма 5 "Обеспечивающая подпрограмма"</w:t>
      </w:r>
    </w:p>
    <w:p>
      <w:pPr>
        <w:pStyle w:val="0"/>
        <w:jc w:val="both"/>
      </w:pPr>
      <w:r>
        <w:rPr>
          <w:sz w:val="20"/>
        </w:rPr>
      </w:r>
    </w:p>
    <w:p>
      <w:pPr>
        <w:pStyle w:val="2"/>
        <w:outlineLvl w:val="2"/>
        <w:jc w:val="center"/>
      </w:pPr>
      <w:r>
        <w:rPr>
          <w:sz w:val="20"/>
        </w:rPr>
        <w:t xml:space="preserve">9.1. Перечень мероприятий Подпрограммы 5</w:t>
      </w:r>
    </w:p>
    <w:p>
      <w:pPr>
        <w:pStyle w:val="2"/>
        <w:jc w:val="center"/>
      </w:pPr>
      <w:r>
        <w:rPr>
          <w:sz w:val="20"/>
        </w:rPr>
        <w:t xml:space="preserve">"Обеспечивающая подпрограмма"</w:t>
      </w:r>
    </w:p>
    <w:p>
      <w:pPr>
        <w:pStyle w:val="0"/>
        <w:jc w:val="center"/>
      </w:pPr>
      <w:r>
        <w:rPr>
          <w:sz w:val="20"/>
        </w:rPr>
      </w:r>
    </w:p>
    <w:p>
      <w:pPr>
        <w:pStyle w:val="0"/>
        <w:jc w:val="center"/>
      </w:pPr>
      <w:r>
        <w:rPr>
          <w:sz w:val="20"/>
        </w:rPr>
        <w:t xml:space="preserve">(в ред. </w:t>
      </w:r>
      <w:hyperlink w:history="0" r:id="rId830" w:tooltip="Постановление Правительства МО от 25.12.2024 N 1684-ПП &quot;О внесении изменений в государственную программу Московской области &quot;Предпринимательство Подмосковья&quot; на 2023-2027 годы и признании утратившими силу некоторых постановлений Правительства Московской области&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25.12.2024 N 1684-ПП)</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572"/>
        <w:gridCol w:w="1701"/>
        <w:gridCol w:w="1560"/>
        <w:gridCol w:w="1531"/>
        <w:gridCol w:w="1474"/>
        <w:gridCol w:w="1474"/>
        <w:gridCol w:w="1474"/>
        <w:gridCol w:w="1474"/>
        <w:gridCol w:w="1417"/>
        <w:gridCol w:w="1876"/>
      </w:tblGrid>
      <w:tr>
        <w:tc>
          <w:tcPr>
            <w:tcW w:w="737" w:type="dxa"/>
            <w:vMerge w:val="restart"/>
          </w:tcPr>
          <w:p>
            <w:pPr>
              <w:pStyle w:val="0"/>
            </w:pPr>
            <w:r>
              <w:rPr>
                <w:sz w:val="20"/>
              </w:rPr>
              <w:t xml:space="preserve">N п/п</w:t>
            </w:r>
          </w:p>
        </w:tc>
        <w:tc>
          <w:tcPr>
            <w:tcW w:w="3572" w:type="dxa"/>
            <w:vMerge w:val="restart"/>
          </w:tcPr>
          <w:p>
            <w:pPr>
              <w:pStyle w:val="0"/>
            </w:pPr>
            <w:r>
              <w:rPr>
                <w:sz w:val="20"/>
              </w:rPr>
              <w:t xml:space="preserve">Мероприятие подпрограммы</w:t>
            </w:r>
          </w:p>
        </w:tc>
        <w:tc>
          <w:tcPr>
            <w:tcW w:w="1701" w:type="dxa"/>
            <w:vMerge w:val="restart"/>
          </w:tcPr>
          <w:p>
            <w:pPr>
              <w:pStyle w:val="0"/>
            </w:pPr>
            <w:r>
              <w:rPr>
                <w:sz w:val="20"/>
              </w:rPr>
              <w:t xml:space="preserve">Сроки исполнения мероприятия</w:t>
            </w:r>
          </w:p>
        </w:tc>
        <w:tc>
          <w:tcPr>
            <w:tcW w:w="1560" w:type="dxa"/>
            <w:vMerge w:val="restart"/>
          </w:tcPr>
          <w:p>
            <w:pPr>
              <w:pStyle w:val="0"/>
            </w:pPr>
            <w:r>
              <w:rPr>
                <w:sz w:val="20"/>
              </w:rPr>
              <w:t xml:space="preserve">Источники финансирования</w:t>
            </w:r>
          </w:p>
        </w:tc>
        <w:tc>
          <w:tcPr>
            <w:tcW w:w="1531" w:type="dxa"/>
            <w:vMerge w:val="restart"/>
          </w:tcPr>
          <w:p>
            <w:pPr>
              <w:pStyle w:val="0"/>
            </w:pPr>
            <w:r>
              <w:rPr>
                <w:sz w:val="20"/>
              </w:rPr>
              <w:t xml:space="preserve">Всего (тыс. руб.)</w:t>
            </w:r>
          </w:p>
        </w:tc>
        <w:tc>
          <w:tcPr>
            <w:gridSpan w:val="5"/>
            <w:tcW w:w="7313" w:type="dxa"/>
          </w:tcPr>
          <w:p>
            <w:pPr>
              <w:pStyle w:val="0"/>
            </w:pPr>
            <w:r>
              <w:rPr>
                <w:sz w:val="20"/>
              </w:rPr>
              <w:t xml:space="preserve">Объем финансирования по годам (тыс. руб.)</w:t>
            </w:r>
          </w:p>
        </w:tc>
        <w:tc>
          <w:tcPr>
            <w:tcW w:w="1876" w:type="dxa"/>
            <w:vMerge w:val="restart"/>
          </w:tcPr>
          <w:p>
            <w:pPr>
              <w:pStyle w:val="0"/>
            </w:pPr>
            <w:r>
              <w:rPr>
                <w:sz w:val="20"/>
              </w:rPr>
              <w:t xml:space="preserve">Ответственный за выполнение мероприятия</w:t>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t xml:space="preserve">2023 год</w:t>
            </w:r>
          </w:p>
        </w:tc>
        <w:tc>
          <w:tcPr>
            <w:tcW w:w="1474" w:type="dxa"/>
          </w:tcPr>
          <w:p>
            <w:pPr>
              <w:pStyle w:val="0"/>
            </w:pPr>
            <w:r>
              <w:rPr>
                <w:sz w:val="20"/>
              </w:rPr>
              <w:t xml:space="preserve">2024 год</w:t>
            </w:r>
          </w:p>
        </w:tc>
        <w:tc>
          <w:tcPr>
            <w:tcW w:w="1474" w:type="dxa"/>
          </w:tcPr>
          <w:p>
            <w:pPr>
              <w:pStyle w:val="0"/>
            </w:pPr>
            <w:r>
              <w:rPr>
                <w:sz w:val="20"/>
              </w:rPr>
              <w:t xml:space="preserve">2025 год</w:t>
            </w:r>
          </w:p>
        </w:tc>
        <w:tc>
          <w:tcPr>
            <w:tcW w:w="1474" w:type="dxa"/>
          </w:tcPr>
          <w:p>
            <w:pPr>
              <w:pStyle w:val="0"/>
            </w:pPr>
            <w:r>
              <w:rPr>
                <w:sz w:val="20"/>
              </w:rPr>
              <w:t xml:space="preserve">2026 год</w:t>
            </w:r>
          </w:p>
        </w:tc>
        <w:tc>
          <w:tcPr>
            <w:tcW w:w="1417" w:type="dxa"/>
          </w:tcPr>
          <w:p>
            <w:pPr>
              <w:pStyle w:val="0"/>
            </w:pPr>
            <w:r>
              <w:rPr>
                <w:sz w:val="20"/>
              </w:rPr>
              <w:t xml:space="preserve">2027 год</w:t>
            </w:r>
          </w:p>
        </w:tc>
        <w:tc>
          <w:tcPr>
            <w:vMerge w:val="continue"/>
          </w:tcPr>
          <w:p/>
        </w:tc>
      </w:tr>
      <w:tr>
        <w:tc>
          <w:tcPr>
            <w:tcW w:w="737" w:type="dxa"/>
          </w:tcPr>
          <w:p>
            <w:pPr>
              <w:pStyle w:val="0"/>
            </w:pPr>
            <w:r>
              <w:rPr>
                <w:sz w:val="20"/>
              </w:rPr>
              <w:t xml:space="preserve">1</w:t>
            </w:r>
          </w:p>
        </w:tc>
        <w:tc>
          <w:tcPr>
            <w:tcW w:w="3572" w:type="dxa"/>
          </w:tcPr>
          <w:p>
            <w:pPr>
              <w:pStyle w:val="0"/>
            </w:pPr>
            <w:r>
              <w:rPr>
                <w:sz w:val="20"/>
              </w:rPr>
              <w:t xml:space="preserve">2</w:t>
            </w:r>
          </w:p>
        </w:tc>
        <w:tc>
          <w:tcPr>
            <w:tcW w:w="1701" w:type="dxa"/>
          </w:tcPr>
          <w:p>
            <w:pPr>
              <w:pStyle w:val="0"/>
            </w:pPr>
            <w:r>
              <w:rPr>
                <w:sz w:val="20"/>
              </w:rPr>
              <w:t xml:space="preserve">3</w:t>
            </w:r>
          </w:p>
        </w:tc>
        <w:tc>
          <w:tcPr>
            <w:tcW w:w="1560" w:type="dxa"/>
          </w:tcPr>
          <w:p>
            <w:pPr>
              <w:pStyle w:val="0"/>
            </w:pPr>
            <w:r>
              <w:rPr>
                <w:sz w:val="20"/>
              </w:rPr>
              <w:t xml:space="preserve">4</w:t>
            </w:r>
          </w:p>
        </w:tc>
        <w:tc>
          <w:tcPr>
            <w:tcW w:w="1531" w:type="dxa"/>
          </w:tcPr>
          <w:p>
            <w:pPr>
              <w:pStyle w:val="0"/>
            </w:pPr>
            <w:r>
              <w:rPr>
                <w:sz w:val="20"/>
              </w:rPr>
              <w:t xml:space="preserve">5</w:t>
            </w:r>
          </w:p>
        </w:tc>
        <w:tc>
          <w:tcPr>
            <w:tcW w:w="1474" w:type="dxa"/>
          </w:tcPr>
          <w:p>
            <w:pPr>
              <w:pStyle w:val="0"/>
            </w:pPr>
            <w:r>
              <w:rPr>
                <w:sz w:val="20"/>
              </w:rPr>
              <w:t xml:space="preserve">6</w:t>
            </w:r>
          </w:p>
        </w:tc>
        <w:tc>
          <w:tcPr>
            <w:tcW w:w="1474" w:type="dxa"/>
          </w:tcPr>
          <w:p>
            <w:pPr>
              <w:pStyle w:val="0"/>
            </w:pPr>
            <w:r>
              <w:rPr>
                <w:sz w:val="20"/>
              </w:rPr>
              <w:t xml:space="preserve">7</w:t>
            </w:r>
          </w:p>
        </w:tc>
        <w:tc>
          <w:tcPr>
            <w:tcW w:w="1474" w:type="dxa"/>
          </w:tcPr>
          <w:p>
            <w:pPr>
              <w:pStyle w:val="0"/>
            </w:pPr>
            <w:r>
              <w:rPr>
                <w:sz w:val="20"/>
              </w:rPr>
              <w:t xml:space="preserve">8</w:t>
            </w:r>
          </w:p>
        </w:tc>
        <w:tc>
          <w:tcPr>
            <w:tcW w:w="1474" w:type="dxa"/>
          </w:tcPr>
          <w:p>
            <w:pPr>
              <w:pStyle w:val="0"/>
            </w:pPr>
            <w:r>
              <w:rPr>
                <w:sz w:val="20"/>
              </w:rPr>
              <w:t xml:space="preserve">9</w:t>
            </w:r>
          </w:p>
        </w:tc>
        <w:tc>
          <w:tcPr>
            <w:tcW w:w="1417" w:type="dxa"/>
          </w:tcPr>
          <w:p>
            <w:pPr>
              <w:pStyle w:val="0"/>
            </w:pPr>
            <w:r>
              <w:rPr>
                <w:sz w:val="20"/>
              </w:rPr>
              <w:t xml:space="preserve">10</w:t>
            </w:r>
          </w:p>
        </w:tc>
        <w:tc>
          <w:tcPr>
            <w:tcW w:w="1876" w:type="dxa"/>
          </w:tcPr>
          <w:p>
            <w:pPr>
              <w:pStyle w:val="0"/>
            </w:pPr>
            <w:r>
              <w:rPr>
                <w:sz w:val="20"/>
              </w:rPr>
              <w:t xml:space="preserve">11</w:t>
            </w:r>
          </w:p>
        </w:tc>
      </w:tr>
      <w:tr>
        <w:tc>
          <w:tcPr>
            <w:tcW w:w="737" w:type="dxa"/>
            <w:vMerge w:val="restart"/>
          </w:tcPr>
          <w:p>
            <w:pPr>
              <w:pStyle w:val="0"/>
              <w:outlineLvl w:val="3"/>
            </w:pPr>
            <w:r>
              <w:rPr>
                <w:sz w:val="20"/>
              </w:rPr>
              <w:t xml:space="preserve">1</w:t>
            </w:r>
          </w:p>
        </w:tc>
        <w:tc>
          <w:tcPr>
            <w:tcW w:w="3572" w:type="dxa"/>
            <w:vMerge w:val="restart"/>
          </w:tcPr>
          <w:p>
            <w:pPr>
              <w:pStyle w:val="0"/>
            </w:pPr>
            <w:r>
              <w:rPr>
                <w:sz w:val="20"/>
              </w:rPr>
              <w:t xml:space="preserve">Основное мероприятие 01.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2867077,00</w:t>
            </w:r>
          </w:p>
        </w:tc>
        <w:tc>
          <w:tcPr>
            <w:tcW w:w="1474" w:type="dxa"/>
          </w:tcPr>
          <w:p>
            <w:pPr>
              <w:pStyle w:val="0"/>
            </w:pPr>
            <w:r>
              <w:rPr>
                <w:sz w:val="20"/>
              </w:rPr>
              <w:t xml:space="preserve">572369,00</w:t>
            </w:r>
          </w:p>
        </w:tc>
        <w:tc>
          <w:tcPr>
            <w:tcW w:w="1474" w:type="dxa"/>
          </w:tcPr>
          <w:p>
            <w:pPr>
              <w:pStyle w:val="0"/>
            </w:pPr>
            <w:r>
              <w:rPr>
                <w:sz w:val="20"/>
              </w:rPr>
              <w:t xml:space="preserve">631964,00</w:t>
            </w:r>
          </w:p>
        </w:tc>
        <w:tc>
          <w:tcPr>
            <w:tcW w:w="1474" w:type="dxa"/>
          </w:tcPr>
          <w:p>
            <w:pPr>
              <w:pStyle w:val="0"/>
            </w:pPr>
            <w:r>
              <w:rPr>
                <w:sz w:val="20"/>
              </w:rPr>
              <w:t xml:space="preserve">554272,00</w:t>
            </w:r>
          </w:p>
        </w:tc>
        <w:tc>
          <w:tcPr>
            <w:tcW w:w="1474" w:type="dxa"/>
          </w:tcPr>
          <w:p>
            <w:pPr>
              <w:pStyle w:val="0"/>
            </w:pPr>
            <w:r>
              <w:rPr>
                <w:sz w:val="20"/>
              </w:rPr>
              <w:t xml:space="preserve">553745,00</w:t>
            </w:r>
          </w:p>
        </w:tc>
        <w:tc>
          <w:tcPr>
            <w:tcW w:w="1417" w:type="dxa"/>
          </w:tcPr>
          <w:p>
            <w:pPr>
              <w:pStyle w:val="0"/>
            </w:pPr>
            <w:r>
              <w:rPr>
                <w:sz w:val="20"/>
              </w:rPr>
              <w:t xml:space="preserve">554727,00</w:t>
            </w:r>
          </w:p>
        </w:tc>
        <w:tc>
          <w:tcPr>
            <w:tcW w:w="1876"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2867077,00</w:t>
            </w:r>
          </w:p>
        </w:tc>
        <w:tc>
          <w:tcPr>
            <w:tcW w:w="1474" w:type="dxa"/>
          </w:tcPr>
          <w:p>
            <w:pPr>
              <w:pStyle w:val="0"/>
            </w:pPr>
            <w:r>
              <w:rPr>
                <w:sz w:val="20"/>
              </w:rPr>
              <w:t xml:space="preserve">572369,00</w:t>
            </w:r>
          </w:p>
        </w:tc>
        <w:tc>
          <w:tcPr>
            <w:tcW w:w="1474" w:type="dxa"/>
          </w:tcPr>
          <w:p>
            <w:pPr>
              <w:pStyle w:val="0"/>
            </w:pPr>
            <w:r>
              <w:rPr>
                <w:sz w:val="20"/>
              </w:rPr>
              <w:t xml:space="preserve">631964,00</w:t>
            </w:r>
          </w:p>
        </w:tc>
        <w:tc>
          <w:tcPr>
            <w:tcW w:w="1474" w:type="dxa"/>
          </w:tcPr>
          <w:p>
            <w:pPr>
              <w:pStyle w:val="0"/>
            </w:pPr>
            <w:r>
              <w:rPr>
                <w:sz w:val="20"/>
              </w:rPr>
              <w:t xml:space="preserve">554272,00</w:t>
            </w:r>
          </w:p>
        </w:tc>
        <w:tc>
          <w:tcPr>
            <w:tcW w:w="1474" w:type="dxa"/>
          </w:tcPr>
          <w:p>
            <w:pPr>
              <w:pStyle w:val="0"/>
            </w:pPr>
            <w:r>
              <w:rPr>
                <w:sz w:val="20"/>
              </w:rPr>
              <w:t xml:space="preserve">553745,00</w:t>
            </w:r>
          </w:p>
        </w:tc>
        <w:tc>
          <w:tcPr>
            <w:tcW w:w="1417" w:type="dxa"/>
          </w:tcPr>
          <w:p>
            <w:pPr>
              <w:pStyle w:val="0"/>
            </w:pPr>
            <w:r>
              <w:rPr>
                <w:sz w:val="20"/>
              </w:rPr>
              <w:t xml:space="preserve">554727,00</w:t>
            </w:r>
          </w:p>
        </w:tc>
        <w:tc>
          <w:tcPr>
            <w:vMerge w:val="continue"/>
          </w:tcPr>
          <w:p/>
        </w:tc>
      </w:tr>
      <w:tr>
        <w:tc>
          <w:tcPr>
            <w:tcW w:w="737" w:type="dxa"/>
            <w:vMerge w:val="restart"/>
          </w:tcPr>
          <w:p>
            <w:pPr>
              <w:pStyle w:val="0"/>
            </w:pPr>
            <w:r>
              <w:rPr>
                <w:sz w:val="20"/>
              </w:rPr>
              <w:t xml:space="preserve">1.1</w:t>
            </w:r>
          </w:p>
        </w:tc>
        <w:tc>
          <w:tcPr>
            <w:tcW w:w="3572" w:type="dxa"/>
            <w:vMerge w:val="restart"/>
          </w:tcPr>
          <w:p>
            <w:pPr>
              <w:pStyle w:val="0"/>
            </w:pPr>
            <w:r>
              <w:rPr>
                <w:sz w:val="20"/>
              </w:rPr>
              <w:t xml:space="preserve">Мероприятие 01.01. Обеспечение деятельности органа государственной власти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1402676,00</w:t>
            </w:r>
          </w:p>
        </w:tc>
        <w:tc>
          <w:tcPr>
            <w:tcW w:w="1474" w:type="dxa"/>
          </w:tcPr>
          <w:p>
            <w:pPr>
              <w:pStyle w:val="0"/>
            </w:pPr>
            <w:r>
              <w:rPr>
                <w:sz w:val="20"/>
              </w:rPr>
              <w:t xml:space="preserve">289024,00</w:t>
            </w:r>
          </w:p>
        </w:tc>
        <w:tc>
          <w:tcPr>
            <w:tcW w:w="1474" w:type="dxa"/>
          </w:tcPr>
          <w:p>
            <w:pPr>
              <w:pStyle w:val="0"/>
            </w:pPr>
            <w:r>
              <w:rPr>
                <w:sz w:val="20"/>
              </w:rPr>
              <w:t xml:space="preserve">310043,00</w:t>
            </w:r>
          </w:p>
        </w:tc>
        <w:tc>
          <w:tcPr>
            <w:tcW w:w="1474" w:type="dxa"/>
          </w:tcPr>
          <w:p>
            <w:pPr>
              <w:pStyle w:val="0"/>
            </w:pPr>
            <w:r>
              <w:rPr>
                <w:sz w:val="20"/>
              </w:rPr>
              <w:t xml:space="preserve">267045,00</w:t>
            </w:r>
          </w:p>
        </w:tc>
        <w:tc>
          <w:tcPr>
            <w:tcW w:w="1474" w:type="dxa"/>
          </w:tcPr>
          <w:p>
            <w:pPr>
              <w:pStyle w:val="0"/>
            </w:pPr>
            <w:r>
              <w:rPr>
                <w:sz w:val="20"/>
              </w:rPr>
              <w:t xml:space="preserve">267855,00</w:t>
            </w:r>
          </w:p>
        </w:tc>
        <w:tc>
          <w:tcPr>
            <w:tcW w:w="1417" w:type="dxa"/>
          </w:tcPr>
          <w:p>
            <w:pPr>
              <w:pStyle w:val="0"/>
            </w:pPr>
            <w:r>
              <w:rPr>
                <w:sz w:val="20"/>
              </w:rPr>
              <w:t xml:space="preserve">268709,00</w:t>
            </w:r>
          </w:p>
        </w:tc>
        <w:tc>
          <w:tcPr>
            <w:tcW w:w="1876"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1402676,00</w:t>
            </w:r>
          </w:p>
        </w:tc>
        <w:tc>
          <w:tcPr>
            <w:tcW w:w="1474" w:type="dxa"/>
          </w:tcPr>
          <w:p>
            <w:pPr>
              <w:pStyle w:val="0"/>
            </w:pPr>
            <w:r>
              <w:rPr>
                <w:sz w:val="20"/>
              </w:rPr>
              <w:t xml:space="preserve">289024,00</w:t>
            </w:r>
          </w:p>
        </w:tc>
        <w:tc>
          <w:tcPr>
            <w:tcW w:w="1474" w:type="dxa"/>
          </w:tcPr>
          <w:p>
            <w:pPr>
              <w:pStyle w:val="0"/>
            </w:pPr>
            <w:r>
              <w:rPr>
                <w:sz w:val="20"/>
              </w:rPr>
              <w:t xml:space="preserve">310043,00</w:t>
            </w:r>
          </w:p>
        </w:tc>
        <w:tc>
          <w:tcPr>
            <w:tcW w:w="1474" w:type="dxa"/>
          </w:tcPr>
          <w:p>
            <w:pPr>
              <w:pStyle w:val="0"/>
            </w:pPr>
            <w:r>
              <w:rPr>
                <w:sz w:val="20"/>
              </w:rPr>
              <w:t xml:space="preserve">267045,00</w:t>
            </w:r>
          </w:p>
        </w:tc>
        <w:tc>
          <w:tcPr>
            <w:tcW w:w="1474" w:type="dxa"/>
          </w:tcPr>
          <w:p>
            <w:pPr>
              <w:pStyle w:val="0"/>
            </w:pPr>
            <w:r>
              <w:rPr>
                <w:sz w:val="20"/>
              </w:rPr>
              <w:t xml:space="preserve">267855,00</w:t>
            </w:r>
          </w:p>
        </w:tc>
        <w:tc>
          <w:tcPr>
            <w:tcW w:w="1417" w:type="dxa"/>
          </w:tcPr>
          <w:p>
            <w:pPr>
              <w:pStyle w:val="0"/>
            </w:pPr>
            <w:r>
              <w:rPr>
                <w:sz w:val="20"/>
              </w:rPr>
              <w:t xml:space="preserve">268709,00</w:t>
            </w:r>
          </w:p>
        </w:tc>
        <w:tc>
          <w:tcPr>
            <w:vMerge w:val="continue"/>
          </w:tcPr>
          <w:p/>
        </w:tc>
      </w:tr>
      <w:tr>
        <w:tc>
          <w:tcPr>
            <w:tcW w:w="737" w:type="dxa"/>
            <w:vMerge w:val="restart"/>
          </w:tcPr>
          <w:p>
            <w:pPr>
              <w:pStyle w:val="0"/>
            </w:pPr>
            <w:r>
              <w:rPr>
                <w:sz w:val="20"/>
              </w:rPr>
              <w:t xml:space="preserve">1.2</w:t>
            </w:r>
          </w:p>
        </w:tc>
        <w:tc>
          <w:tcPr>
            <w:tcW w:w="3572" w:type="dxa"/>
            <w:vMerge w:val="restart"/>
          </w:tcPr>
          <w:p>
            <w:pPr>
              <w:pStyle w:val="0"/>
            </w:pPr>
            <w:r>
              <w:rPr>
                <w:sz w:val="20"/>
              </w:rPr>
              <w:t xml:space="preserve">Мероприятие 01.02. Обеспечение деятельности органа государственной власти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1066067,00</w:t>
            </w:r>
          </w:p>
        </w:tc>
        <w:tc>
          <w:tcPr>
            <w:tcW w:w="1474" w:type="dxa"/>
          </w:tcPr>
          <w:p>
            <w:pPr>
              <w:pStyle w:val="0"/>
            </w:pPr>
            <w:r>
              <w:rPr>
                <w:sz w:val="20"/>
              </w:rPr>
              <w:t xml:space="preserve">226386,00</w:t>
            </w:r>
          </w:p>
        </w:tc>
        <w:tc>
          <w:tcPr>
            <w:tcW w:w="1474" w:type="dxa"/>
          </w:tcPr>
          <w:p>
            <w:pPr>
              <w:pStyle w:val="0"/>
            </w:pPr>
            <w:r>
              <w:rPr>
                <w:sz w:val="20"/>
              </w:rPr>
              <w:t xml:space="preserve">245065,00</w:t>
            </w:r>
          </w:p>
        </w:tc>
        <w:tc>
          <w:tcPr>
            <w:tcW w:w="1474" w:type="dxa"/>
          </w:tcPr>
          <w:p>
            <w:pPr>
              <w:pStyle w:val="0"/>
            </w:pPr>
            <w:r>
              <w:rPr>
                <w:sz w:val="20"/>
              </w:rPr>
              <w:t xml:space="preserve">198040,00</w:t>
            </w:r>
          </w:p>
        </w:tc>
        <w:tc>
          <w:tcPr>
            <w:tcW w:w="1474" w:type="dxa"/>
          </w:tcPr>
          <w:p>
            <w:pPr>
              <w:pStyle w:val="0"/>
            </w:pPr>
            <w:r>
              <w:rPr>
                <w:sz w:val="20"/>
              </w:rPr>
              <w:t xml:space="preserve">198288,00</w:t>
            </w:r>
          </w:p>
        </w:tc>
        <w:tc>
          <w:tcPr>
            <w:tcW w:w="1417" w:type="dxa"/>
          </w:tcPr>
          <w:p>
            <w:pPr>
              <w:pStyle w:val="0"/>
            </w:pPr>
            <w:r>
              <w:rPr>
                <w:sz w:val="20"/>
              </w:rPr>
              <w:t xml:space="preserve">198288,00</w:t>
            </w:r>
          </w:p>
        </w:tc>
        <w:tc>
          <w:tcPr>
            <w:tcW w:w="1876"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1066067,00</w:t>
            </w:r>
          </w:p>
        </w:tc>
        <w:tc>
          <w:tcPr>
            <w:tcW w:w="1474" w:type="dxa"/>
          </w:tcPr>
          <w:p>
            <w:pPr>
              <w:pStyle w:val="0"/>
            </w:pPr>
            <w:r>
              <w:rPr>
                <w:sz w:val="20"/>
              </w:rPr>
              <w:t xml:space="preserve">226386,00</w:t>
            </w:r>
          </w:p>
        </w:tc>
        <w:tc>
          <w:tcPr>
            <w:tcW w:w="1474" w:type="dxa"/>
          </w:tcPr>
          <w:p>
            <w:pPr>
              <w:pStyle w:val="0"/>
            </w:pPr>
            <w:r>
              <w:rPr>
                <w:sz w:val="20"/>
              </w:rPr>
              <w:t xml:space="preserve">245065,00</w:t>
            </w:r>
          </w:p>
        </w:tc>
        <w:tc>
          <w:tcPr>
            <w:tcW w:w="1474" w:type="dxa"/>
          </w:tcPr>
          <w:p>
            <w:pPr>
              <w:pStyle w:val="0"/>
            </w:pPr>
            <w:r>
              <w:rPr>
                <w:sz w:val="20"/>
              </w:rPr>
              <w:t xml:space="preserve">198040,00</w:t>
            </w:r>
          </w:p>
        </w:tc>
        <w:tc>
          <w:tcPr>
            <w:tcW w:w="1474" w:type="dxa"/>
          </w:tcPr>
          <w:p>
            <w:pPr>
              <w:pStyle w:val="0"/>
            </w:pPr>
            <w:r>
              <w:rPr>
                <w:sz w:val="20"/>
              </w:rPr>
              <w:t xml:space="preserve">198288,00</w:t>
            </w:r>
          </w:p>
        </w:tc>
        <w:tc>
          <w:tcPr>
            <w:tcW w:w="1417" w:type="dxa"/>
          </w:tcPr>
          <w:p>
            <w:pPr>
              <w:pStyle w:val="0"/>
            </w:pPr>
            <w:r>
              <w:rPr>
                <w:sz w:val="20"/>
              </w:rPr>
              <w:t xml:space="preserve">198288,00</w:t>
            </w:r>
          </w:p>
        </w:tc>
        <w:tc>
          <w:tcPr>
            <w:vMerge w:val="continue"/>
          </w:tcPr>
          <w:p/>
        </w:tc>
      </w:tr>
      <w:tr>
        <w:tc>
          <w:tcPr>
            <w:tcW w:w="737" w:type="dxa"/>
            <w:vMerge w:val="restart"/>
          </w:tcPr>
          <w:p>
            <w:pPr>
              <w:pStyle w:val="0"/>
            </w:pPr>
            <w:r>
              <w:rPr>
                <w:sz w:val="20"/>
              </w:rPr>
              <w:t xml:space="preserve">1.3</w:t>
            </w:r>
          </w:p>
        </w:tc>
        <w:tc>
          <w:tcPr>
            <w:tcW w:w="3572" w:type="dxa"/>
            <w:vMerge w:val="restart"/>
          </w:tcPr>
          <w:p>
            <w:pPr>
              <w:pStyle w:val="0"/>
            </w:pPr>
            <w:r>
              <w:rPr>
                <w:sz w:val="20"/>
              </w:rPr>
              <w:t xml:space="preserve">Мероприятие 01.03. Обеспечение деятельности государственного органа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262933,00</w:t>
            </w:r>
          </w:p>
        </w:tc>
        <w:tc>
          <w:tcPr>
            <w:tcW w:w="1474" w:type="dxa"/>
          </w:tcPr>
          <w:p>
            <w:pPr>
              <w:pStyle w:val="0"/>
            </w:pPr>
            <w:r>
              <w:rPr>
                <w:sz w:val="20"/>
              </w:rPr>
              <w:t xml:space="preserve">46953,00</w:t>
            </w:r>
          </w:p>
        </w:tc>
        <w:tc>
          <w:tcPr>
            <w:tcW w:w="1474" w:type="dxa"/>
          </w:tcPr>
          <w:p>
            <w:pPr>
              <w:pStyle w:val="0"/>
            </w:pPr>
            <w:r>
              <w:rPr>
                <w:sz w:val="20"/>
              </w:rPr>
              <w:t xml:space="preserve">54117,00</w:t>
            </w:r>
          </w:p>
        </w:tc>
        <w:tc>
          <w:tcPr>
            <w:tcW w:w="1474" w:type="dxa"/>
          </w:tcPr>
          <w:p>
            <w:pPr>
              <w:pStyle w:val="0"/>
            </w:pPr>
            <w:r>
              <w:rPr>
                <w:sz w:val="20"/>
              </w:rPr>
              <w:t xml:space="preserve">53835,00</w:t>
            </w:r>
          </w:p>
        </w:tc>
        <w:tc>
          <w:tcPr>
            <w:tcW w:w="1474" w:type="dxa"/>
          </w:tcPr>
          <w:p>
            <w:pPr>
              <w:pStyle w:val="0"/>
            </w:pPr>
            <w:r>
              <w:rPr>
                <w:sz w:val="20"/>
              </w:rPr>
              <w:t xml:space="preserve">53950,00</w:t>
            </w:r>
          </w:p>
        </w:tc>
        <w:tc>
          <w:tcPr>
            <w:tcW w:w="1417" w:type="dxa"/>
          </w:tcPr>
          <w:p>
            <w:pPr>
              <w:pStyle w:val="0"/>
            </w:pPr>
            <w:r>
              <w:rPr>
                <w:sz w:val="20"/>
              </w:rPr>
              <w:t xml:space="preserve">54078,00</w:t>
            </w:r>
          </w:p>
        </w:tc>
        <w:tc>
          <w:tcPr>
            <w:tcW w:w="1876" w:type="dxa"/>
            <w:vMerge w:val="restart"/>
          </w:tcPr>
          <w:p>
            <w:pPr>
              <w:pStyle w:val="0"/>
            </w:pPr>
            <w:r>
              <w:rPr>
                <w:sz w:val="20"/>
              </w:rPr>
              <w:t xml:space="preserve">УЗПП МО</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262933,00</w:t>
            </w:r>
          </w:p>
        </w:tc>
        <w:tc>
          <w:tcPr>
            <w:tcW w:w="1474" w:type="dxa"/>
          </w:tcPr>
          <w:p>
            <w:pPr>
              <w:pStyle w:val="0"/>
            </w:pPr>
            <w:r>
              <w:rPr>
                <w:sz w:val="20"/>
              </w:rPr>
              <w:t xml:space="preserve">46953,00</w:t>
            </w:r>
          </w:p>
        </w:tc>
        <w:tc>
          <w:tcPr>
            <w:tcW w:w="1474" w:type="dxa"/>
          </w:tcPr>
          <w:p>
            <w:pPr>
              <w:pStyle w:val="0"/>
            </w:pPr>
            <w:r>
              <w:rPr>
                <w:sz w:val="20"/>
              </w:rPr>
              <w:t xml:space="preserve">54117,00</w:t>
            </w:r>
          </w:p>
        </w:tc>
        <w:tc>
          <w:tcPr>
            <w:tcW w:w="1474" w:type="dxa"/>
          </w:tcPr>
          <w:p>
            <w:pPr>
              <w:pStyle w:val="0"/>
            </w:pPr>
            <w:r>
              <w:rPr>
                <w:sz w:val="20"/>
              </w:rPr>
              <w:t xml:space="preserve">53835,00</w:t>
            </w:r>
          </w:p>
        </w:tc>
        <w:tc>
          <w:tcPr>
            <w:tcW w:w="1474" w:type="dxa"/>
          </w:tcPr>
          <w:p>
            <w:pPr>
              <w:pStyle w:val="0"/>
            </w:pPr>
            <w:r>
              <w:rPr>
                <w:sz w:val="20"/>
              </w:rPr>
              <w:t xml:space="preserve">53950,00</w:t>
            </w:r>
          </w:p>
        </w:tc>
        <w:tc>
          <w:tcPr>
            <w:tcW w:w="1417" w:type="dxa"/>
          </w:tcPr>
          <w:p>
            <w:pPr>
              <w:pStyle w:val="0"/>
            </w:pPr>
            <w:r>
              <w:rPr>
                <w:sz w:val="20"/>
              </w:rPr>
              <w:t xml:space="preserve">54078,00</w:t>
            </w:r>
          </w:p>
        </w:tc>
        <w:tc>
          <w:tcPr>
            <w:vMerge w:val="continue"/>
          </w:tcPr>
          <w:p/>
        </w:tc>
      </w:tr>
      <w:tr>
        <w:tc>
          <w:tcPr>
            <w:tcW w:w="737" w:type="dxa"/>
            <w:vMerge w:val="restart"/>
          </w:tcPr>
          <w:p>
            <w:pPr>
              <w:pStyle w:val="0"/>
            </w:pPr>
            <w:r>
              <w:rPr>
                <w:sz w:val="20"/>
              </w:rPr>
              <w:t xml:space="preserve">1.4</w:t>
            </w:r>
          </w:p>
        </w:tc>
        <w:tc>
          <w:tcPr>
            <w:tcW w:w="3572" w:type="dxa"/>
            <w:vMerge w:val="restart"/>
          </w:tcPr>
          <w:p>
            <w:pPr>
              <w:pStyle w:val="0"/>
            </w:pPr>
            <w:r>
              <w:rPr>
                <w:sz w:val="20"/>
              </w:rPr>
              <w:t xml:space="preserve">Мероприятие 01.04. Проведение культурно-массовых и физкультурно-оздоровительных мероприятий профсоюзными организациями органов государственной власти Московской области и государственного органа Московской области</w:t>
            </w:r>
          </w:p>
        </w:tc>
        <w:tc>
          <w:tcPr>
            <w:tcW w:w="1701" w:type="dxa"/>
            <w:vMerge w:val="restart"/>
          </w:tcPr>
          <w:p>
            <w:pPr>
              <w:pStyle w:val="0"/>
            </w:pPr>
            <w:r>
              <w:rPr>
                <w:sz w:val="20"/>
              </w:rPr>
              <w:t xml:space="preserve">2023-2024</w:t>
            </w:r>
          </w:p>
        </w:tc>
        <w:tc>
          <w:tcPr>
            <w:tcW w:w="1560" w:type="dxa"/>
          </w:tcPr>
          <w:p>
            <w:pPr>
              <w:pStyle w:val="0"/>
            </w:pPr>
            <w:r>
              <w:rPr>
                <w:sz w:val="20"/>
              </w:rPr>
              <w:t xml:space="preserve">Итого:</w:t>
            </w:r>
          </w:p>
        </w:tc>
        <w:tc>
          <w:tcPr>
            <w:tcW w:w="1531" w:type="dxa"/>
          </w:tcPr>
          <w:p>
            <w:pPr>
              <w:pStyle w:val="0"/>
            </w:pPr>
            <w:r>
              <w:rPr>
                <w:sz w:val="20"/>
              </w:rPr>
              <w:t xml:space="preserve">3237,00</w:t>
            </w:r>
          </w:p>
        </w:tc>
        <w:tc>
          <w:tcPr>
            <w:tcW w:w="1474" w:type="dxa"/>
          </w:tcPr>
          <w:p>
            <w:pPr>
              <w:pStyle w:val="0"/>
            </w:pPr>
            <w:r>
              <w:rPr>
                <w:sz w:val="20"/>
              </w:rPr>
              <w:t xml:space="preserve">1590,00</w:t>
            </w:r>
          </w:p>
        </w:tc>
        <w:tc>
          <w:tcPr>
            <w:tcW w:w="1474" w:type="dxa"/>
          </w:tcPr>
          <w:p>
            <w:pPr>
              <w:pStyle w:val="0"/>
            </w:pPr>
            <w:r>
              <w:rPr>
                <w:sz w:val="20"/>
              </w:rPr>
              <w:t xml:space="preserve">1647,00</w:t>
            </w:r>
          </w:p>
        </w:tc>
        <w:tc>
          <w:tcPr>
            <w:tcW w:w="1474" w:type="dxa"/>
          </w:tcPr>
          <w:p>
            <w:pPr>
              <w:pStyle w:val="0"/>
            </w:pPr>
            <w:r>
              <w:rPr>
                <w:sz w:val="20"/>
              </w:rPr>
              <w:t xml:space="preserve">-</w:t>
            </w:r>
          </w:p>
        </w:tc>
        <w:tc>
          <w:tcPr>
            <w:tcW w:w="1474" w:type="dxa"/>
          </w:tcPr>
          <w:p>
            <w:pPr>
              <w:pStyle w:val="0"/>
            </w:pPr>
            <w:r>
              <w:rPr>
                <w:sz w:val="20"/>
              </w:rPr>
              <w:t xml:space="preserve">-</w:t>
            </w:r>
          </w:p>
        </w:tc>
        <w:tc>
          <w:tcPr>
            <w:tcW w:w="1417" w:type="dxa"/>
          </w:tcPr>
          <w:p>
            <w:pPr>
              <w:pStyle w:val="0"/>
            </w:pPr>
            <w:r>
              <w:rPr>
                <w:sz w:val="20"/>
              </w:rPr>
              <w:t xml:space="preserve">-</w:t>
            </w:r>
          </w:p>
        </w:tc>
        <w:tc>
          <w:tcPr>
            <w:tcW w:w="1876" w:type="dxa"/>
            <w:vMerge w:val="restart"/>
          </w:tcPr>
          <w:p>
            <w:pPr>
              <w:pStyle w:val="0"/>
            </w:pPr>
            <w:r>
              <w:rPr>
                <w:sz w:val="20"/>
              </w:rPr>
              <w:t xml:space="preserve">Мининвест Московской области, Комитет по конкурентной политике Московской области, УЗПП МО</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3237,00</w:t>
            </w:r>
          </w:p>
        </w:tc>
        <w:tc>
          <w:tcPr>
            <w:tcW w:w="1474" w:type="dxa"/>
          </w:tcPr>
          <w:p>
            <w:pPr>
              <w:pStyle w:val="0"/>
            </w:pPr>
            <w:r>
              <w:rPr>
                <w:sz w:val="20"/>
              </w:rPr>
              <w:t xml:space="preserve">1590,00</w:t>
            </w:r>
          </w:p>
        </w:tc>
        <w:tc>
          <w:tcPr>
            <w:tcW w:w="1474" w:type="dxa"/>
          </w:tcPr>
          <w:p>
            <w:pPr>
              <w:pStyle w:val="0"/>
            </w:pPr>
            <w:r>
              <w:rPr>
                <w:sz w:val="20"/>
              </w:rPr>
              <w:t xml:space="preserve">1647,00</w:t>
            </w:r>
          </w:p>
        </w:tc>
        <w:tc>
          <w:tcPr>
            <w:tcW w:w="1474" w:type="dxa"/>
          </w:tcPr>
          <w:p>
            <w:pPr>
              <w:pStyle w:val="0"/>
            </w:pPr>
            <w:r>
              <w:rPr>
                <w:sz w:val="20"/>
              </w:rPr>
              <w:t xml:space="preserve">-</w:t>
            </w:r>
          </w:p>
        </w:tc>
        <w:tc>
          <w:tcPr>
            <w:tcW w:w="1474"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737" w:type="dxa"/>
            <w:vMerge w:val="restart"/>
          </w:tcPr>
          <w:p>
            <w:pPr>
              <w:pStyle w:val="0"/>
            </w:pPr>
            <w:r>
              <w:rPr>
                <w:sz w:val="20"/>
              </w:rPr>
              <w:t xml:space="preserve">1.5</w:t>
            </w:r>
          </w:p>
        </w:tc>
        <w:tc>
          <w:tcPr>
            <w:tcW w:w="3572" w:type="dxa"/>
            <w:vMerge w:val="restart"/>
          </w:tcPr>
          <w:p>
            <w:pPr>
              <w:pStyle w:val="0"/>
            </w:pPr>
            <w:r>
              <w:rPr>
                <w:sz w:val="20"/>
              </w:rPr>
              <w:t xml:space="preserve">Мероприятие 01.05. Взносы Московской области в общественные организации, фонды, ассоциации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42317,00</w:t>
            </w:r>
          </w:p>
        </w:tc>
        <w:tc>
          <w:tcPr>
            <w:tcW w:w="1474" w:type="dxa"/>
          </w:tcPr>
          <w:p>
            <w:pPr>
              <w:pStyle w:val="0"/>
            </w:pPr>
            <w:r>
              <w:rPr>
                <w:sz w:val="20"/>
              </w:rPr>
              <w:t xml:space="preserve">7769,00</w:t>
            </w:r>
          </w:p>
        </w:tc>
        <w:tc>
          <w:tcPr>
            <w:tcW w:w="1474" w:type="dxa"/>
          </w:tcPr>
          <w:p>
            <w:pPr>
              <w:pStyle w:val="0"/>
            </w:pPr>
            <w:r>
              <w:rPr>
                <w:sz w:val="20"/>
              </w:rPr>
              <w:t xml:space="preserve">8592,00</w:t>
            </w:r>
          </w:p>
        </w:tc>
        <w:tc>
          <w:tcPr>
            <w:tcW w:w="1474" w:type="dxa"/>
          </w:tcPr>
          <w:p>
            <w:pPr>
              <w:pStyle w:val="0"/>
            </w:pPr>
            <w:r>
              <w:rPr>
                <w:sz w:val="20"/>
              </w:rPr>
              <w:t xml:space="preserve">8652,00</w:t>
            </w:r>
          </w:p>
        </w:tc>
        <w:tc>
          <w:tcPr>
            <w:tcW w:w="1474" w:type="dxa"/>
          </w:tcPr>
          <w:p>
            <w:pPr>
              <w:pStyle w:val="0"/>
            </w:pPr>
            <w:r>
              <w:rPr>
                <w:sz w:val="20"/>
              </w:rPr>
              <w:t xml:space="preserve">8652,00</w:t>
            </w:r>
          </w:p>
        </w:tc>
        <w:tc>
          <w:tcPr>
            <w:tcW w:w="1417" w:type="dxa"/>
          </w:tcPr>
          <w:p>
            <w:pPr>
              <w:pStyle w:val="0"/>
            </w:pPr>
            <w:r>
              <w:rPr>
                <w:sz w:val="20"/>
              </w:rPr>
              <w:t xml:space="preserve">8652,00</w:t>
            </w:r>
          </w:p>
        </w:tc>
        <w:tc>
          <w:tcPr>
            <w:tcW w:w="1876"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42317,00</w:t>
            </w:r>
          </w:p>
        </w:tc>
        <w:tc>
          <w:tcPr>
            <w:tcW w:w="1474" w:type="dxa"/>
          </w:tcPr>
          <w:p>
            <w:pPr>
              <w:pStyle w:val="0"/>
            </w:pPr>
            <w:r>
              <w:rPr>
                <w:sz w:val="20"/>
              </w:rPr>
              <w:t xml:space="preserve">7769,00</w:t>
            </w:r>
          </w:p>
        </w:tc>
        <w:tc>
          <w:tcPr>
            <w:tcW w:w="1474" w:type="dxa"/>
          </w:tcPr>
          <w:p>
            <w:pPr>
              <w:pStyle w:val="0"/>
            </w:pPr>
            <w:r>
              <w:rPr>
                <w:sz w:val="20"/>
              </w:rPr>
              <w:t xml:space="preserve">8592,00</w:t>
            </w:r>
          </w:p>
        </w:tc>
        <w:tc>
          <w:tcPr>
            <w:tcW w:w="1474" w:type="dxa"/>
          </w:tcPr>
          <w:p>
            <w:pPr>
              <w:pStyle w:val="0"/>
            </w:pPr>
            <w:r>
              <w:rPr>
                <w:sz w:val="20"/>
              </w:rPr>
              <w:t xml:space="preserve">8652,00</w:t>
            </w:r>
          </w:p>
        </w:tc>
        <w:tc>
          <w:tcPr>
            <w:tcW w:w="1474" w:type="dxa"/>
          </w:tcPr>
          <w:p>
            <w:pPr>
              <w:pStyle w:val="0"/>
            </w:pPr>
            <w:r>
              <w:rPr>
                <w:sz w:val="20"/>
              </w:rPr>
              <w:t xml:space="preserve">8652,00</w:t>
            </w:r>
          </w:p>
        </w:tc>
        <w:tc>
          <w:tcPr>
            <w:tcW w:w="1417" w:type="dxa"/>
          </w:tcPr>
          <w:p>
            <w:pPr>
              <w:pStyle w:val="0"/>
            </w:pPr>
            <w:r>
              <w:rPr>
                <w:sz w:val="20"/>
              </w:rPr>
              <w:t xml:space="preserve">8652,00</w:t>
            </w:r>
          </w:p>
        </w:tc>
        <w:tc>
          <w:tcPr>
            <w:vMerge w:val="continue"/>
          </w:tcPr>
          <w:p/>
        </w:tc>
      </w:tr>
      <w:tr>
        <w:tc>
          <w:tcPr>
            <w:tcW w:w="737" w:type="dxa"/>
            <w:vMerge w:val="restart"/>
          </w:tcPr>
          <w:p>
            <w:pPr>
              <w:pStyle w:val="0"/>
            </w:pPr>
            <w:r>
              <w:rPr>
                <w:sz w:val="20"/>
              </w:rPr>
              <w:t xml:space="preserve">1.6</w:t>
            </w:r>
          </w:p>
        </w:tc>
        <w:tc>
          <w:tcPr>
            <w:tcW w:w="3572" w:type="dxa"/>
            <w:vMerge w:val="restart"/>
          </w:tcPr>
          <w:p>
            <w:pPr>
              <w:pStyle w:val="0"/>
            </w:pPr>
            <w:r>
              <w:rPr>
                <w:sz w:val="20"/>
              </w:rPr>
              <w:t xml:space="preserve">Мероприятие 01.06. Мероприятия по обеспечению мобилизационной готовности экономики</w:t>
            </w:r>
          </w:p>
        </w:tc>
        <w:tc>
          <w:tcPr>
            <w:tcW w:w="1701" w:type="dxa"/>
            <w:vMerge w:val="restart"/>
          </w:tcPr>
          <w:p>
            <w:pPr>
              <w:pStyle w:val="0"/>
            </w:pPr>
            <w:r>
              <w:rPr>
                <w:sz w:val="20"/>
              </w:rPr>
              <w:t xml:space="preserve">2023-2025</w:t>
            </w:r>
          </w:p>
        </w:tc>
        <w:tc>
          <w:tcPr>
            <w:tcW w:w="1560" w:type="dxa"/>
          </w:tcPr>
          <w:p>
            <w:pPr>
              <w:pStyle w:val="0"/>
            </w:pPr>
            <w:r>
              <w:rPr>
                <w:sz w:val="20"/>
              </w:rPr>
              <w:t xml:space="preserve">Итого:</w:t>
            </w:r>
          </w:p>
        </w:tc>
        <w:tc>
          <w:tcPr>
            <w:tcW w:w="1531" w:type="dxa"/>
          </w:tcPr>
          <w:p>
            <w:pPr>
              <w:pStyle w:val="0"/>
            </w:pPr>
            <w:r>
              <w:rPr>
                <w:sz w:val="20"/>
              </w:rPr>
              <w:t xml:space="preserve">2047,00</w:t>
            </w:r>
          </w:p>
        </w:tc>
        <w:tc>
          <w:tcPr>
            <w:tcW w:w="1474" w:type="dxa"/>
          </w:tcPr>
          <w:p>
            <w:pPr>
              <w:pStyle w:val="0"/>
            </w:pPr>
            <w:r>
              <w:rPr>
                <w:sz w:val="20"/>
              </w:rPr>
              <w:t xml:space="preserve">347,00</w:t>
            </w:r>
          </w:p>
        </w:tc>
        <w:tc>
          <w:tcPr>
            <w:tcW w:w="1474" w:type="dxa"/>
          </w:tcPr>
          <w:p>
            <w:pPr>
              <w:pStyle w:val="0"/>
            </w:pPr>
            <w:r>
              <w:rPr>
                <w:sz w:val="20"/>
              </w:rPr>
              <w:t xml:space="preserve">-</w:t>
            </w:r>
          </w:p>
        </w:tc>
        <w:tc>
          <w:tcPr>
            <w:tcW w:w="1474" w:type="dxa"/>
          </w:tcPr>
          <w:p>
            <w:pPr>
              <w:pStyle w:val="0"/>
            </w:pPr>
            <w:r>
              <w:rPr>
                <w:sz w:val="20"/>
              </w:rPr>
              <w:t xml:space="preserve">1700,00</w:t>
            </w:r>
          </w:p>
        </w:tc>
        <w:tc>
          <w:tcPr>
            <w:tcW w:w="1474" w:type="dxa"/>
          </w:tcPr>
          <w:p>
            <w:pPr>
              <w:pStyle w:val="0"/>
            </w:pPr>
            <w:r>
              <w:rPr>
                <w:sz w:val="20"/>
              </w:rPr>
              <w:t xml:space="preserve">-</w:t>
            </w:r>
          </w:p>
        </w:tc>
        <w:tc>
          <w:tcPr>
            <w:tcW w:w="1417" w:type="dxa"/>
          </w:tcPr>
          <w:p>
            <w:pPr>
              <w:pStyle w:val="0"/>
            </w:pPr>
            <w:r>
              <w:rPr>
                <w:sz w:val="20"/>
              </w:rPr>
              <w:t xml:space="preserve">-</w:t>
            </w:r>
          </w:p>
        </w:tc>
        <w:tc>
          <w:tcPr>
            <w:tcW w:w="1876" w:type="dxa"/>
            <w:vMerge w:val="restart"/>
          </w:tcPr>
          <w:p>
            <w:pPr>
              <w:pStyle w:val="0"/>
            </w:pPr>
            <w:r>
              <w:rPr>
                <w:sz w:val="20"/>
              </w:rPr>
              <w:t xml:space="preserve">Мининвест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2047,00</w:t>
            </w:r>
          </w:p>
        </w:tc>
        <w:tc>
          <w:tcPr>
            <w:tcW w:w="1474" w:type="dxa"/>
          </w:tcPr>
          <w:p>
            <w:pPr>
              <w:pStyle w:val="0"/>
            </w:pPr>
            <w:r>
              <w:rPr>
                <w:sz w:val="20"/>
              </w:rPr>
              <w:t xml:space="preserve">347,00</w:t>
            </w:r>
          </w:p>
        </w:tc>
        <w:tc>
          <w:tcPr>
            <w:tcW w:w="1474" w:type="dxa"/>
          </w:tcPr>
          <w:p>
            <w:pPr>
              <w:pStyle w:val="0"/>
            </w:pPr>
            <w:r>
              <w:rPr>
                <w:sz w:val="20"/>
              </w:rPr>
              <w:t xml:space="preserve">-</w:t>
            </w:r>
          </w:p>
        </w:tc>
        <w:tc>
          <w:tcPr>
            <w:tcW w:w="1474" w:type="dxa"/>
          </w:tcPr>
          <w:p>
            <w:pPr>
              <w:pStyle w:val="0"/>
            </w:pPr>
            <w:r>
              <w:rPr>
                <w:sz w:val="20"/>
              </w:rPr>
              <w:t xml:space="preserve">1700,00</w:t>
            </w:r>
          </w:p>
        </w:tc>
        <w:tc>
          <w:tcPr>
            <w:tcW w:w="1474" w:type="dxa"/>
          </w:tcPr>
          <w:p>
            <w:pPr>
              <w:pStyle w:val="0"/>
            </w:pPr>
            <w:r>
              <w:rPr>
                <w:sz w:val="20"/>
              </w:rPr>
              <w:t xml:space="preserve">-</w:t>
            </w:r>
          </w:p>
        </w:tc>
        <w:tc>
          <w:tcPr>
            <w:tcW w:w="1417" w:type="dxa"/>
          </w:tcPr>
          <w:p>
            <w:pPr>
              <w:pStyle w:val="0"/>
            </w:pPr>
            <w:r>
              <w:rPr>
                <w:sz w:val="20"/>
              </w:rPr>
              <w:t xml:space="preserve">-</w:t>
            </w:r>
          </w:p>
        </w:tc>
        <w:tc>
          <w:tcPr>
            <w:vMerge w:val="continue"/>
          </w:tcPr>
          <w:p/>
        </w:tc>
      </w:tr>
      <w:tr>
        <w:tc>
          <w:tcPr>
            <w:tcW w:w="737" w:type="dxa"/>
            <w:vMerge w:val="restart"/>
          </w:tcPr>
          <w:p>
            <w:pPr>
              <w:pStyle w:val="0"/>
            </w:pPr>
            <w:r>
              <w:rPr>
                <w:sz w:val="20"/>
              </w:rPr>
              <w:t xml:space="preserve">1.7</w:t>
            </w:r>
          </w:p>
        </w:tc>
        <w:tc>
          <w:tcPr>
            <w:tcW w:w="3572" w:type="dxa"/>
            <w:vMerge w:val="restart"/>
          </w:tcPr>
          <w:p>
            <w:pPr>
              <w:pStyle w:val="0"/>
            </w:pPr>
            <w:r>
              <w:rPr>
                <w:sz w:val="20"/>
              </w:rPr>
              <w:t xml:space="preserve">Мероприятие 01.07. Организация участия Московской области в профессиональных выставках, конференциях, форумах и семинарах в сфере закупок, торгов, развития конкуренции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87800,00</w:t>
            </w:r>
          </w:p>
        </w:tc>
        <w:tc>
          <w:tcPr>
            <w:tcW w:w="1474" w:type="dxa"/>
          </w:tcPr>
          <w:p>
            <w:pPr>
              <w:pStyle w:val="0"/>
            </w:pPr>
            <w:r>
              <w:rPr>
                <w:sz w:val="20"/>
              </w:rPr>
              <w:t xml:space="preserve">300,00</w:t>
            </w:r>
          </w:p>
        </w:tc>
        <w:tc>
          <w:tcPr>
            <w:tcW w:w="1474" w:type="dxa"/>
          </w:tcPr>
          <w:p>
            <w:pPr>
              <w:pStyle w:val="0"/>
            </w:pPr>
            <w:r>
              <w:rPr>
                <w:sz w:val="20"/>
              </w:rPr>
              <w:t xml:space="preserve">12500,00</w:t>
            </w:r>
          </w:p>
        </w:tc>
        <w:tc>
          <w:tcPr>
            <w:tcW w:w="1474" w:type="dxa"/>
          </w:tcPr>
          <w:p>
            <w:pPr>
              <w:pStyle w:val="0"/>
            </w:pPr>
            <w:r>
              <w:rPr>
                <w:sz w:val="20"/>
              </w:rPr>
              <w:t xml:space="preserve">25000,00</w:t>
            </w:r>
          </w:p>
        </w:tc>
        <w:tc>
          <w:tcPr>
            <w:tcW w:w="1474" w:type="dxa"/>
          </w:tcPr>
          <w:p>
            <w:pPr>
              <w:pStyle w:val="0"/>
            </w:pPr>
            <w:r>
              <w:rPr>
                <w:sz w:val="20"/>
              </w:rPr>
              <w:t xml:space="preserve">25000,00</w:t>
            </w:r>
          </w:p>
        </w:tc>
        <w:tc>
          <w:tcPr>
            <w:tcW w:w="1417" w:type="dxa"/>
          </w:tcPr>
          <w:p>
            <w:pPr>
              <w:pStyle w:val="0"/>
            </w:pPr>
            <w:r>
              <w:rPr>
                <w:sz w:val="20"/>
              </w:rPr>
              <w:t xml:space="preserve">25000,00</w:t>
            </w:r>
          </w:p>
        </w:tc>
        <w:tc>
          <w:tcPr>
            <w:tcW w:w="1876"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87800,00</w:t>
            </w:r>
          </w:p>
        </w:tc>
        <w:tc>
          <w:tcPr>
            <w:tcW w:w="1474" w:type="dxa"/>
          </w:tcPr>
          <w:p>
            <w:pPr>
              <w:pStyle w:val="0"/>
            </w:pPr>
            <w:r>
              <w:rPr>
                <w:sz w:val="20"/>
              </w:rPr>
              <w:t xml:space="preserve">300,00</w:t>
            </w:r>
          </w:p>
        </w:tc>
        <w:tc>
          <w:tcPr>
            <w:tcW w:w="1474" w:type="dxa"/>
          </w:tcPr>
          <w:p>
            <w:pPr>
              <w:pStyle w:val="0"/>
            </w:pPr>
            <w:r>
              <w:rPr>
                <w:sz w:val="20"/>
              </w:rPr>
              <w:t xml:space="preserve">12500,00</w:t>
            </w:r>
          </w:p>
        </w:tc>
        <w:tc>
          <w:tcPr>
            <w:tcW w:w="1474" w:type="dxa"/>
          </w:tcPr>
          <w:p>
            <w:pPr>
              <w:pStyle w:val="0"/>
            </w:pPr>
            <w:r>
              <w:rPr>
                <w:sz w:val="20"/>
              </w:rPr>
              <w:t xml:space="preserve">25000,00</w:t>
            </w:r>
          </w:p>
        </w:tc>
        <w:tc>
          <w:tcPr>
            <w:tcW w:w="1474" w:type="dxa"/>
          </w:tcPr>
          <w:p>
            <w:pPr>
              <w:pStyle w:val="0"/>
            </w:pPr>
            <w:r>
              <w:rPr>
                <w:sz w:val="20"/>
              </w:rPr>
              <w:t xml:space="preserve">25000,00</w:t>
            </w:r>
          </w:p>
        </w:tc>
        <w:tc>
          <w:tcPr>
            <w:tcW w:w="1417" w:type="dxa"/>
          </w:tcPr>
          <w:p>
            <w:pPr>
              <w:pStyle w:val="0"/>
            </w:pPr>
            <w:r>
              <w:rPr>
                <w:sz w:val="20"/>
              </w:rPr>
              <w:t xml:space="preserve">25000,00</w:t>
            </w:r>
          </w:p>
        </w:tc>
        <w:tc>
          <w:tcPr>
            <w:vMerge w:val="continue"/>
          </w:tcPr>
          <w:p/>
        </w:tc>
      </w:tr>
      <w:tr>
        <w:tc>
          <w:tcPr>
            <w:tcW w:w="737" w:type="dxa"/>
            <w:vMerge w:val="restart"/>
          </w:tcPr>
          <w:p>
            <w:pPr>
              <w:pStyle w:val="0"/>
              <w:outlineLvl w:val="3"/>
            </w:pPr>
            <w:r>
              <w:rPr>
                <w:sz w:val="20"/>
              </w:rPr>
              <w:t xml:space="preserve">2</w:t>
            </w:r>
          </w:p>
        </w:tc>
        <w:tc>
          <w:tcPr>
            <w:tcW w:w="3572" w:type="dxa"/>
            <w:vMerge w:val="restart"/>
          </w:tcPr>
          <w:p>
            <w:pPr>
              <w:pStyle w:val="0"/>
            </w:pPr>
            <w:r>
              <w:rPr>
                <w:sz w:val="20"/>
              </w:rPr>
              <w:t xml:space="preserve">Основное мероприятие 02. Создание условий для реализации функций государственных казенных учреждений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839465,00</w:t>
            </w:r>
          </w:p>
        </w:tc>
        <w:tc>
          <w:tcPr>
            <w:tcW w:w="1474" w:type="dxa"/>
          </w:tcPr>
          <w:p>
            <w:pPr>
              <w:pStyle w:val="0"/>
            </w:pPr>
            <w:r>
              <w:rPr>
                <w:sz w:val="20"/>
              </w:rPr>
              <w:t xml:space="preserve">150862,00</w:t>
            </w:r>
          </w:p>
        </w:tc>
        <w:tc>
          <w:tcPr>
            <w:tcW w:w="1474" w:type="dxa"/>
          </w:tcPr>
          <w:p>
            <w:pPr>
              <w:pStyle w:val="0"/>
            </w:pPr>
            <w:r>
              <w:rPr>
                <w:sz w:val="20"/>
              </w:rPr>
              <w:t xml:space="preserve">161025,00</w:t>
            </w:r>
          </w:p>
        </w:tc>
        <w:tc>
          <w:tcPr>
            <w:tcW w:w="1474" w:type="dxa"/>
          </w:tcPr>
          <w:p>
            <w:pPr>
              <w:pStyle w:val="0"/>
            </w:pPr>
            <w:r>
              <w:rPr>
                <w:sz w:val="20"/>
              </w:rPr>
              <w:t xml:space="preserve">175839,00</w:t>
            </w:r>
          </w:p>
        </w:tc>
        <w:tc>
          <w:tcPr>
            <w:tcW w:w="1474" w:type="dxa"/>
          </w:tcPr>
          <w:p>
            <w:pPr>
              <w:pStyle w:val="0"/>
            </w:pPr>
            <w:r>
              <w:rPr>
                <w:sz w:val="20"/>
              </w:rPr>
              <w:t xml:space="preserve">175859,00</w:t>
            </w:r>
          </w:p>
        </w:tc>
        <w:tc>
          <w:tcPr>
            <w:tcW w:w="1417" w:type="dxa"/>
          </w:tcPr>
          <w:p>
            <w:pPr>
              <w:pStyle w:val="0"/>
            </w:pPr>
            <w:r>
              <w:rPr>
                <w:sz w:val="20"/>
              </w:rPr>
              <w:t xml:space="preserve">175880,00</w:t>
            </w:r>
          </w:p>
        </w:tc>
        <w:tc>
          <w:tcPr>
            <w:tcW w:w="1876" w:type="dxa"/>
            <w:vMerge w:val="restart"/>
          </w:tcPr>
          <w:p>
            <w:pPr>
              <w:pStyle w:val="0"/>
            </w:pPr>
            <w:r>
              <w:rPr>
                <w:sz w:val="20"/>
              </w:rPr>
              <w:t xml:space="preserve">Х</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839465,00</w:t>
            </w:r>
          </w:p>
        </w:tc>
        <w:tc>
          <w:tcPr>
            <w:tcW w:w="1474" w:type="dxa"/>
          </w:tcPr>
          <w:p>
            <w:pPr>
              <w:pStyle w:val="0"/>
            </w:pPr>
            <w:r>
              <w:rPr>
                <w:sz w:val="20"/>
              </w:rPr>
              <w:t xml:space="preserve">150862,00</w:t>
            </w:r>
          </w:p>
        </w:tc>
        <w:tc>
          <w:tcPr>
            <w:tcW w:w="1474" w:type="dxa"/>
          </w:tcPr>
          <w:p>
            <w:pPr>
              <w:pStyle w:val="0"/>
            </w:pPr>
            <w:r>
              <w:rPr>
                <w:sz w:val="20"/>
              </w:rPr>
              <w:t xml:space="preserve">161025,00</w:t>
            </w:r>
          </w:p>
        </w:tc>
        <w:tc>
          <w:tcPr>
            <w:tcW w:w="1474" w:type="dxa"/>
          </w:tcPr>
          <w:p>
            <w:pPr>
              <w:pStyle w:val="0"/>
            </w:pPr>
            <w:r>
              <w:rPr>
                <w:sz w:val="20"/>
              </w:rPr>
              <w:t xml:space="preserve">175839,00</w:t>
            </w:r>
          </w:p>
        </w:tc>
        <w:tc>
          <w:tcPr>
            <w:tcW w:w="1474" w:type="dxa"/>
          </w:tcPr>
          <w:p>
            <w:pPr>
              <w:pStyle w:val="0"/>
            </w:pPr>
            <w:r>
              <w:rPr>
                <w:sz w:val="20"/>
              </w:rPr>
              <w:t xml:space="preserve">175859,00</w:t>
            </w:r>
          </w:p>
        </w:tc>
        <w:tc>
          <w:tcPr>
            <w:tcW w:w="1417" w:type="dxa"/>
          </w:tcPr>
          <w:p>
            <w:pPr>
              <w:pStyle w:val="0"/>
            </w:pPr>
            <w:r>
              <w:rPr>
                <w:sz w:val="20"/>
              </w:rPr>
              <w:t xml:space="preserve">175880,00</w:t>
            </w:r>
          </w:p>
        </w:tc>
        <w:tc>
          <w:tcPr>
            <w:vMerge w:val="continue"/>
          </w:tcPr>
          <w:p/>
        </w:tc>
      </w:tr>
      <w:tr>
        <w:tc>
          <w:tcPr>
            <w:tcW w:w="737" w:type="dxa"/>
            <w:vMerge w:val="restart"/>
          </w:tcPr>
          <w:p>
            <w:pPr>
              <w:pStyle w:val="0"/>
            </w:pPr>
            <w:r>
              <w:rPr>
                <w:sz w:val="20"/>
              </w:rPr>
              <w:t xml:space="preserve">2.1</w:t>
            </w:r>
          </w:p>
        </w:tc>
        <w:tc>
          <w:tcPr>
            <w:tcW w:w="3572" w:type="dxa"/>
            <w:vMerge w:val="restart"/>
          </w:tcPr>
          <w:p>
            <w:pPr>
              <w:pStyle w:val="0"/>
            </w:pPr>
            <w:r>
              <w:rPr>
                <w:sz w:val="20"/>
              </w:rPr>
              <w:t xml:space="preserve">Мероприятие 02.01. Обеспечение деятельности государственных казенных учреждений Московской области</w:t>
            </w:r>
          </w:p>
        </w:tc>
        <w:tc>
          <w:tcPr>
            <w:tcW w:w="1701" w:type="dxa"/>
            <w:vMerge w:val="restart"/>
          </w:tcPr>
          <w:p>
            <w:pPr>
              <w:pStyle w:val="0"/>
            </w:pPr>
            <w:r>
              <w:rPr>
                <w:sz w:val="20"/>
              </w:rPr>
              <w:t xml:space="preserve">2023-2027</w:t>
            </w:r>
          </w:p>
        </w:tc>
        <w:tc>
          <w:tcPr>
            <w:tcW w:w="1560" w:type="dxa"/>
          </w:tcPr>
          <w:p>
            <w:pPr>
              <w:pStyle w:val="0"/>
            </w:pPr>
            <w:r>
              <w:rPr>
                <w:sz w:val="20"/>
              </w:rPr>
              <w:t xml:space="preserve">Итого:</w:t>
            </w:r>
          </w:p>
        </w:tc>
        <w:tc>
          <w:tcPr>
            <w:tcW w:w="1531" w:type="dxa"/>
          </w:tcPr>
          <w:p>
            <w:pPr>
              <w:pStyle w:val="0"/>
            </w:pPr>
            <w:r>
              <w:rPr>
                <w:sz w:val="20"/>
              </w:rPr>
              <w:t xml:space="preserve">839465,00</w:t>
            </w:r>
          </w:p>
        </w:tc>
        <w:tc>
          <w:tcPr>
            <w:tcW w:w="1474" w:type="dxa"/>
          </w:tcPr>
          <w:p>
            <w:pPr>
              <w:pStyle w:val="0"/>
            </w:pPr>
            <w:r>
              <w:rPr>
                <w:sz w:val="20"/>
              </w:rPr>
              <w:t xml:space="preserve">150862,00</w:t>
            </w:r>
          </w:p>
        </w:tc>
        <w:tc>
          <w:tcPr>
            <w:tcW w:w="1474" w:type="dxa"/>
          </w:tcPr>
          <w:p>
            <w:pPr>
              <w:pStyle w:val="0"/>
            </w:pPr>
            <w:r>
              <w:rPr>
                <w:sz w:val="20"/>
              </w:rPr>
              <w:t xml:space="preserve">161025,00</w:t>
            </w:r>
          </w:p>
        </w:tc>
        <w:tc>
          <w:tcPr>
            <w:tcW w:w="1474" w:type="dxa"/>
          </w:tcPr>
          <w:p>
            <w:pPr>
              <w:pStyle w:val="0"/>
            </w:pPr>
            <w:r>
              <w:rPr>
                <w:sz w:val="20"/>
              </w:rPr>
              <w:t xml:space="preserve">175839,00</w:t>
            </w:r>
          </w:p>
        </w:tc>
        <w:tc>
          <w:tcPr>
            <w:tcW w:w="1474" w:type="dxa"/>
          </w:tcPr>
          <w:p>
            <w:pPr>
              <w:pStyle w:val="0"/>
            </w:pPr>
            <w:r>
              <w:rPr>
                <w:sz w:val="20"/>
              </w:rPr>
              <w:t xml:space="preserve">175859,00</w:t>
            </w:r>
          </w:p>
        </w:tc>
        <w:tc>
          <w:tcPr>
            <w:tcW w:w="1417" w:type="dxa"/>
          </w:tcPr>
          <w:p>
            <w:pPr>
              <w:pStyle w:val="0"/>
            </w:pPr>
            <w:r>
              <w:rPr>
                <w:sz w:val="20"/>
              </w:rPr>
              <w:t xml:space="preserve">175880,00</w:t>
            </w:r>
          </w:p>
        </w:tc>
        <w:tc>
          <w:tcPr>
            <w:tcW w:w="1876" w:type="dxa"/>
            <w:vMerge w:val="restart"/>
          </w:tcPr>
          <w:p>
            <w:pPr>
              <w:pStyle w:val="0"/>
            </w:pPr>
            <w:r>
              <w:rPr>
                <w:sz w:val="20"/>
              </w:rPr>
              <w:t xml:space="preserve">Комитет по конкурентной политике Московской области</w:t>
            </w:r>
          </w:p>
        </w:tc>
      </w:tr>
      <w:tr>
        <w:tc>
          <w:tcPr>
            <w:vMerge w:val="continue"/>
          </w:tcPr>
          <w:p/>
        </w:tc>
        <w:tc>
          <w:tcPr>
            <w:vMerge w:val="continue"/>
          </w:tcPr>
          <w:p/>
        </w:tc>
        <w:tc>
          <w:tcPr>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839465,00</w:t>
            </w:r>
          </w:p>
        </w:tc>
        <w:tc>
          <w:tcPr>
            <w:tcW w:w="1474" w:type="dxa"/>
          </w:tcPr>
          <w:p>
            <w:pPr>
              <w:pStyle w:val="0"/>
            </w:pPr>
            <w:r>
              <w:rPr>
                <w:sz w:val="20"/>
              </w:rPr>
              <w:t xml:space="preserve">150862,00</w:t>
            </w:r>
          </w:p>
        </w:tc>
        <w:tc>
          <w:tcPr>
            <w:tcW w:w="1474" w:type="dxa"/>
          </w:tcPr>
          <w:p>
            <w:pPr>
              <w:pStyle w:val="0"/>
            </w:pPr>
            <w:r>
              <w:rPr>
                <w:sz w:val="20"/>
              </w:rPr>
              <w:t xml:space="preserve">161025,00</w:t>
            </w:r>
          </w:p>
        </w:tc>
        <w:tc>
          <w:tcPr>
            <w:tcW w:w="1474" w:type="dxa"/>
          </w:tcPr>
          <w:p>
            <w:pPr>
              <w:pStyle w:val="0"/>
            </w:pPr>
            <w:r>
              <w:rPr>
                <w:sz w:val="20"/>
              </w:rPr>
              <w:t xml:space="preserve">175839,00</w:t>
            </w:r>
          </w:p>
        </w:tc>
        <w:tc>
          <w:tcPr>
            <w:tcW w:w="1474" w:type="dxa"/>
          </w:tcPr>
          <w:p>
            <w:pPr>
              <w:pStyle w:val="0"/>
            </w:pPr>
            <w:r>
              <w:rPr>
                <w:sz w:val="20"/>
              </w:rPr>
              <w:t xml:space="preserve">175859,00</w:t>
            </w:r>
          </w:p>
        </w:tc>
        <w:tc>
          <w:tcPr>
            <w:tcW w:w="1417" w:type="dxa"/>
          </w:tcPr>
          <w:p>
            <w:pPr>
              <w:pStyle w:val="0"/>
            </w:pPr>
            <w:r>
              <w:rPr>
                <w:sz w:val="20"/>
              </w:rPr>
              <w:t xml:space="preserve">175880,00</w:t>
            </w:r>
          </w:p>
        </w:tc>
        <w:tc>
          <w:tcPr>
            <w:vMerge w:val="continue"/>
          </w:tcPr>
          <w:p/>
        </w:tc>
      </w:tr>
      <w:tr>
        <w:tc>
          <w:tcPr>
            <w:gridSpan w:val="3"/>
            <w:tcW w:w="6010" w:type="dxa"/>
            <w:vMerge w:val="restart"/>
          </w:tcPr>
          <w:p>
            <w:pPr>
              <w:pStyle w:val="0"/>
            </w:pPr>
            <w:r>
              <w:rPr>
                <w:sz w:val="20"/>
              </w:rPr>
              <w:t xml:space="preserve">Итого по подпрограмме</w:t>
            </w:r>
          </w:p>
        </w:tc>
        <w:tc>
          <w:tcPr>
            <w:tcW w:w="1560" w:type="dxa"/>
          </w:tcPr>
          <w:p>
            <w:pPr>
              <w:pStyle w:val="0"/>
            </w:pPr>
            <w:r>
              <w:rPr>
                <w:sz w:val="20"/>
              </w:rPr>
              <w:t xml:space="preserve">Итого:</w:t>
            </w:r>
          </w:p>
        </w:tc>
        <w:tc>
          <w:tcPr>
            <w:tcW w:w="1531" w:type="dxa"/>
          </w:tcPr>
          <w:p>
            <w:pPr>
              <w:pStyle w:val="0"/>
            </w:pPr>
            <w:r>
              <w:rPr>
                <w:sz w:val="20"/>
              </w:rPr>
              <w:t xml:space="preserve">3706542,00</w:t>
            </w:r>
          </w:p>
        </w:tc>
        <w:tc>
          <w:tcPr>
            <w:tcW w:w="1474" w:type="dxa"/>
          </w:tcPr>
          <w:p>
            <w:pPr>
              <w:pStyle w:val="0"/>
            </w:pPr>
            <w:r>
              <w:rPr>
                <w:sz w:val="20"/>
              </w:rPr>
              <w:t xml:space="preserve">723231,00</w:t>
            </w:r>
          </w:p>
        </w:tc>
        <w:tc>
          <w:tcPr>
            <w:tcW w:w="1474" w:type="dxa"/>
          </w:tcPr>
          <w:p>
            <w:pPr>
              <w:pStyle w:val="0"/>
            </w:pPr>
            <w:r>
              <w:rPr>
                <w:sz w:val="20"/>
              </w:rPr>
              <w:t xml:space="preserve">792989,00</w:t>
            </w:r>
          </w:p>
        </w:tc>
        <w:tc>
          <w:tcPr>
            <w:tcW w:w="1474" w:type="dxa"/>
          </w:tcPr>
          <w:p>
            <w:pPr>
              <w:pStyle w:val="0"/>
            </w:pPr>
            <w:r>
              <w:rPr>
                <w:sz w:val="20"/>
              </w:rPr>
              <w:t xml:space="preserve">730111,00</w:t>
            </w:r>
          </w:p>
        </w:tc>
        <w:tc>
          <w:tcPr>
            <w:tcW w:w="1474" w:type="dxa"/>
          </w:tcPr>
          <w:p>
            <w:pPr>
              <w:pStyle w:val="0"/>
            </w:pPr>
            <w:r>
              <w:rPr>
                <w:sz w:val="20"/>
              </w:rPr>
              <w:t xml:space="preserve">729604,00</w:t>
            </w:r>
          </w:p>
        </w:tc>
        <w:tc>
          <w:tcPr>
            <w:tcW w:w="1417" w:type="dxa"/>
          </w:tcPr>
          <w:p>
            <w:pPr>
              <w:pStyle w:val="0"/>
            </w:pPr>
            <w:r>
              <w:rPr>
                <w:sz w:val="20"/>
              </w:rPr>
              <w:t xml:space="preserve">730607,00</w:t>
            </w:r>
          </w:p>
        </w:tc>
        <w:tc>
          <w:tcPr>
            <w:tcW w:w="1876" w:type="dxa"/>
            <w:vMerge w:val="restart"/>
          </w:tcPr>
          <w:p>
            <w:pPr>
              <w:pStyle w:val="0"/>
            </w:pPr>
            <w:r>
              <w:rPr>
                <w:sz w:val="20"/>
              </w:rPr>
              <w:t xml:space="preserve">Х</w:t>
            </w:r>
          </w:p>
        </w:tc>
      </w:tr>
      <w:tr>
        <w:tc>
          <w:tcPr>
            <w:gridSpan w:val="3"/>
            <w:vMerge w:val="continue"/>
          </w:tcPr>
          <w:p/>
        </w:tc>
        <w:tc>
          <w:tcPr>
            <w:tcW w:w="1560" w:type="dxa"/>
          </w:tcPr>
          <w:p>
            <w:pPr>
              <w:pStyle w:val="0"/>
            </w:pPr>
            <w:r>
              <w:rPr>
                <w:sz w:val="20"/>
              </w:rPr>
              <w:t xml:space="preserve">Средства бюджета Московской области</w:t>
            </w:r>
          </w:p>
        </w:tc>
        <w:tc>
          <w:tcPr>
            <w:tcW w:w="1531" w:type="dxa"/>
          </w:tcPr>
          <w:p>
            <w:pPr>
              <w:pStyle w:val="0"/>
            </w:pPr>
            <w:r>
              <w:rPr>
                <w:sz w:val="20"/>
              </w:rPr>
              <w:t xml:space="preserve">3706542,00</w:t>
            </w:r>
          </w:p>
        </w:tc>
        <w:tc>
          <w:tcPr>
            <w:tcW w:w="1474" w:type="dxa"/>
          </w:tcPr>
          <w:p>
            <w:pPr>
              <w:pStyle w:val="0"/>
            </w:pPr>
            <w:r>
              <w:rPr>
                <w:sz w:val="20"/>
              </w:rPr>
              <w:t xml:space="preserve">723231,00</w:t>
            </w:r>
          </w:p>
        </w:tc>
        <w:tc>
          <w:tcPr>
            <w:tcW w:w="1474" w:type="dxa"/>
          </w:tcPr>
          <w:p>
            <w:pPr>
              <w:pStyle w:val="0"/>
            </w:pPr>
            <w:r>
              <w:rPr>
                <w:sz w:val="20"/>
              </w:rPr>
              <w:t xml:space="preserve">792989,00</w:t>
            </w:r>
          </w:p>
        </w:tc>
        <w:tc>
          <w:tcPr>
            <w:tcW w:w="1474" w:type="dxa"/>
          </w:tcPr>
          <w:p>
            <w:pPr>
              <w:pStyle w:val="0"/>
            </w:pPr>
            <w:r>
              <w:rPr>
                <w:sz w:val="20"/>
              </w:rPr>
              <w:t xml:space="preserve">730111,00</w:t>
            </w:r>
          </w:p>
        </w:tc>
        <w:tc>
          <w:tcPr>
            <w:tcW w:w="1474" w:type="dxa"/>
          </w:tcPr>
          <w:p>
            <w:pPr>
              <w:pStyle w:val="0"/>
            </w:pPr>
            <w:r>
              <w:rPr>
                <w:sz w:val="20"/>
              </w:rPr>
              <w:t xml:space="preserve">729604,00</w:t>
            </w:r>
          </w:p>
        </w:tc>
        <w:tc>
          <w:tcPr>
            <w:tcW w:w="1417" w:type="dxa"/>
          </w:tcPr>
          <w:p>
            <w:pPr>
              <w:pStyle w:val="0"/>
            </w:pPr>
            <w:r>
              <w:rPr>
                <w:sz w:val="20"/>
              </w:rPr>
              <w:t xml:space="preserve">730607,00</w:t>
            </w:r>
          </w:p>
        </w:tc>
        <w:tc>
          <w:tcPr>
            <w:vMerge w:val="continue"/>
          </w:tcPr>
          <w:p/>
        </w:tc>
      </w:tr>
    </w:tbl>
    <w:p>
      <w:pPr>
        <w:sectPr>
          <w:headerReference w:type="default" r:id="rId148"/>
          <w:headerReference w:type="first" r:id="rId148"/>
          <w:footerReference w:type="default" r:id="rId149"/>
          <w:footerReference w:type="first" r:id="rId149"/>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Московской области</w:t>
      </w:r>
    </w:p>
    <w:p>
      <w:pPr>
        <w:pStyle w:val="0"/>
        <w:jc w:val="right"/>
      </w:pPr>
      <w:r>
        <w:rPr>
          <w:sz w:val="20"/>
        </w:rPr>
        <w:t xml:space="preserve">от 4 октября 2022 г. N 1074/35</w:t>
      </w:r>
    </w:p>
    <w:p>
      <w:pPr>
        <w:pStyle w:val="0"/>
        <w:jc w:val="both"/>
      </w:pPr>
      <w:r>
        <w:rPr>
          <w:sz w:val="20"/>
        </w:rPr>
      </w:r>
    </w:p>
    <w:bookmarkStart w:id="18207" w:name="P18207"/>
    <w:bookmarkEnd w:id="18207"/>
    <w:p>
      <w:pPr>
        <w:pStyle w:val="2"/>
        <w:jc w:val="center"/>
      </w:pPr>
      <w:r>
        <w:rPr>
          <w:sz w:val="20"/>
        </w:rPr>
        <w:t xml:space="preserve">ПЕРЕЧЕНЬ</w:t>
      </w:r>
    </w:p>
    <w:p>
      <w:pPr>
        <w:pStyle w:val="2"/>
        <w:jc w:val="center"/>
      </w:pPr>
      <w:r>
        <w:rPr>
          <w:sz w:val="20"/>
        </w:rPr>
        <w:t xml:space="preserve">ПРИЗНАВАЕМЫХ УТРАТИВШИМИ СИЛУ ПОСТАНОВЛЕНИЙ ПРАВИТЕЛЬСТВА</w:t>
      </w:r>
    </w:p>
    <w:p>
      <w:pPr>
        <w:pStyle w:val="2"/>
        <w:jc w:val="center"/>
      </w:pPr>
      <w:r>
        <w:rPr>
          <w:sz w:val="20"/>
        </w:rPr>
        <w:t xml:space="preserve">МОСКОВСКОЙ ОБЛАСТИ</w:t>
      </w:r>
    </w:p>
    <w:p>
      <w:pPr>
        <w:pStyle w:val="0"/>
        <w:jc w:val="both"/>
      </w:pPr>
      <w:r>
        <w:rPr>
          <w:sz w:val="20"/>
        </w:rPr>
      </w:r>
    </w:p>
    <w:p>
      <w:pPr>
        <w:pStyle w:val="0"/>
        <w:ind w:firstLine="540"/>
        <w:jc w:val="both"/>
      </w:pPr>
      <w:r>
        <w:rPr>
          <w:sz w:val="20"/>
        </w:rPr>
        <w:t xml:space="preserve">1. </w:t>
      </w:r>
      <w:hyperlink w:history="0" r:id="rId831" w:tooltip="Постановление Правительства МО от 25.10.2016 N 788/39 (ред. от 13.12.2022) &quot;Об утверждении государственной программы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pPr>
        <w:pStyle w:val="0"/>
        <w:spacing w:before="200" w:line-rule="auto"/>
        <w:ind w:firstLine="540"/>
        <w:jc w:val="both"/>
      </w:pPr>
      <w:r>
        <w:rPr>
          <w:sz w:val="20"/>
        </w:rPr>
        <w:t xml:space="preserve">2. </w:t>
      </w:r>
      <w:hyperlink w:history="0" r:id="rId832" w:tooltip="Постановление Правительства МО от 24.01.2017 N 36/3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24.01.2017 N 36/3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3. </w:t>
      </w:r>
      <w:hyperlink w:history="0" r:id="rId833" w:tooltip="Постановление Правительства МО от 14.02.2017 N 97/6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14.02.2017 N 97/6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4. </w:t>
      </w:r>
      <w:hyperlink w:history="0" r:id="rId834" w:tooltip="Постановление Правительства МО от 21.03.2017 N 186/9 &quot;О внесении изменений в государственную программу Московской области &quot;Предпринимательство Подмосковья&quot; на 2017-2021 годы и признании утратившими силу некоторых постановлений Правительства Моск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21.03.2017 N 186/9 "О внесении изменений в государственную программу Московской области "Предпринимательство Подмосковья" на 2017-2021 годы и признании утратившими силу некоторых постановлений Правительства Московской области".</w:t>
      </w:r>
    </w:p>
    <w:p>
      <w:pPr>
        <w:pStyle w:val="0"/>
        <w:spacing w:before="200" w:line-rule="auto"/>
        <w:ind w:firstLine="540"/>
        <w:jc w:val="both"/>
      </w:pPr>
      <w:r>
        <w:rPr>
          <w:sz w:val="20"/>
        </w:rPr>
        <w:t xml:space="preserve">5. </w:t>
      </w:r>
      <w:hyperlink w:history="0" r:id="rId835" w:tooltip="Постановление Правительства МО от 07.07.2017 N 581/19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07.07.2017 N 581/19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6. </w:t>
      </w:r>
      <w:hyperlink w:history="0" r:id="rId836" w:tooltip="Постановление Правительства МО от 16.08.2017 N 660/29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16.08.2017 N 660/29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7. </w:t>
      </w:r>
      <w:hyperlink w:history="0" r:id="rId837" w:tooltip="Постановление Правительства МО от 26.09.2017 N 783/35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26.09.2017 N 783/35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8. </w:t>
      </w:r>
      <w:hyperlink w:history="0" r:id="rId838" w:tooltip="Постановление Правительства МО от 17.10.2017 N 861/38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17.10.2017 N 861/38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9. </w:t>
      </w:r>
      <w:hyperlink w:history="0" r:id="rId839" w:tooltip="Постановление Правительства МО от 19.12.2017 N 1111/46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19.12.2017 N 1111/46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10. </w:t>
      </w:r>
      <w:hyperlink w:history="0" r:id="rId840" w:tooltip="Постановление Правительства МО от 16.01.2018 N 19/2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16.01.2018 N 19/2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11. </w:t>
      </w:r>
      <w:hyperlink w:history="0" r:id="rId841"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13.02.2018 N 91/6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12. </w:t>
      </w:r>
      <w:hyperlink w:history="0" r:id="rId842"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27.02.2018 N 126/8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13. </w:t>
      </w:r>
      <w:hyperlink w:history="0" r:id="rId843" w:tooltip="Постановление Правительства МО от 29.05.2018 N 334/19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29.05.2018 N 334/19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14. </w:t>
      </w:r>
      <w:hyperlink w:history="0" r:id="rId84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04.06.2018 N 357/20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15. </w:t>
      </w:r>
      <w:hyperlink w:history="0" r:id="rId84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11.09.2018 N 618/33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16. </w:t>
      </w:r>
      <w:hyperlink w:history="0" r:id="rId846"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25.09.2018 N 667/34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17. </w:t>
      </w:r>
      <w:hyperlink w:history="0" r:id="rId847"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Московской области от 25.10.2016 N 788/39 &quot;Об утверждении государственной программы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09.10.2018 N 726/36 "О целесообразности сохранения и продолжения государственной программы Московской области "Предпринимательство Подмосковья" на 2017-2021 годы до 2024 года и внесении изменений в постановление Правительства Московской области от 25.10.2016 N 788/39 "Об утверждении государственной программы Московской области "Предпринимательство Подмосковья" на 2017-2021 годы".</w:t>
      </w:r>
    </w:p>
    <w:p>
      <w:pPr>
        <w:pStyle w:val="0"/>
        <w:spacing w:before="200" w:line-rule="auto"/>
        <w:ind w:firstLine="540"/>
        <w:jc w:val="both"/>
      </w:pPr>
      <w:r>
        <w:rPr>
          <w:sz w:val="20"/>
        </w:rPr>
        <w:t xml:space="preserve">18. </w:t>
      </w:r>
      <w:hyperlink w:history="0" r:id="rId848"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20.11.2018 N 836/41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19. </w:t>
      </w:r>
      <w:hyperlink w:history="0" r:id="rId849" w:tooltip="Постановление Правительства МО от 04.12.2018 N 897/43 &quot;О внесении изменений в государственную программу Московской области &quot;Предпринимательство Подмосковья&quot; на 2017-2021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04.12.2018 N 897/43 "О внесении изменений в государственную программу Московской области "Предпринимательство Подмосковья" на 2017-2021 годы".</w:t>
      </w:r>
    </w:p>
    <w:p>
      <w:pPr>
        <w:pStyle w:val="0"/>
        <w:spacing w:before="200" w:line-rule="auto"/>
        <w:ind w:firstLine="540"/>
        <w:jc w:val="both"/>
      </w:pPr>
      <w:r>
        <w:rPr>
          <w:sz w:val="20"/>
        </w:rPr>
        <w:t xml:space="preserve">20. </w:t>
      </w:r>
      <w:hyperlink w:history="0" r:id="rId850" w:tooltip="Постановление Правительства МО от 11.12.2018 N 926/44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11.12.2018 N 926/44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21. </w:t>
      </w:r>
      <w:hyperlink w:history="0" r:id="rId851" w:tooltip="Постановление Правительства МО от 05.02.2019 N 47/4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05.02.2019 N 47/4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22. </w:t>
      </w:r>
      <w:hyperlink w:history="0" r:id="rId85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26.03.2019 N 171/10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23. </w:t>
      </w:r>
      <w:hyperlink w:history="0" r:id="rId853"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25.06.2019 N 368/20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24. </w:t>
      </w:r>
      <w:hyperlink w:history="0" r:id="rId85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17.09.2019 N 633/32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25. </w:t>
      </w:r>
      <w:hyperlink w:history="0" r:id="rId855"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15.10.2019 N 744/36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26. </w:t>
      </w:r>
      <w:hyperlink w:history="0" r:id="rId856" w:tooltip="Постановление Правительства МО от 19.11.2019 N 845/39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19.11.2019 N 845/39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27. </w:t>
      </w:r>
      <w:hyperlink w:history="0" r:id="rId857"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03.12.2019 N 906/42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28. </w:t>
      </w:r>
      <w:hyperlink w:history="0" r:id="rId858" w:tooltip="Постановление Правительства МО от 24.12.2019 N 1019/45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24.12.2019 N 1019/45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29. </w:t>
      </w:r>
      <w:hyperlink w:history="0" r:id="rId85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17.03.2020 N 117/7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30. </w:t>
      </w:r>
      <w:hyperlink w:history="0" r:id="rId86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14.04.2020 N 199/11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31. </w:t>
      </w:r>
      <w:hyperlink w:history="0" r:id="rId861"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16.06.2020 N 337/18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32. </w:t>
      </w:r>
      <w:hyperlink w:history="0" r:id="rId862" w:tooltip="Постановление Правительства МО от 25.08.2020 N 539/27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25.08.2020 N 539/27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33. </w:t>
      </w:r>
      <w:hyperlink w:history="0" r:id="rId863" w:tooltip="Постановление Правительства МО от 08.09.2020 N 617/29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08.09.2020 N 617/29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34. </w:t>
      </w:r>
      <w:hyperlink w:history="0" r:id="rId864" w:tooltip="Постановление Правительства МО от 22.09.2020 N 663/31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22.09.2020 N 663/31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35. </w:t>
      </w:r>
      <w:hyperlink w:history="0" r:id="rId865" w:tooltip="Постановление Правительства МО от 13.10.2020 N 737/3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13.10.2020 N 737/33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36. </w:t>
      </w:r>
      <w:hyperlink w:history="0" r:id="rId866" w:tooltip="Постановление Правительства МО от 27.10.2020 N 797/35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27.10.2020 N 797/35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37. </w:t>
      </w:r>
      <w:hyperlink w:history="0" r:id="rId867" w:tooltip="Постановление Правительства МО от 17.11.2020 N 863/38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17.11.2020 N 863/38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38. </w:t>
      </w:r>
      <w:hyperlink w:history="0" r:id="rId868" w:tooltip="Постановление Правительства МО от 01.12.2020 N 913/40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01.12.2020 N 913/40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39. </w:t>
      </w:r>
      <w:hyperlink w:history="0" r:id="rId869" w:tooltip="Постановление Правительства МО от 22.12.2020 N 1018/4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22.12.2020 N 1018/43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40. </w:t>
      </w:r>
      <w:hyperlink w:history="0" r:id="rId870" w:tooltip="Постановление Правительства МО от 16.03.2021 N 167/8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16.03.2021 N 167/8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41. </w:t>
      </w:r>
      <w:hyperlink w:history="0" r:id="rId871" w:tooltip="Постановление Правительства МО от 27.04.2021 N 322/14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27.04.2021 N 322/14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42. </w:t>
      </w:r>
      <w:hyperlink w:history="0" r:id="rId872" w:tooltip="Постановление Правительства МО от 18.05.2021 N 377/16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18.05.2021 N 377/16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43. </w:t>
      </w:r>
      <w:hyperlink w:history="0" r:id="rId873" w:tooltip="Постановление Правительства МО от 08.06.2021 N 440/19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08.06.2021 N 440/19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44. </w:t>
      </w:r>
      <w:hyperlink w:history="0" r:id="rId874" w:tooltip="Постановление Правительства МО от 16.06.2021 N 471/20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16.06.2021 N 471/20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45. </w:t>
      </w:r>
      <w:hyperlink w:history="0" r:id="rId875" w:tooltip="Постановление Правительства МО от 20.07.2021 N 584/22 &quot;О внесении изменений в некоторые постановления Правительства Московской области в сфере размещения информации о проведении конкурентных процедур в Московской области на едином портале торгов Моск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20.07.2021 N 584/22 "О внесении изменений в некоторые постановления Правительства Московской области в сфере размещения информации о проведении конкурентных процедур в Московской области на едином портале торгов Московской области".</w:t>
      </w:r>
    </w:p>
    <w:p>
      <w:pPr>
        <w:pStyle w:val="0"/>
        <w:spacing w:before="200" w:line-rule="auto"/>
        <w:ind w:firstLine="540"/>
        <w:jc w:val="both"/>
      </w:pPr>
      <w:r>
        <w:rPr>
          <w:sz w:val="20"/>
        </w:rPr>
        <w:t xml:space="preserve">46. </w:t>
      </w:r>
      <w:hyperlink w:history="0" r:id="rId876" w:tooltip="Постановление Правительства МО от 14.09.2021 N 842/32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14.09.2021 N 842/32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47. </w:t>
      </w:r>
      <w:hyperlink w:history="0" r:id="rId877" w:tooltip="Постановление Правительства МО от 21.09.2021 N 886/3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21.09.2021 N 886/33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48. </w:t>
      </w:r>
      <w:hyperlink w:history="0" r:id="rId878" w:tooltip="Постановление Правительства МО от 05.10.2021 N 965/35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05.10.2021 N 965/35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49. </w:t>
      </w:r>
      <w:hyperlink w:history="0" r:id="rId879" w:tooltip="Постановление Правительства МО от 20.10.2021 N 1036/37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20.10.2021 N 1036/37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50. </w:t>
      </w:r>
      <w:hyperlink w:history="0" r:id="rId880" w:tooltip="Постановление Правительства МО от 16.11.2021 N 1166/40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16.11.2021 N 1166/40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51. </w:t>
      </w:r>
      <w:hyperlink w:history="0" r:id="rId881" w:tooltip="Постановление Правительства МО от 07.12.2021 N 1283/4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07.12.2021 N 1283/43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52. </w:t>
      </w:r>
      <w:hyperlink w:history="0" r:id="rId882" w:tooltip="Постановление Правительства МО от 20.12.2021 N 1395/45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20.12.2021 N 1395/45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53. </w:t>
      </w:r>
      <w:hyperlink w:history="0" r:id="rId883" w:tooltip="Постановление Правительства МО от 26.01.2022 N 32/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26.01.2022 N 32/3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54. </w:t>
      </w:r>
      <w:hyperlink w:history="0" r:id="rId884" w:tooltip="Постановление Правительства МО от 22.02.2022 N 138/7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22.02.2022 N 138/7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55. </w:t>
      </w:r>
      <w:hyperlink w:history="0" r:id="rId885" w:tooltip="Постановление Правительства МО от 29.03.2022 N 298/12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29.03.2022 N 298/12 "О распределении бюджетных ассигнований бюджета Московской области и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56. </w:t>
      </w:r>
      <w:hyperlink w:history="0" r:id="rId886" w:tooltip="Постановление Правительства МО от 19.04.2022 N 396/15 &quot;О внесении изменений в постановление Правительства Московской области от 25.10.2016 N 788/39 &quot;Об утверждении государственной программы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19.04.2022 N 396/15 "О внесении изменений в постановление Правительства Московской области от 25.10.2016 N 788/39 "Об утверждении государственной программы Московской области "Предпринимательство Подмосковья" на 2017-2024 годы".</w:t>
      </w:r>
    </w:p>
    <w:p>
      <w:pPr>
        <w:pStyle w:val="0"/>
        <w:spacing w:before="200" w:line-rule="auto"/>
        <w:ind w:firstLine="540"/>
        <w:jc w:val="both"/>
      </w:pPr>
      <w:r>
        <w:rPr>
          <w:sz w:val="20"/>
        </w:rPr>
        <w:t xml:space="preserve">57. </w:t>
      </w:r>
      <w:hyperlink w:history="0" r:id="rId887" w:tooltip="Постановление Правительства МО от 24.05.2022 N 519/18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24.05.2022 N 519/18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58. </w:t>
      </w:r>
      <w:hyperlink w:history="0" r:id="rId888" w:tooltip="Постановление Правительства МО от 14.06.2022 N 622/21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14.06.2022 N 622/21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59. </w:t>
      </w:r>
      <w:hyperlink w:history="0" r:id="rId889" w:tooltip="Постановление Правительства МО от 26.07.2022 N 771/26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26.07.2022 N 771/26 "О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60. </w:t>
      </w:r>
      <w:hyperlink w:history="0" r:id="rId890" w:tooltip="Постановление Правительства МО от 30.08.2022 N 900/30 &quot;О распределении бюджетных ассигнований бюджета Московской области и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30.08.2022 N 900/30 "О распределении бюджетных ассигнований бюджета Московской области и внесении изменений в государственную программу Московской области "Предпринимательство Подмосковья" на 2017-2024 годы".</w:t>
      </w:r>
    </w:p>
    <w:p>
      <w:pPr>
        <w:pStyle w:val="0"/>
        <w:spacing w:before="200" w:line-rule="auto"/>
        <w:ind w:firstLine="540"/>
        <w:jc w:val="both"/>
      </w:pPr>
      <w:r>
        <w:rPr>
          <w:sz w:val="20"/>
        </w:rPr>
        <w:t xml:space="preserve">61. </w:t>
      </w:r>
      <w:hyperlink w:history="0" r:id="rId891" w:tooltip="Постановление Правительства МО от 20.09.2022 N 995/33 &quot;О внесении изменений в государственную программу Московской области &quot;Предпринимательство Подмосковья&quot; на 2017-2024 годы&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20.09.2022 N 995/33 "О внесении изменений в государственную программу Московской области "Предпринимательство Подмосковья" на 2017-2024 годы".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МО от 04.10.2022 N 1074/35</w:t>
            <w:br/>
            <w:t>(ред. от 25.12.2024)</w:t>
            <w:br/>
            <w:t>"О досрочном прекращении реализации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МО от 04.10.2022 N 1074/35</w:t>
            <w:br/>
            <w:t>(ред. от 25.12.2024)</w:t>
            <w:br/>
            <w:t>"О досрочном прекращении реализации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MOB&amp;n=376856&amp;dst=100010" TargetMode = "External"/>
	<Relationship Id="rId8" Type="http://schemas.openxmlformats.org/officeDocument/2006/relationships/hyperlink" Target="https://login.consultant.ru/link/?req=doc&amp;base=MOB&amp;n=381830&amp;dst=100010" TargetMode = "External"/>
	<Relationship Id="rId9" Type="http://schemas.openxmlformats.org/officeDocument/2006/relationships/hyperlink" Target="https://login.consultant.ru/link/?req=doc&amp;base=MOB&amp;n=381668&amp;dst=100019" TargetMode = "External"/>
	<Relationship Id="rId10" Type="http://schemas.openxmlformats.org/officeDocument/2006/relationships/hyperlink" Target="https://login.consultant.ru/link/?req=doc&amp;base=MOB&amp;n=383203&amp;dst=100010" TargetMode = "External"/>
	<Relationship Id="rId11" Type="http://schemas.openxmlformats.org/officeDocument/2006/relationships/hyperlink" Target="https://login.consultant.ru/link/?req=doc&amp;base=MOB&amp;n=383526&amp;dst=100010" TargetMode = "External"/>
	<Relationship Id="rId12" Type="http://schemas.openxmlformats.org/officeDocument/2006/relationships/hyperlink" Target="https://login.consultant.ru/link/?req=doc&amp;base=MOB&amp;n=384665&amp;dst=100010" TargetMode = "External"/>
	<Relationship Id="rId13" Type="http://schemas.openxmlformats.org/officeDocument/2006/relationships/hyperlink" Target="https://login.consultant.ru/link/?req=doc&amp;base=MOB&amp;n=385697&amp;dst=100010" TargetMode = "External"/>
	<Relationship Id="rId14" Type="http://schemas.openxmlformats.org/officeDocument/2006/relationships/hyperlink" Target="https://login.consultant.ru/link/?req=doc&amp;base=MOB&amp;n=386284&amp;dst=100010" TargetMode = "External"/>
	<Relationship Id="rId15" Type="http://schemas.openxmlformats.org/officeDocument/2006/relationships/hyperlink" Target="https://login.consultant.ru/link/?req=doc&amp;base=MOB&amp;n=388055&amp;dst=100010" TargetMode = "External"/>
	<Relationship Id="rId16" Type="http://schemas.openxmlformats.org/officeDocument/2006/relationships/hyperlink" Target="https://login.consultant.ru/link/?req=doc&amp;base=MOB&amp;n=388097&amp;dst=100010" TargetMode = "External"/>
	<Relationship Id="rId17" Type="http://schemas.openxmlformats.org/officeDocument/2006/relationships/hyperlink" Target="https://login.consultant.ru/link/?req=doc&amp;base=MOB&amp;n=389039&amp;dst=100011" TargetMode = "External"/>
	<Relationship Id="rId18" Type="http://schemas.openxmlformats.org/officeDocument/2006/relationships/hyperlink" Target="https://login.consultant.ru/link/?req=doc&amp;base=MOB&amp;n=393028&amp;dst=100011" TargetMode = "External"/>
	<Relationship Id="rId19" Type="http://schemas.openxmlformats.org/officeDocument/2006/relationships/hyperlink" Target="https://login.consultant.ru/link/?req=doc&amp;base=MOB&amp;n=391567&amp;dst=100010" TargetMode = "External"/>
	<Relationship Id="rId20" Type="http://schemas.openxmlformats.org/officeDocument/2006/relationships/hyperlink" Target="https://login.consultant.ru/link/?req=doc&amp;base=MOB&amp;n=391568&amp;dst=100010" TargetMode = "External"/>
	<Relationship Id="rId21" Type="http://schemas.openxmlformats.org/officeDocument/2006/relationships/hyperlink" Target="https://login.consultant.ru/link/?req=doc&amp;base=MOB&amp;n=394023&amp;dst=100012" TargetMode = "External"/>
	<Relationship Id="rId22" Type="http://schemas.openxmlformats.org/officeDocument/2006/relationships/hyperlink" Target="https://login.consultant.ru/link/?req=doc&amp;base=MOB&amp;n=393924&amp;dst=100011" TargetMode = "External"/>
	<Relationship Id="rId23" Type="http://schemas.openxmlformats.org/officeDocument/2006/relationships/hyperlink" Target="https://login.consultant.ru/link/?req=doc&amp;base=MOB&amp;n=394032&amp;dst=100011" TargetMode = "External"/>
	<Relationship Id="rId24" Type="http://schemas.openxmlformats.org/officeDocument/2006/relationships/hyperlink" Target="https://login.consultant.ru/link/?req=doc&amp;base=MOB&amp;n=394295&amp;dst=100011" TargetMode = "External"/>
	<Relationship Id="rId25" Type="http://schemas.openxmlformats.org/officeDocument/2006/relationships/hyperlink" Target="https://login.consultant.ru/link/?req=doc&amp;base=MOB&amp;n=396026&amp;dst=100011" TargetMode = "External"/>
	<Relationship Id="rId26" Type="http://schemas.openxmlformats.org/officeDocument/2006/relationships/hyperlink" Target="https://login.consultant.ru/link/?req=doc&amp;base=MOB&amp;n=396598&amp;dst=100012" TargetMode = "External"/>
	<Relationship Id="rId27" Type="http://schemas.openxmlformats.org/officeDocument/2006/relationships/hyperlink" Target="https://login.consultant.ru/link/?req=doc&amp;base=MOB&amp;n=396498&amp;dst=100011" TargetMode = "External"/>
	<Relationship Id="rId28" Type="http://schemas.openxmlformats.org/officeDocument/2006/relationships/hyperlink" Target="https://login.consultant.ru/link/?req=doc&amp;base=MOB&amp;n=397579&amp;dst=100011" TargetMode = "External"/>
	<Relationship Id="rId29" Type="http://schemas.openxmlformats.org/officeDocument/2006/relationships/hyperlink" Target="https://login.consultant.ru/link/?req=doc&amp;base=MOB&amp;n=398653&amp;dst=100010" TargetMode = "External"/>
	<Relationship Id="rId30" Type="http://schemas.openxmlformats.org/officeDocument/2006/relationships/hyperlink" Target="https://login.consultant.ru/link/?req=doc&amp;base=MOB&amp;n=400121&amp;dst=100011" TargetMode = "External"/>
	<Relationship Id="rId31" Type="http://schemas.openxmlformats.org/officeDocument/2006/relationships/hyperlink" Target="https://login.consultant.ru/link/?req=doc&amp;base=MOB&amp;n=403564&amp;dst=100011" TargetMode = "External"/>
	<Relationship Id="rId32" Type="http://schemas.openxmlformats.org/officeDocument/2006/relationships/hyperlink" Target="https://login.consultant.ru/link/?req=doc&amp;base=MOB&amp;n=404205&amp;dst=100012" TargetMode = "External"/>
	<Relationship Id="rId33" Type="http://schemas.openxmlformats.org/officeDocument/2006/relationships/hyperlink" Target="https://login.consultant.ru/link/?req=doc&amp;base=MOB&amp;n=404616&amp;dst=100012" TargetMode = "External"/>
	<Relationship Id="rId34" Type="http://schemas.openxmlformats.org/officeDocument/2006/relationships/hyperlink" Target="https://login.consultant.ru/link/?req=doc&amp;base=MOB&amp;n=405740&amp;dst=100011" TargetMode = "External"/>
	<Relationship Id="rId35" Type="http://schemas.openxmlformats.org/officeDocument/2006/relationships/hyperlink" Target="https://login.consultant.ru/link/?req=doc&amp;base=MOB&amp;n=406204&amp;dst=100012" TargetMode = "External"/>
	<Relationship Id="rId36" Type="http://schemas.openxmlformats.org/officeDocument/2006/relationships/hyperlink" Target="https://login.consultant.ru/link/?req=doc&amp;base=MOB&amp;n=406203&amp;dst=100012" TargetMode = "External"/>
	<Relationship Id="rId37" Type="http://schemas.openxmlformats.org/officeDocument/2006/relationships/hyperlink" Target="https://login.consultant.ru/link/?req=doc&amp;base=MOB&amp;n=406475&amp;dst=100011" TargetMode = "External"/>
	<Relationship Id="rId38" Type="http://schemas.openxmlformats.org/officeDocument/2006/relationships/hyperlink" Target="https://login.consultant.ru/link/?req=doc&amp;base=MOB&amp;n=408143&amp;dst=100011" TargetMode = "External"/>
	<Relationship Id="rId39" Type="http://schemas.openxmlformats.org/officeDocument/2006/relationships/hyperlink" Target="https://login.consultant.ru/link/?req=doc&amp;base=MOB&amp;n=408691&amp;dst=100011" TargetMode = "External"/>
	<Relationship Id="rId40" Type="http://schemas.openxmlformats.org/officeDocument/2006/relationships/hyperlink" Target="https://login.consultant.ru/link/?req=doc&amp;base=MOB&amp;n=408692&amp;dst=100011" TargetMode = "External"/>
	<Relationship Id="rId41" Type="http://schemas.openxmlformats.org/officeDocument/2006/relationships/hyperlink" Target="https://login.consultant.ru/link/?req=doc&amp;base=MOB&amp;n=409282&amp;dst=100011" TargetMode = "External"/>
	<Relationship Id="rId42" Type="http://schemas.openxmlformats.org/officeDocument/2006/relationships/hyperlink" Target="https://login.consultant.ru/link/?req=doc&amp;base=MOB&amp;n=409797&amp;dst=100011" TargetMode = "External"/>
	<Relationship Id="rId43" Type="http://schemas.openxmlformats.org/officeDocument/2006/relationships/hyperlink" Target="https://login.consultant.ru/link/?req=doc&amp;base=MOB&amp;n=410665&amp;dst=100011" TargetMode = "External"/>
	<Relationship Id="rId44" Type="http://schemas.openxmlformats.org/officeDocument/2006/relationships/hyperlink" Target="https://login.consultant.ru/link/?req=doc&amp;base=MOB&amp;n=410848&amp;dst=100011" TargetMode = "External"/>
	<Relationship Id="rId45" Type="http://schemas.openxmlformats.org/officeDocument/2006/relationships/hyperlink" Target="https://login.consultant.ru/link/?req=doc&amp;base=MOB&amp;n=411031&amp;dst=100011" TargetMode = "External"/>
	<Relationship Id="rId46" Type="http://schemas.openxmlformats.org/officeDocument/2006/relationships/hyperlink" Target="https://login.consultant.ru/link/?req=doc&amp;base=MOB&amp;n=411397&amp;dst=100011" TargetMode = "External"/>
	<Relationship Id="rId47" Type="http://schemas.openxmlformats.org/officeDocument/2006/relationships/hyperlink" Target="https://login.consultant.ru/link/?req=doc&amp;base=MOB&amp;n=411631&amp;dst=100011" TargetMode = "External"/>
	<Relationship Id="rId48" Type="http://schemas.openxmlformats.org/officeDocument/2006/relationships/hyperlink" Target="https://login.consultant.ru/link/?req=doc&amp;base=MOB&amp;n=411778&amp;dst=100011" TargetMode = "External"/>
	<Relationship Id="rId49" Type="http://schemas.openxmlformats.org/officeDocument/2006/relationships/hyperlink" Target="https://login.consultant.ru/link/?req=doc&amp;base=MOB&amp;n=412497&amp;dst=100013" TargetMode = "External"/>
	<Relationship Id="rId50" Type="http://schemas.openxmlformats.org/officeDocument/2006/relationships/hyperlink" Target="https://login.consultant.ru/link/?req=doc&amp;base=MOB&amp;n=413891&amp;dst=100011" TargetMode = "External"/>
	<Relationship Id="rId51" Type="http://schemas.openxmlformats.org/officeDocument/2006/relationships/hyperlink" Target="https://login.consultant.ru/link/?req=doc&amp;base=MOB&amp;n=413892&amp;dst=100011" TargetMode = "External"/>
	<Relationship Id="rId52" Type="http://schemas.openxmlformats.org/officeDocument/2006/relationships/hyperlink" Target="https://login.consultant.ru/link/?req=doc&amp;base=MOB&amp;n=414735&amp;dst=100011" TargetMode = "External"/>
	<Relationship Id="rId53" Type="http://schemas.openxmlformats.org/officeDocument/2006/relationships/hyperlink" Target="https://login.consultant.ru/link/?req=doc&amp;base=MOB&amp;n=419747&amp;dst=100011" TargetMode = "External"/>
	<Relationship Id="rId54" Type="http://schemas.openxmlformats.org/officeDocument/2006/relationships/hyperlink" Target="https://login.consultant.ru/link/?req=doc&amp;base=MOB&amp;n=419275&amp;dst=100011" TargetMode = "External"/>
	<Relationship Id="rId55" Type="http://schemas.openxmlformats.org/officeDocument/2006/relationships/hyperlink" Target="https://login.consultant.ru/link/?req=doc&amp;base=MOB&amp;n=419399&amp;dst=100014" TargetMode = "External"/>
	<Relationship Id="rId56" Type="http://schemas.openxmlformats.org/officeDocument/2006/relationships/hyperlink" Target="https://login.consultant.ru/link/?req=doc&amp;base=MOB&amp;n=419274&amp;dst=100011" TargetMode = "External"/>
	<Relationship Id="rId57" Type="http://schemas.openxmlformats.org/officeDocument/2006/relationships/hyperlink" Target="https://login.consultant.ru/link/?req=doc&amp;base=MOB&amp;n=419273&amp;dst=100011" TargetMode = "External"/>
	<Relationship Id="rId58" Type="http://schemas.openxmlformats.org/officeDocument/2006/relationships/hyperlink" Target="https://login.consultant.ru/link/?req=doc&amp;base=MOB&amp;n=419300&amp;dst=100011" TargetMode = "External"/>
	<Relationship Id="rId59" Type="http://schemas.openxmlformats.org/officeDocument/2006/relationships/hyperlink" Target="https://login.consultant.ru/link/?req=doc&amp;base=MOB&amp;n=419299&amp;dst=100011" TargetMode = "External"/>
	<Relationship Id="rId60" Type="http://schemas.openxmlformats.org/officeDocument/2006/relationships/hyperlink" Target="https://login.consultant.ru/link/?req=doc&amp;base=MOB&amp;n=420020&amp;dst=100011" TargetMode = "External"/>
	<Relationship Id="rId61" Type="http://schemas.openxmlformats.org/officeDocument/2006/relationships/hyperlink" Target="https://login.consultant.ru/link/?req=doc&amp;base=MOB&amp;n=420018&amp;dst=100014" TargetMode = "External"/>
	<Relationship Id="rId62" Type="http://schemas.openxmlformats.org/officeDocument/2006/relationships/hyperlink" Target="https://login.consultant.ru/link/?req=doc&amp;base=MOB&amp;n=420335&amp;dst=100011" TargetMode = "External"/>
	<Relationship Id="rId63" Type="http://schemas.openxmlformats.org/officeDocument/2006/relationships/hyperlink" Target="https://login.consultant.ru/link/?req=doc&amp;base=MOB&amp;n=421727&amp;dst=100017" TargetMode = "External"/>
	<Relationship Id="rId64" Type="http://schemas.openxmlformats.org/officeDocument/2006/relationships/hyperlink" Target="https://login.consultant.ru/link/?req=doc&amp;base=MOB&amp;n=373618&amp;dst=150168" TargetMode = "External"/>
	<Relationship Id="rId65" Type="http://schemas.openxmlformats.org/officeDocument/2006/relationships/hyperlink" Target="www.pravo.gov.ru" TargetMode = "External"/>
	<Relationship Id="rId66" Type="http://schemas.openxmlformats.org/officeDocument/2006/relationships/hyperlink" Target="https://login.consultant.ru/link/?req=doc&amp;base=MOB&amp;n=394627" TargetMode = "External"/>
	<Relationship Id="rId67" Type="http://schemas.openxmlformats.org/officeDocument/2006/relationships/hyperlink" Target="https://login.consultant.ru/link/?req=doc&amp;base=MOB&amp;n=376856&amp;dst=100010" TargetMode = "External"/>
	<Relationship Id="rId68" Type="http://schemas.openxmlformats.org/officeDocument/2006/relationships/hyperlink" Target="https://login.consultant.ru/link/?req=doc&amp;base=MOB&amp;n=381830&amp;dst=100010" TargetMode = "External"/>
	<Relationship Id="rId69" Type="http://schemas.openxmlformats.org/officeDocument/2006/relationships/hyperlink" Target="https://login.consultant.ru/link/?req=doc&amp;base=MOB&amp;n=381668&amp;dst=100019" TargetMode = "External"/>
	<Relationship Id="rId70" Type="http://schemas.openxmlformats.org/officeDocument/2006/relationships/hyperlink" Target="https://login.consultant.ru/link/?req=doc&amp;base=MOB&amp;n=383203&amp;dst=100010" TargetMode = "External"/>
	<Relationship Id="rId71" Type="http://schemas.openxmlformats.org/officeDocument/2006/relationships/hyperlink" Target="https://login.consultant.ru/link/?req=doc&amp;base=MOB&amp;n=383526&amp;dst=100010" TargetMode = "External"/>
	<Relationship Id="rId72" Type="http://schemas.openxmlformats.org/officeDocument/2006/relationships/hyperlink" Target="https://login.consultant.ru/link/?req=doc&amp;base=MOB&amp;n=384665&amp;dst=100010" TargetMode = "External"/>
	<Relationship Id="rId73" Type="http://schemas.openxmlformats.org/officeDocument/2006/relationships/hyperlink" Target="https://login.consultant.ru/link/?req=doc&amp;base=MOB&amp;n=385697&amp;dst=100010" TargetMode = "External"/>
	<Relationship Id="rId74" Type="http://schemas.openxmlformats.org/officeDocument/2006/relationships/hyperlink" Target="https://login.consultant.ru/link/?req=doc&amp;base=MOB&amp;n=386284&amp;dst=100010" TargetMode = "External"/>
	<Relationship Id="rId75" Type="http://schemas.openxmlformats.org/officeDocument/2006/relationships/hyperlink" Target="https://login.consultant.ru/link/?req=doc&amp;base=MOB&amp;n=388055&amp;dst=100010" TargetMode = "External"/>
	<Relationship Id="rId76" Type="http://schemas.openxmlformats.org/officeDocument/2006/relationships/hyperlink" Target="https://login.consultant.ru/link/?req=doc&amp;base=MOB&amp;n=388097&amp;dst=100010" TargetMode = "External"/>
	<Relationship Id="rId77" Type="http://schemas.openxmlformats.org/officeDocument/2006/relationships/hyperlink" Target="https://login.consultant.ru/link/?req=doc&amp;base=MOB&amp;n=389039&amp;dst=100011" TargetMode = "External"/>
	<Relationship Id="rId78" Type="http://schemas.openxmlformats.org/officeDocument/2006/relationships/hyperlink" Target="https://login.consultant.ru/link/?req=doc&amp;base=MOB&amp;n=393028&amp;dst=100011" TargetMode = "External"/>
	<Relationship Id="rId79" Type="http://schemas.openxmlformats.org/officeDocument/2006/relationships/hyperlink" Target="https://login.consultant.ru/link/?req=doc&amp;base=MOB&amp;n=391567&amp;dst=100010" TargetMode = "External"/>
	<Relationship Id="rId80" Type="http://schemas.openxmlformats.org/officeDocument/2006/relationships/hyperlink" Target="https://login.consultant.ru/link/?req=doc&amp;base=MOB&amp;n=391568&amp;dst=100010" TargetMode = "External"/>
	<Relationship Id="rId81" Type="http://schemas.openxmlformats.org/officeDocument/2006/relationships/hyperlink" Target="https://login.consultant.ru/link/?req=doc&amp;base=MOB&amp;n=394023&amp;dst=100012" TargetMode = "External"/>
	<Relationship Id="rId82" Type="http://schemas.openxmlformats.org/officeDocument/2006/relationships/hyperlink" Target="https://login.consultant.ru/link/?req=doc&amp;base=MOB&amp;n=393924&amp;dst=100011" TargetMode = "External"/>
	<Relationship Id="rId83" Type="http://schemas.openxmlformats.org/officeDocument/2006/relationships/hyperlink" Target="https://login.consultant.ru/link/?req=doc&amp;base=MOB&amp;n=394032&amp;dst=100011" TargetMode = "External"/>
	<Relationship Id="rId84" Type="http://schemas.openxmlformats.org/officeDocument/2006/relationships/hyperlink" Target="https://login.consultant.ru/link/?req=doc&amp;base=MOB&amp;n=394295&amp;dst=100011" TargetMode = "External"/>
	<Relationship Id="rId85" Type="http://schemas.openxmlformats.org/officeDocument/2006/relationships/hyperlink" Target="https://login.consultant.ru/link/?req=doc&amp;base=MOB&amp;n=396026&amp;dst=100011" TargetMode = "External"/>
	<Relationship Id="rId86" Type="http://schemas.openxmlformats.org/officeDocument/2006/relationships/hyperlink" Target="https://login.consultant.ru/link/?req=doc&amp;base=MOB&amp;n=396598&amp;dst=100012" TargetMode = "External"/>
	<Relationship Id="rId87" Type="http://schemas.openxmlformats.org/officeDocument/2006/relationships/hyperlink" Target="https://login.consultant.ru/link/?req=doc&amp;base=MOB&amp;n=396498&amp;dst=100011" TargetMode = "External"/>
	<Relationship Id="rId88" Type="http://schemas.openxmlformats.org/officeDocument/2006/relationships/hyperlink" Target="https://login.consultant.ru/link/?req=doc&amp;base=MOB&amp;n=397579&amp;dst=100011" TargetMode = "External"/>
	<Relationship Id="rId89" Type="http://schemas.openxmlformats.org/officeDocument/2006/relationships/hyperlink" Target="https://login.consultant.ru/link/?req=doc&amp;base=MOB&amp;n=398653&amp;dst=100010" TargetMode = "External"/>
	<Relationship Id="rId90" Type="http://schemas.openxmlformats.org/officeDocument/2006/relationships/hyperlink" Target="https://login.consultant.ru/link/?req=doc&amp;base=MOB&amp;n=400121&amp;dst=100011" TargetMode = "External"/>
	<Relationship Id="rId91" Type="http://schemas.openxmlformats.org/officeDocument/2006/relationships/hyperlink" Target="https://login.consultant.ru/link/?req=doc&amp;base=MOB&amp;n=403564&amp;dst=100011" TargetMode = "External"/>
	<Relationship Id="rId92" Type="http://schemas.openxmlformats.org/officeDocument/2006/relationships/hyperlink" Target="https://login.consultant.ru/link/?req=doc&amp;base=MOB&amp;n=404205&amp;dst=100012" TargetMode = "External"/>
	<Relationship Id="rId93" Type="http://schemas.openxmlformats.org/officeDocument/2006/relationships/hyperlink" Target="https://login.consultant.ru/link/?req=doc&amp;base=MOB&amp;n=404616&amp;dst=100012" TargetMode = "External"/>
	<Relationship Id="rId94" Type="http://schemas.openxmlformats.org/officeDocument/2006/relationships/hyperlink" Target="https://login.consultant.ru/link/?req=doc&amp;base=MOB&amp;n=405740&amp;dst=100011" TargetMode = "External"/>
	<Relationship Id="rId95" Type="http://schemas.openxmlformats.org/officeDocument/2006/relationships/hyperlink" Target="https://login.consultant.ru/link/?req=doc&amp;base=MOB&amp;n=406204&amp;dst=100012" TargetMode = "External"/>
	<Relationship Id="rId96" Type="http://schemas.openxmlformats.org/officeDocument/2006/relationships/hyperlink" Target="https://login.consultant.ru/link/?req=doc&amp;base=MOB&amp;n=406203&amp;dst=100012" TargetMode = "External"/>
	<Relationship Id="rId97" Type="http://schemas.openxmlformats.org/officeDocument/2006/relationships/hyperlink" Target="https://login.consultant.ru/link/?req=doc&amp;base=MOB&amp;n=406475&amp;dst=100011" TargetMode = "External"/>
	<Relationship Id="rId98" Type="http://schemas.openxmlformats.org/officeDocument/2006/relationships/hyperlink" Target="https://login.consultant.ru/link/?req=doc&amp;base=MOB&amp;n=408143&amp;dst=100011" TargetMode = "External"/>
	<Relationship Id="rId99" Type="http://schemas.openxmlformats.org/officeDocument/2006/relationships/hyperlink" Target="https://login.consultant.ru/link/?req=doc&amp;base=MOB&amp;n=408691&amp;dst=100011" TargetMode = "External"/>
	<Relationship Id="rId100" Type="http://schemas.openxmlformats.org/officeDocument/2006/relationships/hyperlink" Target="https://login.consultant.ru/link/?req=doc&amp;base=MOB&amp;n=408692&amp;dst=100011" TargetMode = "External"/>
	<Relationship Id="rId101" Type="http://schemas.openxmlformats.org/officeDocument/2006/relationships/hyperlink" Target="https://login.consultant.ru/link/?req=doc&amp;base=MOB&amp;n=409282&amp;dst=100011" TargetMode = "External"/>
	<Relationship Id="rId102" Type="http://schemas.openxmlformats.org/officeDocument/2006/relationships/hyperlink" Target="https://login.consultant.ru/link/?req=doc&amp;base=MOB&amp;n=409797&amp;dst=100011" TargetMode = "External"/>
	<Relationship Id="rId103" Type="http://schemas.openxmlformats.org/officeDocument/2006/relationships/hyperlink" Target="https://login.consultant.ru/link/?req=doc&amp;base=MOB&amp;n=410665&amp;dst=100011" TargetMode = "External"/>
	<Relationship Id="rId104" Type="http://schemas.openxmlformats.org/officeDocument/2006/relationships/hyperlink" Target="https://login.consultant.ru/link/?req=doc&amp;base=MOB&amp;n=410848&amp;dst=100011" TargetMode = "External"/>
	<Relationship Id="rId105" Type="http://schemas.openxmlformats.org/officeDocument/2006/relationships/hyperlink" Target="https://login.consultant.ru/link/?req=doc&amp;base=MOB&amp;n=411031&amp;dst=100011" TargetMode = "External"/>
	<Relationship Id="rId106" Type="http://schemas.openxmlformats.org/officeDocument/2006/relationships/hyperlink" Target="https://login.consultant.ru/link/?req=doc&amp;base=MOB&amp;n=411397&amp;dst=100011" TargetMode = "External"/>
	<Relationship Id="rId107" Type="http://schemas.openxmlformats.org/officeDocument/2006/relationships/hyperlink" Target="https://login.consultant.ru/link/?req=doc&amp;base=MOB&amp;n=411631&amp;dst=100011" TargetMode = "External"/>
	<Relationship Id="rId108" Type="http://schemas.openxmlformats.org/officeDocument/2006/relationships/hyperlink" Target="https://login.consultant.ru/link/?req=doc&amp;base=MOB&amp;n=411778&amp;dst=100011" TargetMode = "External"/>
	<Relationship Id="rId109" Type="http://schemas.openxmlformats.org/officeDocument/2006/relationships/hyperlink" Target="https://login.consultant.ru/link/?req=doc&amp;base=MOB&amp;n=412497&amp;dst=100013" TargetMode = "External"/>
	<Relationship Id="rId110" Type="http://schemas.openxmlformats.org/officeDocument/2006/relationships/hyperlink" Target="https://login.consultant.ru/link/?req=doc&amp;base=MOB&amp;n=413891&amp;dst=100011" TargetMode = "External"/>
	<Relationship Id="rId111" Type="http://schemas.openxmlformats.org/officeDocument/2006/relationships/hyperlink" Target="https://login.consultant.ru/link/?req=doc&amp;base=MOB&amp;n=413892&amp;dst=100011" TargetMode = "External"/>
	<Relationship Id="rId112" Type="http://schemas.openxmlformats.org/officeDocument/2006/relationships/hyperlink" Target="https://login.consultant.ru/link/?req=doc&amp;base=MOB&amp;n=414735&amp;dst=100011" TargetMode = "External"/>
	<Relationship Id="rId113" Type="http://schemas.openxmlformats.org/officeDocument/2006/relationships/hyperlink" Target="https://login.consultant.ru/link/?req=doc&amp;base=MOB&amp;n=419747&amp;dst=100011" TargetMode = "External"/>
	<Relationship Id="rId114" Type="http://schemas.openxmlformats.org/officeDocument/2006/relationships/hyperlink" Target="https://login.consultant.ru/link/?req=doc&amp;base=MOB&amp;n=419275&amp;dst=100011" TargetMode = "External"/>
	<Relationship Id="rId115" Type="http://schemas.openxmlformats.org/officeDocument/2006/relationships/hyperlink" Target="https://login.consultant.ru/link/?req=doc&amp;base=MOB&amp;n=419399&amp;dst=100014" TargetMode = "External"/>
	<Relationship Id="rId116" Type="http://schemas.openxmlformats.org/officeDocument/2006/relationships/hyperlink" Target="https://login.consultant.ru/link/?req=doc&amp;base=MOB&amp;n=419274&amp;dst=100011" TargetMode = "External"/>
	<Relationship Id="rId117" Type="http://schemas.openxmlformats.org/officeDocument/2006/relationships/hyperlink" Target="https://login.consultant.ru/link/?req=doc&amp;base=MOB&amp;n=419273&amp;dst=100011" TargetMode = "External"/>
	<Relationship Id="rId118" Type="http://schemas.openxmlformats.org/officeDocument/2006/relationships/hyperlink" Target="https://login.consultant.ru/link/?req=doc&amp;base=MOB&amp;n=419300&amp;dst=100011" TargetMode = "External"/>
	<Relationship Id="rId119" Type="http://schemas.openxmlformats.org/officeDocument/2006/relationships/hyperlink" Target="https://login.consultant.ru/link/?req=doc&amp;base=MOB&amp;n=419299&amp;dst=100011" TargetMode = "External"/>
	<Relationship Id="rId120" Type="http://schemas.openxmlformats.org/officeDocument/2006/relationships/hyperlink" Target="https://login.consultant.ru/link/?req=doc&amp;base=MOB&amp;n=420020&amp;dst=100011" TargetMode = "External"/>
	<Relationship Id="rId121" Type="http://schemas.openxmlformats.org/officeDocument/2006/relationships/hyperlink" Target="https://login.consultant.ru/link/?req=doc&amp;base=MOB&amp;n=420018&amp;dst=100014" TargetMode = "External"/>
	<Relationship Id="rId122" Type="http://schemas.openxmlformats.org/officeDocument/2006/relationships/hyperlink" Target="https://login.consultant.ru/link/?req=doc&amp;base=MOB&amp;n=420335&amp;dst=100011" TargetMode = "External"/>
	<Relationship Id="rId123" Type="http://schemas.openxmlformats.org/officeDocument/2006/relationships/hyperlink" Target="https://login.consultant.ru/link/?req=doc&amp;base=MOB&amp;n=421727&amp;dst=100017" TargetMode = "External"/>
	<Relationship Id="rId124" Type="http://schemas.openxmlformats.org/officeDocument/2006/relationships/hyperlink" Target="https://login.consultant.ru/link/?req=doc&amp;base=MOB&amp;n=391567&amp;dst=100011" TargetMode = "External"/>
	<Relationship Id="rId125" Type="http://schemas.openxmlformats.org/officeDocument/2006/relationships/hyperlink" Target="https://login.consultant.ru/link/?req=doc&amp;base=MOB&amp;n=391567&amp;dst=100022" TargetMode = "External"/>
	<Relationship Id="rId126" Type="http://schemas.openxmlformats.org/officeDocument/2006/relationships/hyperlink" Target="https://login.consultant.ru/link/?req=doc&amp;base=LAW&amp;n=481359" TargetMode = "External"/>
	<Relationship Id="rId127" Type="http://schemas.openxmlformats.org/officeDocument/2006/relationships/hyperlink" Target="https://login.consultant.ru/link/?req=doc&amp;base=LAW&amp;n=481359" TargetMode = "External"/>
	<Relationship Id="rId128" Type="http://schemas.openxmlformats.org/officeDocument/2006/relationships/hyperlink" Target="https://login.consultant.ru/link/?req=doc&amp;base=MOB&amp;n=418497" TargetMode = "External"/>
	<Relationship Id="rId129" Type="http://schemas.openxmlformats.org/officeDocument/2006/relationships/hyperlink" Target="https://login.consultant.ru/link/?req=doc&amp;base=MOB&amp;n=418497" TargetMode = "External"/>
	<Relationship Id="rId130" Type="http://schemas.openxmlformats.org/officeDocument/2006/relationships/hyperlink" Target="https://login.consultant.ru/link/?req=doc&amp;base=MOB&amp;n=389335" TargetMode = "External"/>
	<Relationship Id="rId131" Type="http://schemas.openxmlformats.org/officeDocument/2006/relationships/hyperlink" Target="https://login.consultant.ru/link/?req=doc&amp;base=MOB&amp;n=389335" TargetMode = "External"/>
	<Relationship Id="rId132" Type="http://schemas.openxmlformats.org/officeDocument/2006/relationships/hyperlink" Target="https://login.consultant.ru/link/?req=doc&amp;base=LAW&amp;n=435381&amp;dst=100016" TargetMode = "External"/>
	<Relationship Id="rId133" Type="http://schemas.openxmlformats.org/officeDocument/2006/relationships/hyperlink" Target="https://login.consultant.ru/link/?req=doc&amp;base=MOB&amp;n=419952&amp;dst=100041" TargetMode = "External"/>
	<Relationship Id="rId134" Type="http://schemas.openxmlformats.org/officeDocument/2006/relationships/hyperlink" Target="https://login.consultant.ru/link/?req=doc&amp;base=LAW&amp;n=479175" TargetMode = "External"/>
	<Relationship Id="rId135" Type="http://schemas.openxmlformats.org/officeDocument/2006/relationships/hyperlink" Target="https://login.consultant.ru/link/?req=doc&amp;base=LAW&amp;n=479175" TargetMode = "External"/>
	<Relationship Id="rId136" Type="http://schemas.openxmlformats.org/officeDocument/2006/relationships/hyperlink" Target="https://login.consultant.ru/link/?req=doc&amp;base=LAW&amp;n=436518&amp;dst=100016" TargetMode = "External"/>
	<Relationship Id="rId137" Type="http://schemas.openxmlformats.org/officeDocument/2006/relationships/hyperlink" Target="https://login.consultant.ru/link/?req=doc&amp;base=MOB&amp;n=381830&amp;dst=100011" TargetMode = "External"/>
	<Relationship Id="rId138" Type="http://schemas.openxmlformats.org/officeDocument/2006/relationships/hyperlink" Target="https://login.consultant.ru/link/?req=doc&amp;base=LAW&amp;n=431832&amp;dst=378" TargetMode = "External"/>
	<Relationship Id="rId139" Type="http://schemas.openxmlformats.org/officeDocument/2006/relationships/hyperlink" Target="https://login.consultant.ru/link/?req=doc&amp;base=LAW&amp;n=495920" TargetMode = "External"/>
	<Relationship Id="rId140" Type="http://schemas.openxmlformats.org/officeDocument/2006/relationships/hyperlink" Target="https://login.consultant.ru/link/?req=doc&amp;base=LAW&amp;n=495920" TargetMode = "External"/>
	<Relationship Id="rId141" Type="http://schemas.openxmlformats.org/officeDocument/2006/relationships/hyperlink" Target="https://&#1084;&#1089;&#1087;.&#1088;&#1092;" TargetMode = "External"/>
	<Relationship Id="rId142" Type="http://schemas.openxmlformats.org/officeDocument/2006/relationships/hyperlink" Target="https://login.consultant.ru/link/?req=doc&amp;base=MOB&amp;n=381830&amp;dst=100021" TargetMode = "External"/>
	<Relationship Id="rId143" Type="http://schemas.openxmlformats.org/officeDocument/2006/relationships/hyperlink" Target="https://login.consultant.ru/link/?req=doc&amp;base=MOB&amp;n=403564&amp;dst=100011" TargetMode = "External"/>
	<Relationship Id="rId144" Type="http://schemas.openxmlformats.org/officeDocument/2006/relationships/hyperlink" Target="https://login.consultant.ru/link/?req=doc&amp;base=LAW&amp;n=179389&amp;dst=100045" TargetMode = "External"/>
	<Relationship Id="rId145" Type="http://schemas.openxmlformats.org/officeDocument/2006/relationships/hyperlink" Target="https://login.consultant.ru/link/?req=doc&amp;base=MOB&amp;n=381830&amp;dst=100027" TargetMode = "External"/>
	<Relationship Id="rId146" Type="http://schemas.openxmlformats.org/officeDocument/2006/relationships/hyperlink" Target="https://login.consultant.ru/link/?req=doc&amp;base=MOB&amp;n=391567&amp;dst=100035" TargetMode = "External"/>
	<Relationship Id="rId147" Type="http://schemas.openxmlformats.org/officeDocument/2006/relationships/hyperlink" Target="https://login.consultant.ru/link/?req=doc&amp;base=MOB&amp;n=419299&amp;dst=100011" TargetMode = "External"/>
	<Relationship Id="rId148" Type="http://schemas.openxmlformats.org/officeDocument/2006/relationships/header" Target="header2.xml"/>
	<Relationship Id="rId149" Type="http://schemas.openxmlformats.org/officeDocument/2006/relationships/footer" Target="footer2.xml"/>
	<Relationship Id="rId150" Type="http://schemas.openxmlformats.org/officeDocument/2006/relationships/hyperlink" Target="https://login.consultant.ru/link/?req=doc&amp;base=MOB&amp;n=419747&amp;dst=100011" TargetMode = "External"/>
	<Relationship Id="rId151" Type="http://schemas.openxmlformats.org/officeDocument/2006/relationships/hyperlink" Target="https://login.consultant.ru/link/?req=doc&amp;base=MOB&amp;n=421727&amp;dst=100017" TargetMode = "External"/>
	<Relationship Id="rId152" Type="http://schemas.openxmlformats.org/officeDocument/2006/relationships/hyperlink" Target="https://login.consultant.ru/link/?req=doc&amp;base=MOB&amp;n=421727&amp;dst=100017" TargetMode = "External"/>
	<Relationship Id="rId153" Type="http://schemas.openxmlformats.org/officeDocument/2006/relationships/hyperlink" Target="https://login.consultant.ru/link/?req=doc&amp;base=MOB&amp;n=421727&amp;dst=100017" TargetMode = "External"/>
	<Relationship Id="rId154" Type="http://schemas.openxmlformats.org/officeDocument/2006/relationships/hyperlink" Target="https://login.consultant.ru/link/?req=doc&amp;base=LAW&amp;n=285796" TargetMode = "External"/>
	<Relationship Id="rId155" Type="http://schemas.openxmlformats.org/officeDocument/2006/relationships/hyperlink" Target="https://login.consultant.ru/link/?req=doc&amp;base=LAW&amp;n=358026" TargetMode = "External"/>
	<Relationship Id="rId156" Type="http://schemas.openxmlformats.org/officeDocument/2006/relationships/hyperlink" Target="https://login.consultant.ru/link/?req=doc&amp;base=LAW&amp;n=357927" TargetMode = "External"/>
	<Relationship Id="rId157" Type="http://schemas.openxmlformats.org/officeDocument/2006/relationships/hyperlink" Target="https://login.consultant.ru/link/?req=doc&amp;base=LAW&amp;n=426376" TargetMode = "External"/>
	<Relationship Id="rId158" Type="http://schemas.openxmlformats.org/officeDocument/2006/relationships/hyperlink" Target="https://login.consultant.ru/link/?req=doc&amp;base=LAW&amp;n=323102" TargetMode = "External"/>
	<Relationship Id="rId159" Type="http://schemas.openxmlformats.org/officeDocument/2006/relationships/hyperlink" Target="https://login.consultant.ru/link/?req=doc&amp;base=MOB&amp;n=401745" TargetMode = "External"/>
	<Relationship Id="rId160" Type="http://schemas.openxmlformats.org/officeDocument/2006/relationships/hyperlink" Target="https://login.consultant.ru/link/?req=doc&amp;base=MOB&amp;n=391567&amp;dst=100040" TargetMode = "External"/>
	<Relationship Id="rId161" Type="http://schemas.openxmlformats.org/officeDocument/2006/relationships/hyperlink" Target="https://login.consultant.ru/link/?req=doc&amp;base=MOB&amp;n=391567&amp;dst=100042" TargetMode = "External"/>
	<Relationship Id="rId162" Type="http://schemas.openxmlformats.org/officeDocument/2006/relationships/hyperlink" Target="https://login.consultant.ru/link/?req=doc&amp;base=LAW&amp;n=495935" TargetMode = "External"/>
	<Relationship Id="rId163" Type="http://schemas.openxmlformats.org/officeDocument/2006/relationships/hyperlink" Target="https://login.consultant.ru/link/?req=doc&amp;base=MOB&amp;n=421727&amp;dst=100063" TargetMode = "External"/>
	<Relationship Id="rId164" Type="http://schemas.openxmlformats.org/officeDocument/2006/relationships/hyperlink" Target="https://login.consultant.ru/link/?req=doc&amp;base=MOB&amp;n=421727&amp;dst=100077" TargetMode = "External"/>
	<Relationship Id="rId165" Type="http://schemas.openxmlformats.org/officeDocument/2006/relationships/hyperlink" Target="https://login.consultant.ru/link/?req=doc&amp;base=MOB&amp;n=391567&amp;dst=100071" TargetMode = "External"/>
	<Relationship Id="rId166" Type="http://schemas.openxmlformats.org/officeDocument/2006/relationships/hyperlink" Target="https://login.consultant.ru/link/?req=doc&amp;base=MOB&amp;n=421727&amp;dst=100090" TargetMode = "External"/>
	<Relationship Id="rId167" Type="http://schemas.openxmlformats.org/officeDocument/2006/relationships/hyperlink" Target="https://login.consultant.ru/link/?req=doc&amp;base=LAW&amp;n=426376" TargetMode = "External"/>
	<Relationship Id="rId168" Type="http://schemas.openxmlformats.org/officeDocument/2006/relationships/hyperlink" Target="https://login.consultant.ru/link/?req=doc&amp;base=MOB&amp;n=421727&amp;dst=100104" TargetMode = "External"/>
	<Relationship Id="rId169" Type="http://schemas.openxmlformats.org/officeDocument/2006/relationships/hyperlink" Target="https://login.consultant.ru/link/?req=doc&amp;base=LAW&amp;n=491669" TargetMode = "External"/>
	<Relationship Id="rId170" Type="http://schemas.openxmlformats.org/officeDocument/2006/relationships/hyperlink" Target="https://login.consultant.ru/link/?req=doc&amp;base=MOB&amp;n=421727&amp;dst=100116" TargetMode = "External"/>
	<Relationship Id="rId171" Type="http://schemas.openxmlformats.org/officeDocument/2006/relationships/hyperlink" Target="https://login.consultant.ru/link/?req=doc&amp;base=MOB&amp;n=421727&amp;dst=100129" TargetMode = "External"/>
	<Relationship Id="rId172" Type="http://schemas.openxmlformats.org/officeDocument/2006/relationships/hyperlink" Target="https://login.consultant.ru/link/?req=doc&amp;base=MOB&amp;n=391567&amp;dst=100140" TargetMode = "External"/>
	<Relationship Id="rId173" Type="http://schemas.openxmlformats.org/officeDocument/2006/relationships/hyperlink" Target="https://login.consultant.ru/link/?req=doc&amp;base=MOB&amp;n=393028&amp;dst=100060" TargetMode = "External"/>
	<Relationship Id="rId174" Type="http://schemas.openxmlformats.org/officeDocument/2006/relationships/hyperlink" Target="https://login.consultant.ru/link/?req=doc&amp;base=MOB&amp;n=419747&amp;dst=100064" TargetMode = "External"/>
	<Relationship Id="rId175" Type="http://schemas.openxmlformats.org/officeDocument/2006/relationships/hyperlink" Target="https://login.consultant.ru/link/?req=doc&amp;base=MOB&amp;n=421727&amp;dst=100144" TargetMode = "External"/>
	<Relationship Id="rId176" Type="http://schemas.openxmlformats.org/officeDocument/2006/relationships/hyperlink" Target="https://login.consultant.ru/link/?req=doc&amp;base=LAW&amp;n=426376" TargetMode = "External"/>
	<Relationship Id="rId177" Type="http://schemas.openxmlformats.org/officeDocument/2006/relationships/hyperlink" Target="https://login.consultant.ru/link/?req=doc&amp;base=MOB&amp;n=421727&amp;dst=100145" TargetMode = "External"/>
	<Relationship Id="rId178" Type="http://schemas.openxmlformats.org/officeDocument/2006/relationships/hyperlink" Target="https://login.consultant.ru/link/?req=doc&amp;base=MOB&amp;n=393028&amp;dst=100062" TargetMode = "External"/>
	<Relationship Id="rId179" Type="http://schemas.openxmlformats.org/officeDocument/2006/relationships/hyperlink" Target="https://login.consultant.ru/link/?req=doc&amp;base=MOB&amp;n=411631&amp;dst=100011" TargetMode = "External"/>
	<Relationship Id="rId180" Type="http://schemas.openxmlformats.org/officeDocument/2006/relationships/hyperlink" Target="https://login.consultant.ru/link/?req=doc&amp;base=MOB&amp;n=396498&amp;dst=100011" TargetMode = "External"/>
	<Relationship Id="rId181" Type="http://schemas.openxmlformats.org/officeDocument/2006/relationships/hyperlink" Target="https://login.consultant.ru/link/?req=doc&amp;base=MOB&amp;n=391567&amp;dst=100157" TargetMode = "External"/>
	<Relationship Id="rId182" Type="http://schemas.openxmlformats.org/officeDocument/2006/relationships/hyperlink" Target="https://login.consultant.ru/link/?req=doc&amp;base=MOB&amp;n=421727&amp;dst=100160" TargetMode = "External"/>
	<Relationship Id="rId183" Type="http://schemas.openxmlformats.org/officeDocument/2006/relationships/hyperlink" Target="https://login.consultant.ru/link/?req=doc&amp;base=MOB&amp;n=419747&amp;dst=100066" TargetMode = "External"/>
	<Relationship Id="rId184" Type="http://schemas.openxmlformats.org/officeDocument/2006/relationships/hyperlink" Target="https://login.consultant.ru/link/?req=doc&amp;base=MOB&amp;n=421727&amp;dst=100176" TargetMode = "External"/>
	<Relationship Id="rId185" Type="http://schemas.openxmlformats.org/officeDocument/2006/relationships/hyperlink" Target="https://login.consultant.ru/link/?req=doc&amp;base=MOB&amp;n=421727&amp;dst=100176" TargetMode = "External"/>
	<Relationship Id="rId186" Type="http://schemas.openxmlformats.org/officeDocument/2006/relationships/hyperlink" Target="https://login.consultant.ru/link/?req=doc&amp;base=MOB&amp;n=421727&amp;dst=100176" TargetMode = "External"/>
	<Relationship Id="rId187" Type="http://schemas.openxmlformats.org/officeDocument/2006/relationships/hyperlink" Target="https://login.consultant.ru/link/?req=doc&amp;base=LAW&amp;n=495920" TargetMode = "External"/>
	<Relationship Id="rId188" Type="http://schemas.openxmlformats.org/officeDocument/2006/relationships/hyperlink" Target="https://login.consultant.ru/link/?req=doc&amp;base=LAW&amp;n=495920" TargetMode = "External"/>
	<Relationship Id="rId189" Type="http://schemas.openxmlformats.org/officeDocument/2006/relationships/hyperlink" Target="https://login.consultant.ru/link/?req=doc&amp;base=LAW&amp;n=493974&amp;dst=164555" TargetMode = "External"/>
	<Relationship Id="rId190" Type="http://schemas.openxmlformats.org/officeDocument/2006/relationships/hyperlink" Target="https://login.consultant.ru/link/?req=doc&amp;base=LAW&amp;n=495920" TargetMode = "External"/>
	<Relationship Id="rId191" Type="http://schemas.openxmlformats.org/officeDocument/2006/relationships/hyperlink" Target="https://login.consultant.ru/link/?req=doc&amp;base=LAW&amp;n=495920" TargetMode = "External"/>
	<Relationship Id="rId192" Type="http://schemas.openxmlformats.org/officeDocument/2006/relationships/hyperlink" Target="https://login.consultant.ru/link/?req=doc&amp;base=LAW&amp;n=495920" TargetMode = "External"/>
	<Relationship Id="rId193" Type="http://schemas.openxmlformats.org/officeDocument/2006/relationships/hyperlink" Target="https://login.consultant.ru/link/?req=doc&amp;base=LAW&amp;n=495920" TargetMode = "External"/>
	<Relationship Id="rId194" Type="http://schemas.openxmlformats.org/officeDocument/2006/relationships/hyperlink" Target="https://login.consultant.ru/link/?req=doc&amp;base=MOB&amp;n=418497&amp;dst=738" TargetMode = "External"/>
	<Relationship Id="rId195" Type="http://schemas.openxmlformats.org/officeDocument/2006/relationships/hyperlink" Target="https://login.consultant.ru/link/?req=doc&amp;base=LAW&amp;n=466790&amp;dst=317" TargetMode = "External"/>
	<Relationship Id="rId196" Type="http://schemas.openxmlformats.org/officeDocument/2006/relationships/hyperlink" Target="https://login.consultant.ru/link/?req=doc&amp;base=LAW&amp;n=480999&amp;dst=100206" TargetMode = "External"/>
	<Relationship Id="rId197" Type="http://schemas.openxmlformats.org/officeDocument/2006/relationships/hyperlink" Target="https://login.consultant.ru/link/?req=doc&amp;base=MOB&amp;n=381830&amp;dst=100034" TargetMode = "External"/>
	<Relationship Id="rId198" Type="http://schemas.openxmlformats.org/officeDocument/2006/relationships/hyperlink" Target="https://login.consultant.ru/link/?req=doc&amp;base=MOB&amp;n=419952&amp;dst=102695" TargetMode = "External"/>
	<Relationship Id="rId199" Type="http://schemas.openxmlformats.org/officeDocument/2006/relationships/hyperlink" Target="https://login.consultant.ru/link/?req=doc&amp;base=MOB&amp;n=419273&amp;dst=100013" TargetMode = "External"/>
	<Relationship Id="rId200" Type="http://schemas.openxmlformats.org/officeDocument/2006/relationships/hyperlink" Target="https://login.consultant.ru/link/?req=doc&amp;base=MOB&amp;n=381830&amp;dst=100036" TargetMode = "External"/>
	<Relationship Id="rId201" Type="http://schemas.openxmlformats.org/officeDocument/2006/relationships/hyperlink" Target="https://login.consultant.ru/link/?req=doc&amp;base=MOB&amp;n=419952&amp;dst=100340" TargetMode = "External"/>
	<Relationship Id="rId202" Type="http://schemas.openxmlformats.org/officeDocument/2006/relationships/hyperlink" Target="https://login.consultant.ru/link/?req=doc&amp;base=MOB&amp;n=419952&amp;dst=100370" TargetMode = "External"/>
	<Relationship Id="rId203" Type="http://schemas.openxmlformats.org/officeDocument/2006/relationships/hyperlink" Target="https://login.consultant.ru/link/?req=doc&amp;base=MOB&amp;n=381830&amp;dst=100037" TargetMode = "External"/>
	<Relationship Id="rId204" Type="http://schemas.openxmlformats.org/officeDocument/2006/relationships/hyperlink" Target="https://login.consultant.ru/link/?req=doc&amp;base=MOB&amp;n=419952&amp;dst=100372" TargetMode = "External"/>
	<Relationship Id="rId205" Type="http://schemas.openxmlformats.org/officeDocument/2006/relationships/hyperlink" Target="https://login.consultant.ru/link/?req=doc&amp;base=MOB&amp;n=419952&amp;dst=100377" TargetMode = "External"/>
	<Relationship Id="rId206" Type="http://schemas.openxmlformats.org/officeDocument/2006/relationships/hyperlink" Target="https://login.consultant.ru/link/?req=doc&amp;base=MOB&amp;n=419952&amp;dst=103303" TargetMode = "External"/>
	<Relationship Id="rId207" Type="http://schemas.openxmlformats.org/officeDocument/2006/relationships/hyperlink" Target="https://login.consultant.ru/link/?req=doc&amp;base=MOB&amp;n=419952&amp;dst=103364" TargetMode = "External"/>
	<Relationship Id="rId208" Type="http://schemas.openxmlformats.org/officeDocument/2006/relationships/hyperlink" Target="https://login.consultant.ru/link/?req=doc&amp;base=MOB&amp;n=419952&amp;dst=103304" TargetMode = "External"/>
	<Relationship Id="rId209" Type="http://schemas.openxmlformats.org/officeDocument/2006/relationships/hyperlink" Target="https://login.consultant.ru/link/?req=doc&amp;base=MOB&amp;n=419952&amp;dst=103339" TargetMode = "External"/>
	<Relationship Id="rId210" Type="http://schemas.openxmlformats.org/officeDocument/2006/relationships/hyperlink" Target="https://login.consultant.ru/link/?req=doc&amp;base=MOB&amp;n=419952&amp;dst=103364" TargetMode = "External"/>
	<Relationship Id="rId211" Type="http://schemas.openxmlformats.org/officeDocument/2006/relationships/hyperlink" Target="https://login.consultant.ru/link/?req=doc&amp;base=MOB&amp;n=419952&amp;dst=100449" TargetMode = "External"/>
	<Relationship Id="rId212" Type="http://schemas.openxmlformats.org/officeDocument/2006/relationships/hyperlink" Target="https://login.consultant.ru/link/?req=doc&amp;base=MOB&amp;n=419952&amp;dst=100452" TargetMode = "External"/>
	<Relationship Id="rId213" Type="http://schemas.openxmlformats.org/officeDocument/2006/relationships/hyperlink" Target="https://login.consultant.ru/link/?req=doc&amp;base=MOB&amp;n=419952&amp;dst=103303" TargetMode = "External"/>
	<Relationship Id="rId214" Type="http://schemas.openxmlformats.org/officeDocument/2006/relationships/hyperlink" Target="https://login.consultant.ru/link/?req=doc&amp;base=MOB&amp;n=419952&amp;dst=103339" TargetMode = "External"/>
	<Relationship Id="rId215" Type="http://schemas.openxmlformats.org/officeDocument/2006/relationships/hyperlink" Target="https://login.consultant.ru/link/?req=doc&amp;base=MOB&amp;n=419273&amp;dst=100015" TargetMode = "External"/>
	<Relationship Id="rId216" Type="http://schemas.openxmlformats.org/officeDocument/2006/relationships/hyperlink" Target="https://login.consultant.ru/link/?req=doc&amp;base=MOB&amp;n=419273&amp;dst=100021" TargetMode = "External"/>
	<Relationship Id="rId217" Type="http://schemas.openxmlformats.org/officeDocument/2006/relationships/hyperlink" Target="https://login.consultant.ru/link/?req=doc&amp;base=MOB&amp;n=419273&amp;dst=100023" TargetMode = "External"/>
	<Relationship Id="rId218" Type="http://schemas.openxmlformats.org/officeDocument/2006/relationships/hyperlink" Target="https://login.consultant.ru/link/?req=doc&amp;base=MOB&amp;n=419952&amp;dst=102695" TargetMode = "External"/>
	<Relationship Id="rId219" Type="http://schemas.openxmlformats.org/officeDocument/2006/relationships/hyperlink" Target="https://login.consultant.ru/link/?req=doc&amp;base=MOB&amp;n=409220" TargetMode = "External"/>
	<Relationship Id="rId220" Type="http://schemas.openxmlformats.org/officeDocument/2006/relationships/hyperlink" Target="https://login.consultant.ru/link/?req=doc&amp;base=LAW&amp;n=466154" TargetMode = "External"/>
	<Relationship Id="rId221" Type="http://schemas.openxmlformats.org/officeDocument/2006/relationships/hyperlink" Target="https://login.consultant.ru/link/?req=doc&amp;base=MOB&amp;n=409220" TargetMode = "External"/>
	<Relationship Id="rId222" Type="http://schemas.openxmlformats.org/officeDocument/2006/relationships/hyperlink" Target="https://login.consultant.ru/link/?req=doc&amp;base=MOB&amp;n=411031&amp;dst=100094" TargetMode = "External"/>
	<Relationship Id="rId223" Type="http://schemas.openxmlformats.org/officeDocument/2006/relationships/hyperlink" Target="https://login.consultant.ru/link/?req=doc&amp;base=LAW&amp;n=494084&amp;dst=9957" TargetMode = "External"/>
	<Relationship Id="rId224" Type="http://schemas.openxmlformats.org/officeDocument/2006/relationships/hyperlink" Target="https://login.consultant.ru/link/?req=doc&amp;base=MOB&amp;n=411031&amp;dst=100095" TargetMode = "External"/>
	<Relationship Id="rId225" Type="http://schemas.openxmlformats.org/officeDocument/2006/relationships/hyperlink" Target="https://login.consultant.ru/link/?req=doc&amp;base=MOB&amp;n=419952&amp;dst=102695" TargetMode = "External"/>
	<Relationship Id="rId226" Type="http://schemas.openxmlformats.org/officeDocument/2006/relationships/hyperlink" Target="https://login.consultant.ru/link/?req=doc&amp;base=MOB&amp;n=419273&amp;dst=100056" TargetMode = "External"/>
	<Relationship Id="rId227" Type="http://schemas.openxmlformats.org/officeDocument/2006/relationships/image" Target="media/image2.wmf"/>
	<Relationship Id="rId228" Type="http://schemas.openxmlformats.org/officeDocument/2006/relationships/hyperlink" Target="https://login.consultant.ru/link/?req=doc&amp;base=LAW&amp;n=485669&amp;dst=394" TargetMode = "External"/>
	<Relationship Id="rId229" Type="http://schemas.openxmlformats.org/officeDocument/2006/relationships/hyperlink" Target="https://login.consultant.ru/link/?req=doc&amp;base=LAW&amp;n=485669&amp;dst=396" TargetMode = "External"/>
	<Relationship Id="rId230" Type="http://schemas.openxmlformats.org/officeDocument/2006/relationships/hyperlink" Target="https://login.consultant.ru/link/?req=doc&amp;base=LAW&amp;n=485669&amp;dst=274" TargetMode = "External"/>
	<Relationship Id="rId231" Type="http://schemas.openxmlformats.org/officeDocument/2006/relationships/hyperlink" Target="https://login.consultant.ru/link/?req=doc&amp;base=LAW&amp;n=485669&amp;dst=397" TargetMode = "External"/>
	<Relationship Id="rId232" Type="http://schemas.openxmlformats.org/officeDocument/2006/relationships/hyperlink" Target="https://login.consultant.ru/link/?req=doc&amp;base=LAW&amp;n=485669&amp;dst=190" TargetMode = "External"/>
	<Relationship Id="rId233" Type="http://schemas.openxmlformats.org/officeDocument/2006/relationships/hyperlink" Target="https://login.consultant.ru/link/?req=doc&amp;base=LAW&amp;n=485669&amp;dst=282" TargetMode = "External"/>
	<Relationship Id="rId234" Type="http://schemas.openxmlformats.org/officeDocument/2006/relationships/hyperlink" Target="https://login.consultant.ru/link/?req=doc&amp;base=MOB&amp;n=419952&amp;dst=100452" TargetMode = "External"/>
	<Relationship Id="rId235" Type="http://schemas.openxmlformats.org/officeDocument/2006/relationships/hyperlink" Target="https://login.consultant.ru/link/?req=doc&amp;base=MOB&amp;n=419952&amp;dst=103303" TargetMode = "External"/>
	<Relationship Id="rId236" Type="http://schemas.openxmlformats.org/officeDocument/2006/relationships/hyperlink" Target="https://login.consultant.ru/link/?req=doc&amp;base=MOB&amp;n=419952&amp;dst=100449" TargetMode = "External"/>
	<Relationship Id="rId237" Type="http://schemas.openxmlformats.org/officeDocument/2006/relationships/hyperlink" Target="https://login.consultant.ru/link/?req=doc&amp;base=MOB&amp;n=419273&amp;dst=100058" TargetMode = "External"/>
	<Relationship Id="rId238" Type="http://schemas.openxmlformats.org/officeDocument/2006/relationships/hyperlink" Target="https://login.consultant.ru/link/?req=doc&amp;base=MOB&amp;n=419952&amp;dst=101895" TargetMode = "External"/>
	<Relationship Id="rId239" Type="http://schemas.openxmlformats.org/officeDocument/2006/relationships/hyperlink" Target="https://login.consultant.ru/link/?req=doc&amp;base=MOB&amp;n=419952&amp;dst=100370" TargetMode = "External"/>
	<Relationship Id="rId240" Type="http://schemas.openxmlformats.org/officeDocument/2006/relationships/hyperlink" Target="https://login.consultant.ru/link/?req=doc&amp;base=LAW&amp;n=485669&amp;dst=388" TargetMode = "External"/>
	<Relationship Id="rId241" Type="http://schemas.openxmlformats.org/officeDocument/2006/relationships/hyperlink" Target="https://login.consultant.ru/link/?req=doc&amp;base=MOB&amp;n=419273&amp;dst=100060" TargetMode = "External"/>
	<Relationship Id="rId242" Type="http://schemas.openxmlformats.org/officeDocument/2006/relationships/hyperlink" Target="https://login.consultant.ru/link/?req=doc&amp;base=MOB&amp;n=419273&amp;dst=100062" TargetMode = "External"/>
	<Relationship Id="rId243" Type="http://schemas.openxmlformats.org/officeDocument/2006/relationships/hyperlink" Target="https://login.consultant.ru/link/?req=doc&amp;base=MOB&amp;n=419273&amp;dst=100063" TargetMode = "External"/>
	<Relationship Id="rId244" Type="http://schemas.openxmlformats.org/officeDocument/2006/relationships/hyperlink" Target="https://login.consultant.ru/link/?req=doc&amp;base=MOB&amp;n=419273&amp;dst=100065" TargetMode = "External"/>
	<Relationship Id="rId245" Type="http://schemas.openxmlformats.org/officeDocument/2006/relationships/hyperlink" Target="https://login.consultant.ru/link/?req=doc&amp;base=MOB&amp;n=419952&amp;dst=102695" TargetMode = "External"/>
	<Relationship Id="rId246" Type="http://schemas.openxmlformats.org/officeDocument/2006/relationships/hyperlink" Target="https://login.consultant.ru/link/?req=doc&amp;base=MOB&amp;n=409220" TargetMode = "External"/>
	<Relationship Id="rId247" Type="http://schemas.openxmlformats.org/officeDocument/2006/relationships/hyperlink" Target="https://login.consultant.ru/link/?req=doc&amp;base=LAW&amp;n=466154" TargetMode = "External"/>
	<Relationship Id="rId248" Type="http://schemas.openxmlformats.org/officeDocument/2006/relationships/hyperlink" Target="https://login.consultant.ru/link/?req=doc&amp;base=MOB&amp;n=409220" TargetMode = "External"/>
	<Relationship Id="rId249" Type="http://schemas.openxmlformats.org/officeDocument/2006/relationships/hyperlink" Target="https://login.consultant.ru/link/?req=doc&amp;base=MOB&amp;n=419747&amp;dst=101849" TargetMode = "External"/>
	<Relationship Id="rId250" Type="http://schemas.openxmlformats.org/officeDocument/2006/relationships/hyperlink" Target="https://login.consultant.ru/link/?req=doc&amp;base=LAW&amp;n=466790&amp;dst=5807" TargetMode = "External"/>
	<Relationship Id="rId251" Type="http://schemas.openxmlformats.org/officeDocument/2006/relationships/hyperlink" Target="https://login.consultant.ru/link/?req=doc&amp;base=MOB&amp;n=381830&amp;dst=100057" TargetMode = "External"/>
	<Relationship Id="rId252" Type="http://schemas.openxmlformats.org/officeDocument/2006/relationships/hyperlink" Target="https://login.consultant.ru/link/?req=doc&amp;base=LAW&amp;n=466790" TargetMode = "External"/>
	<Relationship Id="rId253" Type="http://schemas.openxmlformats.org/officeDocument/2006/relationships/hyperlink" Target="https://login.consultant.ru/link/?req=doc&amp;base=MOB&amp;n=419952" TargetMode = "External"/>
	<Relationship Id="rId254" Type="http://schemas.openxmlformats.org/officeDocument/2006/relationships/hyperlink" Target="https://login.consultant.ru/link/?req=doc&amp;base=MOB&amp;n=366499" TargetMode = "External"/>
	<Relationship Id="rId255" Type="http://schemas.openxmlformats.org/officeDocument/2006/relationships/hyperlink" Target="https://login.consultant.ru/link/?req=doc&amp;base=MOB&amp;n=381830&amp;dst=100058" TargetMode = "External"/>
	<Relationship Id="rId256" Type="http://schemas.openxmlformats.org/officeDocument/2006/relationships/hyperlink" Target="https://login.consultant.ru/link/?req=doc&amp;base=MOB&amp;n=381830&amp;dst=100061" TargetMode = "External"/>
	<Relationship Id="rId257" Type="http://schemas.openxmlformats.org/officeDocument/2006/relationships/hyperlink" Target="https://login.consultant.ru/link/?req=doc&amp;base=MOB&amp;n=413891&amp;dst=100374" TargetMode = "External"/>
	<Relationship Id="rId258" Type="http://schemas.openxmlformats.org/officeDocument/2006/relationships/hyperlink" Target="https://login.consultant.ru/link/?req=doc&amp;base=LAW&amp;n=466154" TargetMode = "External"/>
	<Relationship Id="rId259" Type="http://schemas.openxmlformats.org/officeDocument/2006/relationships/hyperlink" Target="https://login.consultant.ru/link/?req=doc&amp;base=MOB&amp;n=419747&amp;dst=101851" TargetMode = "External"/>
	<Relationship Id="rId260" Type="http://schemas.openxmlformats.org/officeDocument/2006/relationships/hyperlink" Target="https://login.consultant.ru/link/?req=doc&amp;base=MOB&amp;n=413891&amp;dst=100375" TargetMode = "External"/>
	<Relationship Id="rId261" Type="http://schemas.openxmlformats.org/officeDocument/2006/relationships/hyperlink" Target="https://login.consultant.ru/link/?req=doc&amp;base=LAW&amp;n=466790&amp;dst=3704" TargetMode = "External"/>
	<Relationship Id="rId262" Type="http://schemas.openxmlformats.org/officeDocument/2006/relationships/hyperlink" Target="https://login.consultant.ru/link/?req=doc&amp;base=LAW&amp;n=466790&amp;dst=3722" TargetMode = "External"/>
	<Relationship Id="rId263" Type="http://schemas.openxmlformats.org/officeDocument/2006/relationships/hyperlink" Target="https://login.consultant.ru/link/?req=doc&amp;base=MOB&amp;n=419747&amp;dst=101853" TargetMode = "External"/>
	<Relationship Id="rId264" Type="http://schemas.openxmlformats.org/officeDocument/2006/relationships/hyperlink" Target="https://login.consultant.ru/link/?req=doc&amp;base=MOB&amp;n=413891&amp;dst=100376" TargetMode = "External"/>
	<Relationship Id="rId265" Type="http://schemas.openxmlformats.org/officeDocument/2006/relationships/hyperlink" Target="https://login.consultant.ru/link/?req=doc&amp;base=MOB&amp;n=413891&amp;dst=100377" TargetMode = "External"/>
	<Relationship Id="rId266" Type="http://schemas.openxmlformats.org/officeDocument/2006/relationships/hyperlink" Target="https://login.consultant.ru/link/?req=doc&amp;base=MOB&amp;n=413891&amp;dst=100382" TargetMode = "External"/>
	<Relationship Id="rId267" Type="http://schemas.openxmlformats.org/officeDocument/2006/relationships/hyperlink" Target="https://login.consultant.ru/link/?req=doc&amp;base=LAW&amp;n=466790&amp;dst=3704" TargetMode = "External"/>
	<Relationship Id="rId268" Type="http://schemas.openxmlformats.org/officeDocument/2006/relationships/hyperlink" Target="https://login.consultant.ru/link/?req=doc&amp;base=LAW&amp;n=466790&amp;dst=3722" TargetMode = "External"/>
	<Relationship Id="rId269" Type="http://schemas.openxmlformats.org/officeDocument/2006/relationships/hyperlink" Target="https://login.consultant.ru/link/?req=doc&amp;base=MOB&amp;n=413891&amp;dst=100383" TargetMode = "External"/>
	<Relationship Id="rId270" Type="http://schemas.openxmlformats.org/officeDocument/2006/relationships/hyperlink" Target="https://login.consultant.ru/link/?req=doc&amp;base=MOB&amp;n=381830&amp;dst=100063" TargetMode = "External"/>
	<Relationship Id="rId271" Type="http://schemas.openxmlformats.org/officeDocument/2006/relationships/hyperlink" Target="https://login.consultant.ru/link/?req=doc&amp;base=MOB&amp;n=421727&amp;dst=101899" TargetMode = "External"/>
	<Relationship Id="rId272" Type="http://schemas.openxmlformats.org/officeDocument/2006/relationships/hyperlink" Target="https://login.consultant.ru/link/?req=doc&amp;base=MOB&amp;n=421727&amp;dst=101934" TargetMode = "External"/>
	<Relationship Id="rId273" Type="http://schemas.openxmlformats.org/officeDocument/2006/relationships/hyperlink" Target="https://login.consultant.ru/link/?req=doc&amp;base=LAW&amp;n=466790&amp;dst=5807" TargetMode = "External"/>
	<Relationship Id="rId274" Type="http://schemas.openxmlformats.org/officeDocument/2006/relationships/hyperlink" Target="https://login.consultant.ru/link/?req=doc&amp;base=MOB&amp;n=381830&amp;dst=100065" TargetMode = "External"/>
	<Relationship Id="rId275" Type="http://schemas.openxmlformats.org/officeDocument/2006/relationships/hyperlink" Target="https://login.consultant.ru/link/?req=doc&amp;base=MOB&amp;n=388055&amp;dst=100200" TargetMode = "External"/>
	<Relationship Id="rId276" Type="http://schemas.openxmlformats.org/officeDocument/2006/relationships/hyperlink" Target="https://login.consultant.ru/link/?req=doc&amp;base=MOB&amp;n=394023&amp;dst=100292" TargetMode = "External"/>
	<Relationship Id="rId277" Type="http://schemas.openxmlformats.org/officeDocument/2006/relationships/hyperlink" Target="https://login.consultant.ru/link/?req=doc&amp;base=LAW&amp;n=466790" TargetMode = "External"/>
	<Relationship Id="rId278" Type="http://schemas.openxmlformats.org/officeDocument/2006/relationships/hyperlink" Target="https://login.consultant.ru/link/?req=doc&amp;base=MOB&amp;n=419952" TargetMode = "External"/>
	<Relationship Id="rId279" Type="http://schemas.openxmlformats.org/officeDocument/2006/relationships/hyperlink" Target="https://login.consultant.ru/link/?req=doc&amp;base=MOB&amp;n=366499" TargetMode = "External"/>
	<Relationship Id="rId280" Type="http://schemas.openxmlformats.org/officeDocument/2006/relationships/hyperlink" Target="https://login.consultant.ru/link/?req=doc&amp;base=MOB&amp;n=394023&amp;dst=100294" TargetMode = "External"/>
	<Relationship Id="rId281" Type="http://schemas.openxmlformats.org/officeDocument/2006/relationships/hyperlink" Target="https://login.consultant.ru/link/?req=doc&amp;base=MOB&amp;n=381830&amp;dst=100066" TargetMode = "External"/>
	<Relationship Id="rId282" Type="http://schemas.openxmlformats.org/officeDocument/2006/relationships/hyperlink" Target="https://login.consultant.ru/link/?req=doc&amp;base=MOB&amp;n=381830&amp;dst=100068" TargetMode = "External"/>
	<Relationship Id="rId283" Type="http://schemas.openxmlformats.org/officeDocument/2006/relationships/hyperlink" Target="https://login.consultant.ru/link/?req=doc&amp;base=MOB&amp;n=413891&amp;dst=100476" TargetMode = "External"/>
	<Relationship Id="rId284" Type="http://schemas.openxmlformats.org/officeDocument/2006/relationships/hyperlink" Target="https://login.consultant.ru/link/?req=doc&amp;base=LAW&amp;n=466154" TargetMode = "External"/>
	<Relationship Id="rId285" Type="http://schemas.openxmlformats.org/officeDocument/2006/relationships/hyperlink" Target="https://login.consultant.ru/link/?req=doc&amp;base=MOB&amp;n=388055&amp;dst=100207" TargetMode = "External"/>
	<Relationship Id="rId286" Type="http://schemas.openxmlformats.org/officeDocument/2006/relationships/hyperlink" Target="https://login.consultant.ru/link/?req=doc&amp;base=MOB&amp;n=419747&amp;dst=101903" TargetMode = "External"/>
	<Relationship Id="rId287" Type="http://schemas.openxmlformats.org/officeDocument/2006/relationships/hyperlink" Target="https://login.consultant.ru/link/?req=doc&amp;base=MOB&amp;n=413891&amp;dst=100477" TargetMode = "External"/>
	<Relationship Id="rId288" Type="http://schemas.openxmlformats.org/officeDocument/2006/relationships/hyperlink" Target="https://login.consultant.ru/link/?req=doc&amp;base=LAW&amp;n=466790&amp;dst=3704" TargetMode = "External"/>
	<Relationship Id="rId289" Type="http://schemas.openxmlformats.org/officeDocument/2006/relationships/hyperlink" Target="https://login.consultant.ru/link/?req=doc&amp;base=LAW&amp;n=466790&amp;dst=3722" TargetMode = "External"/>
	<Relationship Id="rId290" Type="http://schemas.openxmlformats.org/officeDocument/2006/relationships/hyperlink" Target="https://login.consultant.ru/link/?req=doc&amp;base=MOB&amp;n=413891&amp;dst=100478" TargetMode = "External"/>
	<Relationship Id="rId291" Type="http://schemas.openxmlformats.org/officeDocument/2006/relationships/hyperlink" Target="https://login.consultant.ru/link/?req=doc&amp;base=MOB&amp;n=413891&amp;dst=100480" TargetMode = "External"/>
	<Relationship Id="rId292" Type="http://schemas.openxmlformats.org/officeDocument/2006/relationships/hyperlink" Target="https://login.consultant.ru/link/?req=doc&amp;base=MOB&amp;n=413891&amp;dst=100485" TargetMode = "External"/>
	<Relationship Id="rId293" Type="http://schemas.openxmlformats.org/officeDocument/2006/relationships/hyperlink" Target="https://login.consultant.ru/link/?req=doc&amp;base=LAW&amp;n=466790&amp;dst=3704" TargetMode = "External"/>
	<Relationship Id="rId294" Type="http://schemas.openxmlformats.org/officeDocument/2006/relationships/hyperlink" Target="https://login.consultant.ru/link/?req=doc&amp;base=LAW&amp;n=466790&amp;dst=3722" TargetMode = "External"/>
	<Relationship Id="rId295" Type="http://schemas.openxmlformats.org/officeDocument/2006/relationships/hyperlink" Target="https://login.consultant.ru/link/?req=doc&amp;base=MOB&amp;n=413891&amp;dst=100486" TargetMode = "External"/>
	<Relationship Id="rId296" Type="http://schemas.openxmlformats.org/officeDocument/2006/relationships/hyperlink" Target="https://login.consultant.ru/link/?req=doc&amp;base=MOB&amp;n=381830&amp;dst=100070" TargetMode = "External"/>
	<Relationship Id="rId297" Type="http://schemas.openxmlformats.org/officeDocument/2006/relationships/hyperlink" Target="https://login.consultant.ru/link/?req=doc&amp;base=MOB&amp;n=421727&amp;dst=101941" TargetMode = "External"/>
	<Relationship Id="rId298" Type="http://schemas.openxmlformats.org/officeDocument/2006/relationships/hyperlink" Target="https://login.consultant.ru/link/?req=doc&amp;base=MOB&amp;n=421727&amp;dst=101984" TargetMode = "External"/>
	<Relationship Id="rId299" Type="http://schemas.openxmlformats.org/officeDocument/2006/relationships/hyperlink" Target="https://login.consultant.ru/link/?req=doc&amp;base=MOB&amp;n=419747&amp;dst=102391" TargetMode = "External"/>
	<Relationship Id="rId300" Type="http://schemas.openxmlformats.org/officeDocument/2006/relationships/hyperlink" Target="https://login.consultant.ru/link/?req=doc&amp;base=LAW&amp;n=466790&amp;dst=103395" TargetMode = "External"/>
	<Relationship Id="rId301" Type="http://schemas.openxmlformats.org/officeDocument/2006/relationships/hyperlink" Target="https://login.consultant.ru/link/?req=doc&amp;base=LAW&amp;n=490805" TargetMode = "External"/>
	<Relationship Id="rId302" Type="http://schemas.openxmlformats.org/officeDocument/2006/relationships/hyperlink" Target="https://login.consultant.ru/link/?req=doc&amp;base=MOB&amp;n=418497&amp;dst=738" TargetMode = "External"/>
	<Relationship Id="rId303" Type="http://schemas.openxmlformats.org/officeDocument/2006/relationships/hyperlink" Target="https://login.consultant.ru/link/?req=doc&amp;base=MOB&amp;n=418497&amp;dst=738" TargetMode = "External"/>
	<Relationship Id="rId304" Type="http://schemas.openxmlformats.org/officeDocument/2006/relationships/hyperlink" Target="https://login.consultant.ru/link/?req=doc&amp;base=LAW&amp;n=495920&amp;dst=100711" TargetMode = "External"/>
	<Relationship Id="rId305" Type="http://schemas.openxmlformats.org/officeDocument/2006/relationships/hyperlink" Target="https://mii.mosreg.ru" TargetMode = "External"/>
	<Relationship Id="rId306" Type="http://schemas.openxmlformats.org/officeDocument/2006/relationships/hyperlink" Target="https://login.consultant.ru/link/?req=doc&amp;base=LAW&amp;n=121087&amp;dst=100142" TargetMode = "External"/>
	<Relationship Id="rId307" Type="http://schemas.openxmlformats.org/officeDocument/2006/relationships/hyperlink" Target="https://login.consultant.ru/link/?req=doc&amp;base=LAW&amp;n=493204" TargetMode = "External"/>
	<Relationship Id="rId308" Type="http://schemas.openxmlformats.org/officeDocument/2006/relationships/hyperlink" Target="https://login.consultant.ru/link/?req=doc&amp;base=LAW&amp;n=466838&amp;dst=5769" TargetMode = "External"/>
	<Relationship Id="rId309" Type="http://schemas.openxmlformats.org/officeDocument/2006/relationships/hyperlink" Target="https://login.consultant.ru/link/?req=doc&amp;base=LAW&amp;n=449813&amp;dst=100016" TargetMode = "External"/>
	<Relationship Id="rId310" Type="http://schemas.openxmlformats.org/officeDocument/2006/relationships/hyperlink" Target="https://login.consultant.ru/link/?req=doc&amp;base=LAW&amp;n=466790&amp;dst=3704" TargetMode = "External"/>
	<Relationship Id="rId311" Type="http://schemas.openxmlformats.org/officeDocument/2006/relationships/hyperlink" Target="https://login.consultant.ru/link/?req=doc&amp;base=LAW&amp;n=466790&amp;dst=3722" TargetMode = "External"/>
	<Relationship Id="rId312" Type="http://schemas.openxmlformats.org/officeDocument/2006/relationships/hyperlink" Target="https://login.consultant.ru/link/?req=doc&amp;base=LAW&amp;n=466790&amp;dst=3704" TargetMode = "External"/>
	<Relationship Id="rId313" Type="http://schemas.openxmlformats.org/officeDocument/2006/relationships/hyperlink" Target="https://login.consultant.ru/link/?req=doc&amp;base=LAW&amp;n=466790&amp;dst=3722" TargetMode = "External"/>
	<Relationship Id="rId314" Type="http://schemas.openxmlformats.org/officeDocument/2006/relationships/hyperlink" Target="https://login.consultant.ru/link/?req=doc&amp;base=LAW&amp;n=466790&amp;dst=3704" TargetMode = "External"/>
	<Relationship Id="rId315" Type="http://schemas.openxmlformats.org/officeDocument/2006/relationships/hyperlink" Target="https://login.consultant.ru/link/?req=doc&amp;base=LAW&amp;n=466790&amp;dst=3722" TargetMode = "External"/>
	<Relationship Id="rId316" Type="http://schemas.openxmlformats.org/officeDocument/2006/relationships/hyperlink" Target="https://login.consultant.ru/link/?req=doc&amp;base=LAW&amp;n=466790&amp;dst=3704" TargetMode = "External"/>
	<Relationship Id="rId317" Type="http://schemas.openxmlformats.org/officeDocument/2006/relationships/hyperlink" Target="https://login.consultant.ru/link/?req=doc&amp;base=LAW&amp;n=466790&amp;dst=3722" TargetMode = "External"/>
	<Relationship Id="rId318" Type="http://schemas.openxmlformats.org/officeDocument/2006/relationships/hyperlink" Target="https://login.consultant.ru/link/?req=doc&amp;base=LAW&amp;n=295076&amp;dst=100012" TargetMode = "External"/>
	<Relationship Id="rId319" Type="http://schemas.openxmlformats.org/officeDocument/2006/relationships/hyperlink" Target="https://login.consultant.ru/link/?req=doc&amp;base=MOB&amp;n=404616&amp;dst=100012" TargetMode = "External"/>
	<Relationship Id="rId320" Type="http://schemas.openxmlformats.org/officeDocument/2006/relationships/hyperlink" Target="https://login.consultant.ru/link/?req=doc&amp;base=LAW&amp;n=466790&amp;dst=7170" TargetMode = "External"/>
	<Relationship Id="rId321" Type="http://schemas.openxmlformats.org/officeDocument/2006/relationships/hyperlink" Target="https://login.consultant.ru/link/?req=doc&amp;base=LAW&amp;n=490805&amp;dst=100026" TargetMode = "External"/>
	<Relationship Id="rId322" Type="http://schemas.openxmlformats.org/officeDocument/2006/relationships/hyperlink" Target="https://login.consultant.ru/link/?req=doc&amp;base=LAW&amp;n=493974&amp;dst=164555" TargetMode = "External"/>
	<Relationship Id="rId323" Type="http://schemas.openxmlformats.org/officeDocument/2006/relationships/hyperlink" Target="https://login.consultant.ru/link/?req=doc&amp;base=LAW&amp;n=495920" TargetMode = "External"/>
	<Relationship Id="rId324" Type="http://schemas.openxmlformats.org/officeDocument/2006/relationships/hyperlink" Target="https://login.consultant.ru/link/?req=doc&amp;base=LAW&amp;n=475422&amp;dst=100010" TargetMode = "External"/>
	<Relationship Id="rId325" Type="http://schemas.openxmlformats.org/officeDocument/2006/relationships/hyperlink" Target="https://login.consultant.ru/link/?req=doc&amp;base=LAW&amp;n=121087&amp;dst=100142" TargetMode = "External"/>
	<Relationship Id="rId326" Type="http://schemas.openxmlformats.org/officeDocument/2006/relationships/hyperlink" Target="https://login.consultant.ru/link/?req=doc&amp;base=LAW&amp;n=493204" TargetMode = "External"/>
	<Relationship Id="rId327" Type="http://schemas.openxmlformats.org/officeDocument/2006/relationships/hyperlink" Target="https://login.consultant.ru/link/?req=doc&amp;base=LAW&amp;n=466838&amp;dst=5769" TargetMode = "External"/>
	<Relationship Id="rId328" Type="http://schemas.openxmlformats.org/officeDocument/2006/relationships/hyperlink" Target="https://login.consultant.ru/link/?req=doc&amp;base=MOB&amp;n=373618&amp;dst=129124" TargetMode = "External"/>
	<Relationship Id="rId329" Type="http://schemas.openxmlformats.org/officeDocument/2006/relationships/hyperlink" Target="https://login.consultant.ru/link/?req=doc&amp;base=LAW&amp;n=466790&amp;dst=3704" TargetMode = "External"/>
	<Relationship Id="rId330" Type="http://schemas.openxmlformats.org/officeDocument/2006/relationships/hyperlink" Target="https://login.consultant.ru/link/?req=doc&amp;base=LAW&amp;n=466790&amp;dst=3722" TargetMode = "External"/>
	<Relationship Id="rId331" Type="http://schemas.openxmlformats.org/officeDocument/2006/relationships/hyperlink" Target="https://login.consultant.ru/link/?req=doc&amp;base=LAW&amp;n=495920" TargetMode = "External"/>
	<Relationship Id="rId332" Type="http://schemas.openxmlformats.org/officeDocument/2006/relationships/hyperlink" Target="https://login.consultant.ru/link/?req=doc&amp;base=LAW&amp;n=495920" TargetMode = "External"/>
	<Relationship Id="rId333" Type="http://schemas.openxmlformats.org/officeDocument/2006/relationships/hyperlink" Target="https://login.consultant.ru/link/?req=doc&amp;base=LAW&amp;n=495920" TargetMode = "External"/>
	<Relationship Id="rId334" Type="http://schemas.openxmlformats.org/officeDocument/2006/relationships/hyperlink" Target="https://login.consultant.ru/link/?req=doc&amp;base=LAW&amp;n=495920&amp;dst=100711" TargetMode = "External"/>
	<Relationship Id="rId335" Type="http://schemas.openxmlformats.org/officeDocument/2006/relationships/hyperlink" Target="https://login.consultant.ru/link/?req=doc&amp;base=LAW&amp;n=495920&amp;dst=100711" TargetMode = "External"/>
	<Relationship Id="rId336" Type="http://schemas.openxmlformats.org/officeDocument/2006/relationships/hyperlink" Target="https://login.consultant.ru/link/?req=doc&amp;base=LAW&amp;n=495920&amp;dst=100711" TargetMode = "External"/>
	<Relationship Id="rId337" Type="http://schemas.openxmlformats.org/officeDocument/2006/relationships/hyperlink" Target="https://login.consultant.ru/link/?req=doc&amp;base=LAW&amp;n=400478" TargetMode = "External"/>
	<Relationship Id="rId338" Type="http://schemas.openxmlformats.org/officeDocument/2006/relationships/hyperlink" Target="https://login.consultant.ru/link/?req=doc&amp;base=LAW&amp;n=466790&amp;dst=3704" TargetMode = "External"/>
	<Relationship Id="rId339" Type="http://schemas.openxmlformats.org/officeDocument/2006/relationships/hyperlink" Target="https://login.consultant.ru/link/?req=doc&amp;base=LAW&amp;n=466790&amp;dst=3722" TargetMode = "External"/>
	<Relationship Id="rId340" Type="http://schemas.openxmlformats.org/officeDocument/2006/relationships/hyperlink" Target="https://login.consultant.ru/link/?req=doc&amp;base=MOB&amp;n=410848&amp;dst=100011" TargetMode = "External"/>
	<Relationship Id="rId341" Type="http://schemas.openxmlformats.org/officeDocument/2006/relationships/hyperlink" Target="https://login.consultant.ru/link/?req=doc&amp;base=LAW&amp;n=495920&amp;dst=100711" TargetMode = "External"/>
	<Relationship Id="rId342" Type="http://schemas.openxmlformats.org/officeDocument/2006/relationships/hyperlink" Target="https://login.consultant.ru/link/?req=doc&amp;base=LAW&amp;n=495920&amp;dst=100711" TargetMode = "External"/>
	<Relationship Id="rId343" Type="http://schemas.openxmlformats.org/officeDocument/2006/relationships/hyperlink" Target="https://login.consultant.ru/link/?req=doc&amp;base=LAW&amp;n=495920&amp;dst=100711" TargetMode = "External"/>
	<Relationship Id="rId344" Type="http://schemas.openxmlformats.org/officeDocument/2006/relationships/hyperlink" Target="https://login.consultant.ru/link/?req=doc&amp;base=MOB&amp;n=389335&amp;dst=100175" TargetMode = "External"/>
	<Relationship Id="rId345" Type="http://schemas.openxmlformats.org/officeDocument/2006/relationships/hyperlink" Target="https://login.consultant.ru/link/?req=doc&amp;base=MOB&amp;n=421749&amp;dst=100011" TargetMode = "External"/>
	<Relationship Id="rId346" Type="http://schemas.openxmlformats.org/officeDocument/2006/relationships/hyperlink" Target="https://login.consultant.ru/link/?req=doc&amp;base=LAW&amp;n=482692&amp;dst=101000" TargetMode = "External"/>
	<Relationship Id="rId347" Type="http://schemas.openxmlformats.org/officeDocument/2006/relationships/hyperlink" Target="https://login.consultant.ru/link/?req=doc&amp;base=LAW&amp;n=21722" TargetMode = "External"/>
	<Relationship Id="rId348" Type="http://schemas.openxmlformats.org/officeDocument/2006/relationships/hyperlink" Target="https://login.consultant.ru/link/?req=doc&amp;base=LAW&amp;n=368472&amp;dst=7" TargetMode = "External"/>
	<Relationship Id="rId349" Type="http://schemas.openxmlformats.org/officeDocument/2006/relationships/hyperlink" Target="https://login.consultant.ru/link/?req=doc&amp;base=LAW&amp;n=280141" TargetMode = "External"/>
	<Relationship Id="rId350" Type="http://schemas.openxmlformats.org/officeDocument/2006/relationships/hyperlink" Target="https://login.consultant.ru/link/?req=doc&amp;base=LAW&amp;n=368472&amp;dst=79" TargetMode = "External"/>
	<Relationship Id="rId351" Type="http://schemas.openxmlformats.org/officeDocument/2006/relationships/hyperlink" Target="https://login.consultant.ru/link/?req=doc&amp;base=LAW&amp;n=280141" TargetMode = "External"/>
	<Relationship Id="rId352" Type="http://schemas.openxmlformats.org/officeDocument/2006/relationships/hyperlink" Target="https://login.consultant.ru/link/?req=doc&amp;base=MOB&amp;n=419747&amp;dst=102939" TargetMode = "External"/>
	<Relationship Id="rId353" Type="http://schemas.openxmlformats.org/officeDocument/2006/relationships/hyperlink" Target="https://login.consultant.ru/link/?req=doc&amp;base=LAW&amp;n=466790&amp;dst=103395" TargetMode = "External"/>
	<Relationship Id="rId354" Type="http://schemas.openxmlformats.org/officeDocument/2006/relationships/hyperlink" Target="https://login.consultant.ru/link/?req=doc&amp;base=LAW&amp;n=490805" TargetMode = "External"/>
	<Relationship Id="rId355" Type="http://schemas.openxmlformats.org/officeDocument/2006/relationships/hyperlink" Target="https://login.consultant.ru/link/?req=doc&amp;base=LAW&amp;n=495920&amp;dst=104310" TargetMode = "External"/>
	<Relationship Id="rId356" Type="http://schemas.openxmlformats.org/officeDocument/2006/relationships/hyperlink" Target="https://login.consultant.ru/link/?req=doc&amp;base=LAW&amp;n=495920&amp;dst=104744" TargetMode = "External"/>
	<Relationship Id="rId357" Type="http://schemas.openxmlformats.org/officeDocument/2006/relationships/hyperlink" Target="https://login.consultant.ru/link/?req=doc&amp;base=LAW&amp;n=495920&amp;dst=104310" TargetMode = "External"/>
	<Relationship Id="rId358" Type="http://schemas.openxmlformats.org/officeDocument/2006/relationships/hyperlink" Target="https://login.consultant.ru/link/?req=doc&amp;base=LAW&amp;n=121087&amp;dst=100142" TargetMode = "External"/>
	<Relationship Id="rId359" Type="http://schemas.openxmlformats.org/officeDocument/2006/relationships/hyperlink" Target="https://login.consultant.ru/link/?req=doc&amp;base=LAW&amp;n=493204" TargetMode = "External"/>
	<Relationship Id="rId360" Type="http://schemas.openxmlformats.org/officeDocument/2006/relationships/hyperlink" Target="https://login.consultant.ru/link/?req=doc&amp;base=LAW&amp;n=466838&amp;dst=5769" TargetMode = "External"/>
	<Relationship Id="rId361" Type="http://schemas.openxmlformats.org/officeDocument/2006/relationships/hyperlink" Target="https://login.consultant.ru/link/?req=doc&amp;base=LAW&amp;n=466790&amp;dst=3704" TargetMode = "External"/>
	<Relationship Id="rId362" Type="http://schemas.openxmlformats.org/officeDocument/2006/relationships/hyperlink" Target="https://login.consultant.ru/link/?req=doc&amp;base=LAW&amp;n=466790&amp;dst=3722" TargetMode = "External"/>
	<Relationship Id="rId363" Type="http://schemas.openxmlformats.org/officeDocument/2006/relationships/hyperlink" Target="https://login.consultant.ru/link/?req=doc&amp;base=LAW&amp;n=466790&amp;dst=3704" TargetMode = "External"/>
	<Relationship Id="rId364" Type="http://schemas.openxmlformats.org/officeDocument/2006/relationships/hyperlink" Target="https://login.consultant.ru/link/?req=doc&amp;base=LAW&amp;n=466790&amp;dst=3722" TargetMode = "External"/>
	<Relationship Id="rId365" Type="http://schemas.openxmlformats.org/officeDocument/2006/relationships/hyperlink" Target="https://login.consultant.ru/link/?req=doc&amp;base=LAW&amp;n=41013&amp;dst=100115" TargetMode = "External"/>
	<Relationship Id="rId366" Type="http://schemas.openxmlformats.org/officeDocument/2006/relationships/hyperlink" Target="https://login.consultant.ru/link/?req=doc&amp;base=MOB&amp;n=421727&amp;dst=101992" TargetMode = "External"/>
	<Relationship Id="rId367" Type="http://schemas.openxmlformats.org/officeDocument/2006/relationships/hyperlink" Target="https://login.consultant.ru/link/?req=doc&amp;base=MOB&amp;n=421727&amp;dst=101993" TargetMode = "External"/>
	<Relationship Id="rId368" Type="http://schemas.openxmlformats.org/officeDocument/2006/relationships/hyperlink" Target="https://login.consultant.ru/link/?req=doc&amp;base=MOB&amp;n=419747&amp;dst=103312" TargetMode = "External"/>
	<Relationship Id="rId369" Type="http://schemas.openxmlformats.org/officeDocument/2006/relationships/hyperlink" Target="https://login.consultant.ru/link/?req=doc&amp;base=LAW&amp;n=466790&amp;dst=103395" TargetMode = "External"/>
	<Relationship Id="rId370" Type="http://schemas.openxmlformats.org/officeDocument/2006/relationships/hyperlink" Target="https://login.consultant.ru/link/?req=doc&amp;base=LAW&amp;n=490805" TargetMode = "External"/>
	<Relationship Id="rId371" Type="http://schemas.openxmlformats.org/officeDocument/2006/relationships/hyperlink" Target="https://login.consultant.ru/link/?req=doc&amp;base=LAW&amp;n=494992&amp;dst=427" TargetMode = "External"/>
	<Relationship Id="rId372" Type="http://schemas.openxmlformats.org/officeDocument/2006/relationships/hyperlink" Target="https://login.consultant.ru/link/?req=doc&amp;base=LAW&amp;n=495920&amp;dst=104310" TargetMode = "External"/>
	<Relationship Id="rId373" Type="http://schemas.openxmlformats.org/officeDocument/2006/relationships/hyperlink" Target="https://login.consultant.ru/link/?req=doc&amp;base=LAW&amp;n=495920&amp;dst=104744" TargetMode = "External"/>
	<Relationship Id="rId374" Type="http://schemas.openxmlformats.org/officeDocument/2006/relationships/hyperlink" Target="https://login.consultant.ru/link/?req=doc&amp;base=LAW&amp;n=495920&amp;dst=104310" TargetMode = "External"/>
	<Relationship Id="rId375" Type="http://schemas.openxmlformats.org/officeDocument/2006/relationships/hyperlink" Target="https://login.consultant.ru/link/?req=doc&amp;base=LAW&amp;n=121087&amp;dst=100142" TargetMode = "External"/>
	<Relationship Id="rId376" Type="http://schemas.openxmlformats.org/officeDocument/2006/relationships/hyperlink" Target="https://login.consultant.ru/link/?req=doc&amp;base=LAW&amp;n=493204" TargetMode = "External"/>
	<Relationship Id="rId377" Type="http://schemas.openxmlformats.org/officeDocument/2006/relationships/hyperlink" Target="https://login.consultant.ru/link/?req=doc&amp;base=LAW&amp;n=466838&amp;dst=5769" TargetMode = "External"/>
	<Relationship Id="rId378" Type="http://schemas.openxmlformats.org/officeDocument/2006/relationships/hyperlink" Target="https://login.consultant.ru/link/?req=doc&amp;base=LAW&amp;n=466790&amp;dst=3704" TargetMode = "External"/>
	<Relationship Id="rId379" Type="http://schemas.openxmlformats.org/officeDocument/2006/relationships/hyperlink" Target="https://login.consultant.ru/link/?req=doc&amp;base=LAW&amp;n=466790&amp;dst=3722" TargetMode = "External"/>
	<Relationship Id="rId380" Type="http://schemas.openxmlformats.org/officeDocument/2006/relationships/hyperlink" Target="https://login.consultant.ru/link/?req=doc&amp;base=LAW&amp;n=466790&amp;dst=3704" TargetMode = "External"/>
	<Relationship Id="rId381" Type="http://schemas.openxmlformats.org/officeDocument/2006/relationships/hyperlink" Target="https://login.consultant.ru/link/?req=doc&amp;base=LAW&amp;n=466790&amp;dst=3722" TargetMode = "External"/>
	<Relationship Id="rId382" Type="http://schemas.openxmlformats.org/officeDocument/2006/relationships/hyperlink" Target="https://login.consultant.ru/link/?req=doc&amp;base=LAW&amp;n=466790&amp;dst=3704" TargetMode = "External"/>
	<Relationship Id="rId383" Type="http://schemas.openxmlformats.org/officeDocument/2006/relationships/hyperlink" Target="https://login.consultant.ru/link/?req=doc&amp;base=LAW&amp;n=466790&amp;dst=3722" TargetMode = "External"/>
	<Relationship Id="rId384" Type="http://schemas.openxmlformats.org/officeDocument/2006/relationships/hyperlink" Target="https://login.consultant.ru/link/?req=doc&amp;base=LAW&amp;n=41013&amp;dst=100115" TargetMode = "External"/>
	<Relationship Id="rId385" Type="http://schemas.openxmlformats.org/officeDocument/2006/relationships/hyperlink" Target="https://login.consultant.ru/link/?req=doc&amp;base=MOB&amp;n=419747&amp;dst=103583" TargetMode = "External"/>
	<Relationship Id="rId386" Type="http://schemas.openxmlformats.org/officeDocument/2006/relationships/hyperlink" Target="https://login.consultant.ru/link/?req=doc&amp;base=LAW&amp;n=466790&amp;dst=103395" TargetMode = "External"/>
	<Relationship Id="rId387" Type="http://schemas.openxmlformats.org/officeDocument/2006/relationships/hyperlink" Target="https://login.consultant.ru/link/?req=doc&amp;base=LAW&amp;n=490805" TargetMode = "External"/>
	<Relationship Id="rId388" Type="http://schemas.openxmlformats.org/officeDocument/2006/relationships/hyperlink" Target="https://login.consultant.ru/link/?req=doc&amp;base=MOB&amp;n=418497&amp;dst=738" TargetMode = "External"/>
	<Relationship Id="rId389" Type="http://schemas.openxmlformats.org/officeDocument/2006/relationships/hyperlink" Target="https://login.consultant.ru/link/?req=doc&amp;base=LAW&amp;n=495920&amp;dst=100133" TargetMode = "External"/>
	<Relationship Id="rId390" Type="http://schemas.openxmlformats.org/officeDocument/2006/relationships/hyperlink" Target="https://login.consultant.ru/link/?req=doc&amp;base=LAW&amp;n=495920&amp;dst=100711" TargetMode = "External"/>
	<Relationship Id="rId391" Type="http://schemas.openxmlformats.org/officeDocument/2006/relationships/hyperlink" Target="https://login.consultant.ru/link/?req=doc&amp;base=LAW&amp;n=495920&amp;dst=103914" TargetMode = "External"/>
	<Relationship Id="rId392" Type="http://schemas.openxmlformats.org/officeDocument/2006/relationships/hyperlink" Target="https://login.consultant.ru/link/?req=doc&amp;base=LAW&amp;n=495920&amp;dst=104310" TargetMode = "External"/>
	<Relationship Id="rId393" Type="http://schemas.openxmlformats.org/officeDocument/2006/relationships/hyperlink" Target="https://login.consultant.ru/link/?req=doc&amp;base=LAW&amp;n=495920&amp;dst=100133" TargetMode = "External"/>
	<Relationship Id="rId394" Type="http://schemas.openxmlformats.org/officeDocument/2006/relationships/hyperlink" Target="https://login.consultant.ru/link/?req=doc&amp;base=LAW&amp;n=495920&amp;dst=100711" TargetMode = "External"/>
	<Relationship Id="rId395" Type="http://schemas.openxmlformats.org/officeDocument/2006/relationships/hyperlink" Target="https://login.consultant.ru/link/?req=doc&amp;base=LAW&amp;n=495920&amp;dst=103914" TargetMode = "External"/>
	<Relationship Id="rId396" Type="http://schemas.openxmlformats.org/officeDocument/2006/relationships/hyperlink" Target="https://login.consultant.ru/link/?req=doc&amp;base=LAW&amp;n=495920&amp;dst=104310" TargetMode = "External"/>
	<Relationship Id="rId397" Type="http://schemas.openxmlformats.org/officeDocument/2006/relationships/hyperlink" Target="https://login.consultant.ru/link/?req=doc&amp;base=LAW&amp;n=494992&amp;dst=428" TargetMode = "External"/>
	<Relationship Id="rId398" Type="http://schemas.openxmlformats.org/officeDocument/2006/relationships/hyperlink" Target="https://login.consultant.ru/link/?req=doc&amp;base=LAW&amp;n=495920&amp;dst=100133" TargetMode = "External"/>
	<Relationship Id="rId399" Type="http://schemas.openxmlformats.org/officeDocument/2006/relationships/hyperlink" Target="https://login.consultant.ru/link/?req=doc&amp;base=LAW&amp;n=495920&amp;dst=100711" TargetMode = "External"/>
	<Relationship Id="rId400" Type="http://schemas.openxmlformats.org/officeDocument/2006/relationships/hyperlink" Target="https://login.consultant.ru/link/?req=doc&amp;base=LAW&amp;n=495920&amp;dst=103914" TargetMode = "External"/>
	<Relationship Id="rId401" Type="http://schemas.openxmlformats.org/officeDocument/2006/relationships/hyperlink" Target="https://login.consultant.ru/link/?req=doc&amp;base=LAW&amp;n=495920&amp;dst=104310" TargetMode = "External"/>
	<Relationship Id="rId402" Type="http://schemas.openxmlformats.org/officeDocument/2006/relationships/hyperlink" Target="https://login.consultant.ru/link/?req=doc&amp;base=LAW&amp;n=121087&amp;dst=100142" TargetMode = "External"/>
	<Relationship Id="rId403" Type="http://schemas.openxmlformats.org/officeDocument/2006/relationships/hyperlink" Target="https://login.consultant.ru/link/?req=doc&amp;base=LAW&amp;n=493204" TargetMode = "External"/>
	<Relationship Id="rId404" Type="http://schemas.openxmlformats.org/officeDocument/2006/relationships/hyperlink" Target="https://login.consultant.ru/link/?req=doc&amp;base=LAW&amp;n=466838&amp;dst=5769" TargetMode = "External"/>
	<Relationship Id="rId405" Type="http://schemas.openxmlformats.org/officeDocument/2006/relationships/hyperlink" Target="https://login.consultant.ru/link/?req=doc&amp;base=MOB&amp;n=389335" TargetMode = "External"/>
	<Relationship Id="rId406" Type="http://schemas.openxmlformats.org/officeDocument/2006/relationships/hyperlink" Target="https://login.consultant.ru/link/?req=doc&amp;base=LAW&amp;n=495920&amp;dst=100133" TargetMode = "External"/>
	<Relationship Id="rId407" Type="http://schemas.openxmlformats.org/officeDocument/2006/relationships/hyperlink" Target="https://login.consultant.ru/link/?req=doc&amp;base=LAW&amp;n=495920&amp;dst=100711" TargetMode = "External"/>
	<Relationship Id="rId408" Type="http://schemas.openxmlformats.org/officeDocument/2006/relationships/hyperlink" Target="https://login.consultant.ru/link/?req=doc&amp;base=MOB&amp;n=389335" TargetMode = "External"/>
	<Relationship Id="rId409" Type="http://schemas.openxmlformats.org/officeDocument/2006/relationships/hyperlink" Target="https://login.consultant.ru/link/?req=doc&amp;base=LAW&amp;n=495920&amp;dst=100133" TargetMode = "External"/>
	<Relationship Id="rId410" Type="http://schemas.openxmlformats.org/officeDocument/2006/relationships/hyperlink" Target="https://login.consultant.ru/link/?req=doc&amp;base=LAW&amp;n=495920&amp;dst=100711" TargetMode = "External"/>
	<Relationship Id="rId411" Type="http://schemas.openxmlformats.org/officeDocument/2006/relationships/hyperlink" Target="https://login.consultant.ru/link/?req=doc&amp;base=LAW&amp;n=466790&amp;dst=3704" TargetMode = "External"/>
	<Relationship Id="rId412" Type="http://schemas.openxmlformats.org/officeDocument/2006/relationships/hyperlink" Target="https://login.consultant.ru/link/?req=doc&amp;base=LAW&amp;n=466790&amp;dst=3722" TargetMode = "External"/>
	<Relationship Id="rId413" Type="http://schemas.openxmlformats.org/officeDocument/2006/relationships/hyperlink" Target="https://login.consultant.ru/link/?req=doc&amp;base=LAW&amp;n=466790&amp;dst=3704" TargetMode = "External"/>
	<Relationship Id="rId414" Type="http://schemas.openxmlformats.org/officeDocument/2006/relationships/hyperlink" Target="https://login.consultant.ru/link/?req=doc&amp;base=LAW&amp;n=466790&amp;dst=3722" TargetMode = "External"/>
	<Relationship Id="rId415" Type="http://schemas.openxmlformats.org/officeDocument/2006/relationships/hyperlink" Target="https://login.consultant.ru/link/?req=doc&amp;base=LAW&amp;n=482692&amp;dst=217" TargetMode = "External"/>
	<Relationship Id="rId416" Type="http://schemas.openxmlformats.org/officeDocument/2006/relationships/hyperlink" Target="https://login.consultant.ru/link/?req=doc&amp;base=LAW&amp;n=482692&amp;dst=217" TargetMode = "External"/>
	<Relationship Id="rId417" Type="http://schemas.openxmlformats.org/officeDocument/2006/relationships/hyperlink" Target="https://login.consultant.ru/link/?req=doc&amp;base=LAW&amp;n=479333&amp;dst=100104" TargetMode = "External"/>
	<Relationship Id="rId418" Type="http://schemas.openxmlformats.org/officeDocument/2006/relationships/hyperlink" Target="https://login.consultant.ru/link/?req=doc&amp;base=LAW&amp;n=466790&amp;dst=3704" TargetMode = "External"/>
	<Relationship Id="rId419" Type="http://schemas.openxmlformats.org/officeDocument/2006/relationships/hyperlink" Target="https://login.consultant.ru/link/?req=doc&amp;base=LAW&amp;n=466790&amp;dst=3722" TargetMode = "External"/>
	<Relationship Id="rId420" Type="http://schemas.openxmlformats.org/officeDocument/2006/relationships/hyperlink" Target="https://login.consultant.ru/link/?req=doc&amp;base=LAW&amp;n=41013&amp;dst=100115" TargetMode = "External"/>
	<Relationship Id="rId421" Type="http://schemas.openxmlformats.org/officeDocument/2006/relationships/hyperlink" Target="https://login.consultant.ru/link/?req=doc&amp;base=MOB&amp;n=419747&amp;dst=103837" TargetMode = "External"/>
	<Relationship Id="rId422" Type="http://schemas.openxmlformats.org/officeDocument/2006/relationships/hyperlink" Target="https://login.consultant.ru/link/?req=doc&amp;base=MOB&amp;n=394023&amp;dst=100459" TargetMode = "External"/>
	<Relationship Id="rId423" Type="http://schemas.openxmlformats.org/officeDocument/2006/relationships/hyperlink" Target="https://login.consultant.ru/link/?req=doc&amp;base=LAW&amp;n=466790&amp;dst=5807" TargetMode = "External"/>
	<Relationship Id="rId424" Type="http://schemas.openxmlformats.org/officeDocument/2006/relationships/hyperlink" Target="https://login.consultant.ru/link/?req=doc&amp;base=MOB&amp;n=366499" TargetMode = "External"/>
	<Relationship Id="rId425" Type="http://schemas.openxmlformats.org/officeDocument/2006/relationships/hyperlink" Target="https://login.consultant.ru/link/?req=doc&amp;base=LAW&amp;n=466676&amp;dst=100012" TargetMode = "External"/>
	<Relationship Id="rId426" Type="http://schemas.openxmlformats.org/officeDocument/2006/relationships/hyperlink" Target="https://login.consultant.ru/link/?req=doc&amp;base=MOB&amp;n=413891&amp;dst=100560" TargetMode = "External"/>
	<Relationship Id="rId427" Type="http://schemas.openxmlformats.org/officeDocument/2006/relationships/hyperlink" Target="https://login.consultant.ru/link/?req=doc&amp;base=LAW&amp;n=466154" TargetMode = "External"/>
	<Relationship Id="rId428" Type="http://schemas.openxmlformats.org/officeDocument/2006/relationships/hyperlink" Target="https://login.consultant.ru/link/?req=doc&amp;base=MOB&amp;n=400121&amp;dst=100013" TargetMode = "External"/>
	<Relationship Id="rId429" Type="http://schemas.openxmlformats.org/officeDocument/2006/relationships/hyperlink" Target="https://login.consultant.ru/link/?req=doc&amp;base=MOB&amp;n=413891&amp;dst=100561" TargetMode = "External"/>
	<Relationship Id="rId430" Type="http://schemas.openxmlformats.org/officeDocument/2006/relationships/hyperlink" Target="https://login.consultant.ru/link/?req=doc&amp;base=LAW&amp;n=466790&amp;dst=3704" TargetMode = "External"/>
	<Relationship Id="rId431" Type="http://schemas.openxmlformats.org/officeDocument/2006/relationships/hyperlink" Target="https://login.consultant.ru/link/?req=doc&amp;base=LAW&amp;n=466790&amp;dst=3722" TargetMode = "External"/>
	<Relationship Id="rId432" Type="http://schemas.openxmlformats.org/officeDocument/2006/relationships/hyperlink" Target="https://login.consultant.ru/link/?req=doc&amp;base=MOB&amp;n=413891&amp;dst=100562" TargetMode = "External"/>
	<Relationship Id="rId433" Type="http://schemas.openxmlformats.org/officeDocument/2006/relationships/hyperlink" Target="https://login.consultant.ru/link/?req=doc&amp;base=MOB&amp;n=413891&amp;dst=100564" TargetMode = "External"/>
	<Relationship Id="rId434" Type="http://schemas.openxmlformats.org/officeDocument/2006/relationships/hyperlink" Target="https://login.consultant.ru/link/?req=doc&amp;base=MOB&amp;n=413891&amp;dst=100569" TargetMode = "External"/>
	<Relationship Id="rId435" Type="http://schemas.openxmlformats.org/officeDocument/2006/relationships/hyperlink" Target="https://login.consultant.ru/link/?req=doc&amp;base=LAW&amp;n=466790&amp;dst=3704" TargetMode = "External"/>
	<Relationship Id="rId436" Type="http://schemas.openxmlformats.org/officeDocument/2006/relationships/hyperlink" Target="https://login.consultant.ru/link/?req=doc&amp;base=LAW&amp;n=466790&amp;dst=3722" TargetMode = "External"/>
	<Relationship Id="rId437" Type="http://schemas.openxmlformats.org/officeDocument/2006/relationships/hyperlink" Target="https://login.consultant.ru/link/?req=doc&amp;base=MOB&amp;n=413891&amp;dst=100570" TargetMode = "External"/>
	<Relationship Id="rId438" Type="http://schemas.openxmlformats.org/officeDocument/2006/relationships/hyperlink" Target="https://login.consultant.ru/link/?req=doc&amp;base=MOB&amp;n=421727&amp;dst=101994" TargetMode = "External"/>
	<Relationship Id="rId439" Type="http://schemas.openxmlformats.org/officeDocument/2006/relationships/hyperlink" Target="https://login.consultant.ru/link/?req=doc&amp;base=MOB&amp;n=421727&amp;dst=102037" TargetMode = "External"/>
	<Relationship Id="rId440" Type="http://schemas.openxmlformats.org/officeDocument/2006/relationships/hyperlink" Target="https://login.consultant.ru/link/?req=doc&amp;base=MOB&amp;n=421727&amp;dst=102044" TargetMode = "External"/>
	<Relationship Id="rId441" Type="http://schemas.openxmlformats.org/officeDocument/2006/relationships/hyperlink" Target="https://login.consultant.ru/link/?req=doc&amp;base=LAW&amp;n=466790&amp;dst=103395" TargetMode = "External"/>
	<Relationship Id="rId442" Type="http://schemas.openxmlformats.org/officeDocument/2006/relationships/hyperlink" Target="https://login.consultant.ru/link/?req=doc&amp;base=LAW&amp;n=490805" TargetMode = "External"/>
	<Relationship Id="rId443" Type="http://schemas.openxmlformats.org/officeDocument/2006/relationships/hyperlink" Target="https://login.consultant.ru/link/?req=doc&amp;base=MOB&amp;n=282976" TargetMode = "External"/>
	<Relationship Id="rId444" Type="http://schemas.openxmlformats.org/officeDocument/2006/relationships/hyperlink" Target="https://login.consultant.ru/link/?req=doc&amp;base=LAW&amp;n=121087&amp;dst=100142" TargetMode = "External"/>
	<Relationship Id="rId445" Type="http://schemas.openxmlformats.org/officeDocument/2006/relationships/hyperlink" Target="https://login.consultant.ru/link/?req=doc&amp;base=LAW&amp;n=493204" TargetMode = "External"/>
	<Relationship Id="rId446" Type="http://schemas.openxmlformats.org/officeDocument/2006/relationships/hyperlink" Target="https://login.consultant.ru/link/?req=doc&amp;base=LAW&amp;n=466838&amp;dst=5769" TargetMode = "External"/>
	<Relationship Id="rId447" Type="http://schemas.openxmlformats.org/officeDocument/2006/relationships/image" Target="media/image3.wmf"/>
	<Relationship Id="rId448" Type="http://schemas.openxmlformats.org/officeDocument/2006/relationships/hyperlink" Target="https://login.consultant.ru/link/?req=doc&amp;base=LAW&amp;n=466790&amp;dst=3704" TargetMode = "External"/>
	<Relationship Id="rId449" Type="http://schemas.openxmlformats.org/officeDocument/2006/relationships/hyperlink" Target="https://login.consultant.ru/link/?req=doc&amp;base=LAW&amp;n=466790&amp;dst=3722" TargetMode = "External"/>
	<Relationship Id="rId450" Type="http://schemas.openxmlformats.org/officeDocument/2006/relationships/hyperlink" Target="https://login.consultant.ru/link/?req=doc&amp;base=LAW&amp;n=466790&amp;dst=3704" TargetMode = "External"/>
	<Relationship Id="rId451" Type="http://schemas.openxmlformats.org/officeDocument/2006/relationships/hyperlink" Target="https://login.consultant.ru/link/?req=doc&amp;base=LAW&amp;n=466790&amp;dst=3722" TargetMode = "External"/>
	<Relationship Id="rId452" Type="http://schemas.openxmlformats.org/officeDocument/2006/relationships/hyperlink" Target="https://login.consultant.ru/link/?req=doc&amp;base=LAW&amp;n=496275" TargetMode = "External"/>
	<Relationship Id="rId453" Type="http://schemas.openxmlformats.org/officeDocument/2006/relationships/hyperlink" Target="https://login.consultant.ru/link/?req=doc&amp;base=LAW&amp;n=466790&amp;dst=3704" TargetMode = "External"/>
	<Relationship Id="rId454" Type="http://schemas.openxmlformats.org/officeDocument/2006/relationships/hyperlink" Target="https://login.consultant.ru/link/?req=doc&amp;base=LAW&amp;n=466790&amp;dst=3722" TargetMode = "External"/>
	<Relationship Id="rId455" Type="http://schemas.openxmlformats.org/officeDocument/2006/relationships/hyperlink" Target="https://login.consultant.ru/link/?req=doc&amp;base=OTN&amp;n=25966" TargetMode = "External"/>
	<Relationship Id="rId456" Type="http://schemas.openxmlformats.org/officeDocument/2006/relationships/image" Target="media/image4.wmf"/>
	<Relationship Id="rId457" Type="http://schemas.openxmlformats.org/officeDocument/2006/relationships/hyperlink" Target="https://login.consultant.ru/link/?req=doc&amp;base=MOB&amp;n=419747&amp;dst=104295" TargetMode = "External"/>
	<Relationship Id="rId458" Type="http://schemas.openxmlformats.org/officeDocument/2006/relationships/hyperlink" Target="https://login.consultant.ru/link/?req=doc&amp;base=LAW&amp;n=466790&amp;dst=103431" TargetMode = "External"/>
	<Relationship Id="rId459" Type="http://schemas.openxmlformats.org/officeDocument/2006/relationships/hyperlink" Target="https://login.consultant.ru/link/?req=doc&amp;base=LAW&amp;n=490805" TargetMode = "External"/>
	<Relationship Id="rId460" Type="http://schemas.openxmlformats.org/officeDocument/2006/relationships/hyperlink" Target="https://login.consultant.ru/link/?req=doc&amp;base=MOB&amp;n=389335&amp;dst=100206" TargetMode = "External"/>
	<Relationship Id="rId461" Type="http://schemas.openxmlformats.org/officeDocument/2006/relationships/hyperlink" Target="https://login.consultant.ru/link/?req=doc&amp;base=MOB&amp;n=389335&amp;dst=100263" TargetMode = "External"/>
	<Relationship Id="rId462" Type="http://schemas.openxmlformats.org/officeDocument/2006/relationships/hyperlink" Target="https://login.consultant.ru/link/?req=doc&amp;base=LAW&amp;n=494982" TargetMode = "External"/>
	<Relationship Id="rId463" Type="http://schemas.openxmlformats.org/officeDocument/2006/relationships/hyperlink" Target="https://login.consultant.ru/link/?req=doc&amp;base=LAW&amp;n=466838&amp;dst=5769" TargetMode = "External"/>
	<Relationship Id="rId464" Type="http://schemas.openxmlformats.org/officeDocument/2006/relationships/hyperlink" Target="https://login.consultant.ru/link/?req=doc&amp;base=LAW&amp;n=121087&amp;dst=100142" TargetMode = "External"/>
	<Relationship Id="rId465" Type="http://schemas.openxmlformats.org/officeDocument/2006/relationships/hyperlink" Target="https://login.consultant.ru/link/?req=doc&amp;base=LAW&amp;n=493204" TargetMode = "External"/>
	<Relationship Id="rId466" Type="http://schemas.openxmlformats.org/officeDocument/2006/relationships/image" Target="media/image5.wmf"/>
	<Relationship Id="rId467" Type="http://schemas.openxmlformats.org/officeDocument/2006/relationships/image" Target="media/image6.wmf"/>
	<Relationship Id="rId468" Type="http://schemas.openxmlformats.org/officeDocument/2006/relationships/hyperlink" Target="https://login.consultant.ru/link/?req=doc&amp;base=MOB&amp;n=421727&amp;dst=102449" TargetMode = "External"/>
	<Relationship Id="rId469" Type="http://schemas.openxmlformats.org/officeDocument/2006/relationships/hyperlink" Target="https://login.consultant.ru/link/?req=doc&amp;base=LAW&amp;n=466790&amp;dst=3704" TargetMode = "External"/>
	<Relationship Id="rId470" Type="http://schemas.openxmlformats.org/officeDocument/2006/relationships/hyperlink" Target="https://login.consultant.ru/link/?req=doc&amp;base=LAW&amp;n=466790&amp;dst=3722" TargetMode = "External"/>
	<Relationship Id="rId471" Type="http://schemas.openxmlformats.org/officeDocument/2006/relationships/hyperlink" Target="https://login.consultant.ru/link/?req=doc&amp;base=LAW&amp;n=466790&amp;dst=3704" TargetMode = "External"/>
	<Relationship Id="rId472" Type="http://schemas.openxmlformats.org/officeDocument/2006/relationships/hyperlink" Target="https://login.consultant.ru/link/?req=doc&amp;base=LAW&amp;n=466790&amp;dst=3722" TargetMode = "External"/>
	<Relationship Id="rId473" Type="http://schemas.openxmlformats.org/officeDocument/2006/relationships/hyperlink" Target="https://login.consultant.ru/link/?req=doc&amp;base=LAW&amp;n=466790&amp;dst=3704" TargetMode = "External"/>
	<Relationship Id="rId474" Type="http://schemas.openxmlformats.org/officeDocument/2006/relationships/hyperlink" Target="https://login.consultant.ru/link/?req=doc&amp;base=LAW&amp;n=466790&amp;dst=3722" TargetMode = "External"/>
	<Relationship Id="rId475" Type="http://schemas.openxmlformats.org/officeDocument/2006/relationships/hyperlink" Target="https://login.consultant.ru/link/?req=doc&amp;base=LAW&amp;n=490805&amp;dst=100141" TargetMode = "External"/>
	<Relationship Id="rId476" Type="http://schemas.openxmlformats.org/officeDocument/2006/relationships/hyperlink" Target="https://login.consultant.ru/link/?req=doc&amp;base=LAW&amp;n=490805&amp;dst=100200" TargetMode = "External"/>
	<Relationship Id="rId477" Type="http://schemas.openxmlformats.org/officeDocument/2006/relationships/hyperlink" Target="https://login.consultant.ru/link/?req=doc&amp;base=LAW&amp;n=490805&amp;dst=100141" TargetMode = "External"/>
	<Relationship Id="rId478" Type="http://schemas.openxmlformats.org/officeDocument/2006/relationships/hyperlink" Target="https://login.consultant.ru/link/?req=doc&amp;base=LAW&amp;n=490805&amp;dst=100200" TargetMode = "External"/>
	<Relationship Id="rId479" Type="http://schemas.openxmlformats.org/officeDocument/2006/relationships/hyperlink" Target="https://login.consultant.ru/link/?req=doc&amp;base=MOB&amp;n=419747&amp;dst=104413" TargetMode = "External"/>
	<Relationship Id="rId480" Type="http://schemas.openxmlformats.org/officeDocument/2006/relationships/hyperlink" Target="https://login.consultant.ru/link/?req=doc&amp;base=LAW&amp;n=466790&amp;dst=103431" TargetMode = "External"/>
	<Relationship Id="rId481" Type="http://schemas.openxmlformats.org/officeDocument/2006/relationships/hyperlink" Target="https://login.consultant.ru/link/?req=doc&amp;base=LAW&amp;n=490805" TargetMode = "External"/>
	<Relationship Id="rId482" Type="http://schemas.openxmlformats.org/officeDocument/2006/relationships/hyperlink" Target="https://login.consultant.ru/link/?req=doc&amp;base=LAW&amp;n=466838&amp;dst=5769" TargetMode = "External"/>
	<Relationship Id="rId483" Type="http://schemas.openxmlformats.org/officeDocument/2006/relationships/hyperlink" Target="https://login.consultant.ru/link/?req=doc&amp;base=LAW&amp;n=121087&amp;dst=100142" TargetMode = "External"/>
	<Relationship Id="rId484" Type="http://schemas.openxmlformats.org/officeDocument/2006/relationships/hyperlink" Target="https://login.consultant.ru/link/?req=doc&amp;base=LAW&amp;n=493204" TargetMode = "External"/>
	<Relationship Id="rId485" Type="http://schemas.openxmlformats.org/officeDocument/2006/relationships/hyperlink" Target="https://login.consultant.ru/link/?req=doc&amp;base=MOB&amp;n=421727&amp;dst=102450" TargetMode = "External"/>
	<Relationship Id="rId486" Type="http://schemas.openxmlformats.org/officeDocument/2006/relationships/hyperlink" Target="https://login.consultant.ru/link/?req=doc&amp;base=LAW&amp;n=466790&amp;dst=3704" TargetMode = "External"/>
	<Relationship Id="rId487" Type="http://schemas.openxmlformats.org/officeDocument/2006/relationships/hyperlink" Target="https://login.consultant.ru/link/?req=doc&amp;base=LAW&amp;n=466790&amp;dst=3722" TargetMode = "External"/>
	<Relationship Id="rId488" Type="http://schemas.openxmlformats.org/officeDocument/2006/relationships/hyperlink" Target="https://login.consultant.ru/link/?req=doc&amp;base=LAW&amp;n=466790&amp;dst=3704" TargetMode = "External"/>
	<Relationship Id="rId489" Type="http://schemas.openxmlformats.org/officeDocument/2006/relationships/hyperlink" Target="https://login.consultant.ru/link/?req=doc&amp;base=LAW&amp;n=466790&amp;dst=3722" TargetMode = "External"/>
	<Relationship Id="rId490" Type="http://schemas.openxmlformats.org/officeDocument/2006/relationships/hyperlink" Target="https://login.consultant.ru/link/?req=doc&amp;base=LAW&amp;n=466790&amp;dst=3704" TargetMode = "External"/>
	<Relationship Id="rId491" Type="http://schemas.openxmlformats.org/officeDocument/2006/relationships/hyperlink" Target="https://login.consultant.ru/link/?req=doc&amp;base=LAW&amp;n=466790&amp;dst=3722" TargetMode = "External"/>
	<Relationship Id="rId492" Type="http://schemas.openxmlformats.org/officeDocument/2006/relationships/hyperlink" Target="https://login.consultant.ru/link/?req=doc&amp;base=MOB&amp;n=419747&amp;dst=104525" TargetMode = "External"/>
	<Relationship Id="rId493" Type="http://schemas.openxmlformats.org/officeDocument/2006/relationships/hyperlink" Target="https://login.consultant.ru/link/?req=doc&amp;base=LAW&amp;n=466790&amp;dst=103431" TargetMode = "External"/>
	<Relationship Id="rId494" Type="http://schemas.openxmlformats.org/officeDocument/2006/relationships/hyperlink" Target="https://login.consultant.ru/link/?req=doc&amp;base=LAW&amp;n=490805" TargetMode = "External"/>
	<Relationship Id="rId495" Type="http://schemas.openxmlformats.org/officeDocument/2006/relationships/hyperlink" Target="https://login.consultant.ru/link/?req=doc&amp;base=LAW&amp;n=466838&amp;dst=5769" TargetMode = "External"/>
	<Relationship Id="rId496" Type="http://schemas.openxmlformats.org/officeDocument/2006/relationships/hyperlink" Target="https://login.consultant.ru/link/?req=doc&amp;base=LAW&amp;n=121087&amp;dst=100142" TargetMode = "External"/>
	<Relationship Id="rId497" Type="http://schemas.openxmlformats.org/officeDocument/2006/relationships/hyperlink" Target="https://login.consultant.ru/link/?req=doc&amp;base=LAW&amp;n=493204" TargetMode = "External"/>
	<Relationship Id="rId498" Type="http://schemas.openxmlformats.org/officeDocument/2006/relationships/hyperlink" Target="https://login.consultant.ru/link/?req=doc&amp;base=MOB&amp;n=421727&amp;dst=102451" TargetMode = "External"/>
	<Relationship Id="rId499" Type="http://schemas.openxmlformats.org/officeDocument/2006/relationships/hyperlink" Target="https://login.consultant.ru/link/?req=doc&amp;base=LAW&amp;n=466790&amp;dst=3704" TargetMode = "External"/>
	<Relationship Id="rId500" Type="http://schemas.openxmlformats.org/officeDocument/2006/relationships/hyperlink" Target="https://login.consultant.ru/link/?req=doc&amp;base=LAW&amp;n=466790&amp;dst=3722" TargetMode = "External"/>
	<Relationship Id="rId501" Type="http://schemas.openxmlformats.org/officeDocument/2006/relationships/hyperlink" Target="https://login.consultant.ru/link/?req=doc&amp;base=LAW&amp;n=466790&amp;dst=3704" TargetMode = "External"/>
	<Relationship Id="rId502" Type="http://schemas.openxmlformats.org/officeDocument/2006/relationships/hyperlink" Target="https://login.consultant.ru/link/?req=doc&amp;base=LAW&amp;n=466790&amp;dst=3722" TargetMode = "External"/>
	<Relationship Id="rId503" Type="http://schemas.openxmlformats.org/officeDocument/2006/relationships/hyperlink" Target="https://login.consultant.ru/link/?req=doc&amp;base=MOB&amp;n=390030" TargetMode = "External"/>
	<Relationship Id="rId504" Type="http://schemas.openxmlformats.org/officeDocument/2006/relationships/hyperlink" Target="https://login.consultant.ru/link/?req=doc&amp;base=LAW&amp;n=466790&amp;dst=3704" TargetMode = "External"/>
	<Relationship Id="rId505" Type="http://schemas.openxmlformats.org/officeDocument/2006/relationships/hyperlink" Target="https://login.consultant.ru/link/?req=doc&amp;base=LAW&amp;n=466790&amp;dst=3722" TargetMode = "External"/>
	<Relationship Id="rId506" Type="http://schemas.openxmlformats.org/officeDocument/2006/relationships/hyperlink" Target="https://login.consultant.ru/link/?req=doc&amp;base=MOB&amp;n=419747&amp;dst=104674" TargetMode = "External"/>
	<Relationship Id="rId507" Type="http://schemas.openxmlformats.org/officeDocument/2006/relationships/hyperlink" Target="https://login.consultant.ru/link/?req=doc&amp;base=MOB&amp;n=419747&amp;dst=104675" TargetMode = "External"/>
	<Relationship Id="rId508" Type="http://schemas.openxmlformats.org/officeDocument/2006/relationships/hyperlink" Target="https://login.consultant.ru/link/?req=doc&amp;base=MOB&amp;n=419747&amp;dst=104676" TargetMode = "External"/>
	<Relationship Id="rId509" Type="http://schemas.openxmlformats.org/officeDocument/2006/relationships/hyperlink" Target="https://login.consultant.ru/link/?req=doc&amp;base=MOB&amp;n=419747&amp;dst=104677" TargetMode = "External"/>
	<Relationship Id="rId510" Type="http://schemas.openxmlformats.org/officeDocument/2006/relationships/hyperlink" Target="https://login.consultant.ru/link/?req=doc&amp;base=MOB&amp;n=419747&amp;dst=104678" TargetMode = "External"/>
	<Relationship Id="rId511" Type="http://schemas.openxmlformats.org/officeDocument/2006/relationships/hyperlink" Target="https://login.consultant.ru/link/?req=doc&amp;base=LAW&amp;n=466790&amp;dst=103431" TargetMode = "External"/>
	<Relationship Id="rId512" Type="http://schemas.openxmlformats.org/officeDocument/2006/relationships/hyperlink" Target="https://login.consultant.ru/link/?req=doc&amp;base=LAW&amp;n=490805" TargetMode = "External"/>
	<Relationship Id="rId513" Type="http://schemas.openxmlformats.org/officeDocument/2006/relationships/hyperlink" Target="https://login.consultant.ru/link/?req=doc&amp;base=LAW&amp;n=466838&amp;dst=5769" TargetMode = "External"/>
	<Relationship Id="rId514" Type="http://schemas.openxmlformats.org/officeDocument/2006/relationships/hyperlink" Target="https://login.consultant.ru/link/?req=doc&amp;base=LAW&amp;n=121087&amp;dst=100142" TargetMode = "External"/>
	<Relationship Id="rId515" Type="http://schemas.openxmlformats.org/officeDocument/2006/relationships/hyperlink" Target="https://login.consultant.ru/link/?req=doc&amp;base=LAW&amp;n=493204" TargetMode = "External"/>
	<Relationship Id="rId516" Type="http://schemas.openxmlformats.org/officeDocument/2006/relationships/image" Target="media/image7.wmf"/>
	<Relationship Id="rId517" Type="http://schemas.openxmlformats.org/officeDocument/2006/relationships/hyperlink" Target="https://login.consultant.ru/link/?req=doc&amp;base=MOB&amp;n=421727&amp;dst=102452" TargetMode = "External"/>
	<Relationship Id="rId518" Type="http://schemas.openxmlformats.org/officeDocument/2006/relationships/hyperlink" Target="https://login.consultant.ru/link/?req=doc&amp;base=LAW&amp;n=466790&amp;dst=3704" TargetMode = "External"/>
	<Relationship Id="rId519" Type="http://schemas.openxmlformats.org/officeDocument/2006/relationships/hyperlink" Target="https://login.consultant.ru/link/?req=doc&amp;base=LAW&amp;n=466790&amp;dst=3722" TargetMode = "External"/>
	<Relationship Id="rId520" Type="http://schemas.openxmlformats.org/officeDocument/2006/relationships/hyperlink" Target="https://login.consultant.ru/link/?req=doc&amp;base=LAW&amp;n=466790&amp;dst=3704" TargetMode = "External"/>
	<Relationship Id="rId521" Type="http://schemas.openxmlformats.org/officeDocument/2006/relationships/hyperlink" Target="https://login.consultant.ru/link/?req=doc&amp;base=LAW&amp;n=466790&amp;dst=3722" TargetMode = "External"/>
	<Relationship Id="rId522" Type="http://schemas.openxmlformats.org/officeDocument/2006/relationships/hyperlink" Target="https://login.consultant.ru/link/?req=doc&amp;base=LAW&amp;n=466790&amp;dst=3704" TargetMode = "External"/>
	<Relationship Id="rId523" Type="http://schemas.openxmlformats.org/officeDocument/2006/relationships/hyperlink" Target="https://login.consultant.ru/link/?req=doc&amp;base=LAW&amp;n=466790&amp;dst=3722" TargetMode = "External"/>
	<Relationship Id="rId524" Type="http://schemas.openxmlformats.org/officeDocument/2006/relationships/image" Target="media/image8.wmf"/>
	<Relationship Id="rId525" Type="http://schemas.openxmlformats.org/officeDocument/2006/relationships/hyperlink" Target="https://login.consultant.ru/link/?req=doc&amp;base=MOB&amp;n=419747&amp;dst=104785" TargetMode = "External"/>
	<Relationship Id="rId526" Type="http://schemas.openxmlformats.org/officeDocument/2006/relationships/hyperlink" Target="https://login.consultant.ru/link/?req=doc&amp;base=LAW&amp;n=466790&amp;dst=103431" TargetMode = "External"/>
	<Relationship Id="rId527" Type="http://schemas.openxmlformats.org/officeDocument/2006/relationships/hyperlink" Target="https://login.consultant.ru/link/?req=doc&amp;base=LAW&amp;n=490805" TargetMode = "External"/>
	<Relationship Id="rId528" Type="http://schemas.openxmlformats.org/officeDocument/2006/relationships/hyperlink" Target="https://login.consultant.ru/link/?req=doc&amp;base=LAW&amp;n=493757&amp;dst=100016" TargetMode = "External"/>
	<Relationship Id="rId529" Type="http://schemas.openxmlformats.org/officeDocument/2006/relationships/hyperlink" Target="https://login.consultant.ru/link/?req=doc&amp;base=LAW&amp;n=493757" TargetMode = "External"/>
	<Relationship Id="rId530" Type="http://schemas.openxmlformats.org/officeDocument/2006/relationships/hyperlink" Target="https://login.consultant.ru/link/?req=doc&amp;base=LAW&amp;n=466838&amp;dst=5769" TargetMode = "External"/>
	<Relationship Id="rId531" Type="http://schemas.openxmlformats.org/officeDocument/2006/relationships/hyperlink" Target="https://login.consultant.ru/link/?req=doc&amp;base=LAW&amp;n=121087&amp;dst=100142" TargetMode = "External"/>
	<Relationship Id="rId532" Type="http://schemas.openxmlformats.org/officeDocument/2006/relationships/hyperlink" Target="https://login.consultant.ru/link/?req=doc&amp;base=LAW&amp;n=493204" TargetMode = "External"/>
	<Relationship Id="rId533" Type="http://schemas.openxmlformats.org/officeDocument/2006/relationships/hyperlink" Target="https://login.consultant.ru/link/?req=doc&amp;base=LAW&amp;n=466790&amp;dst=3704" TargetMode = "External"/>
	<Relationship Id="rId534" Type="http://schemas.openxmlformats.org/officeDocument/2006/relationships/hyperlink" Target="https://login.consultant.ru/link/?req=doc&amp;base=LAW&amp;n=466790&amp;dst=3722" TargetMode = "External"/>
	<Relationship Id="rId535" Type="http://schemas.openxmlformats.org/officeDocument/2006/relationships/hyperlink" Target="https://login.consultant.ru/link/?req=doc&amp;base=LAW&amp;n=466790&amp;dst=3704" TargetMode = "External"/>
	<Relationship Id="rId536" Type="http://schemas.openxmlformats.org/officeDocument/2006/relationships/hyperlink" Target="https://login.consultant.ru/link/?req=doc&amp;base=LAW&amp;n=466790&amp;dst=3722" TargetMode = "External"/>
	<Relationship Id="rId537" Type="http://schemas.openxmlformats.org/officeDocument/2006/relationships/hyperlink" Target="https://login.consultant.ru/link/?req=doc&amp;base=LAW&amp;n=466790&amp;dst=3704" TargetMode = "External"/>
	<Relationship Id="rId538" Type="http://schemas.openxmlformats.org/officeDocument/2006/relationships/hyperlink" Target="https://login.consultant.ru/link/?req=doc&amp;base=LAW&amp;n=466790&amp;dst=3722" TargetMode = "External"/>
	<Relationship Id="rId539" Type="http://schemas.openxmlformats.org/officeDocument/2006/relationships/hyperlink" Target="https://login.consultant.ru/link/?req=doc&amp;base=MOB&amp;n=421727&amp;dst=102453" TargetMode = "External"/>
	<Relationship Id="rId540" Type="http://schemas.openxmlformats.org/officeDocument/2006/relationships/hyperlink" Target="https://login.consultant.ru/link/?req=doc&amp;base=MOB&amp;n=400121&amp;dst=100048" TargetMode = "External"/>
	<Relationship Id="rId541" Type="http://schemas.openxmlformats.org/officeDocument/2006/relationships/hyperlink" Target="https://login.consultant.ru/link/?req=doc&amp;base=LAW&amp;n=466790&amp;dst=7484" TargetMode = "External"/>
	<Relationship Id="rId542" Type="http://schemas.openxmlformats.org/officeDocument/2006/relationships/hyperlink" Target="https://login.consultant.ru/link/?req=doc&amp;base=LAW&amp;n=466790&amp;dst=7171" TargetMode = "External"/>
	<Relationship Id="rId543" Type="http://schemas.openxmlformats.org/officeDocument/2006/relationships/hyperlink" Target="https://login.consultant.ru/link/?req=doc&amp;base=LAW&amp;n=466790&amp;dst=5807" TargetMode = "External"/>
	<Relationship Id="rId544" Type="http://schemas.openxmlformats.org/officeDocument/2006/relationships/hyperlink" Target="https://login.consultant.ru/link/?req=doc&amp;base=LAW&amp;n=466790&amp;dst=103575" TargetMode = "External"/>
	<Relationship Id="rId545" Type="http://schemas.openxmlformats.org/officeDocument/2006/relationships/hyperlink" Target="https://login.consultant.ru/link/?req=doc&amp;base=LAW&amp;n=466790&amp;dst=7461" TargetMode = "External"/>
	<Relationship Id="rId546" Type="http://schemas.openxmlformats.org/officeDocument/2006/relationships/hyperlink" Target="https://login.consultant.ru/link/?req=doc&amp;base=MOB&amp;n=419747&amp;dst=104907" TargetMode = "External"/>
	<Relationship Id="rId547" Type="http://schemas.openxmlformats.org/officeDocument/2006/relationships/hyperlink" Target="https://login.consultant.ru/link/?req=doc&amp;base=MOB&amp;n=381830&amp;dst=100482" TargetMode = "External"/>
	<Relationship Id="rId548" Type="http://schemas.openxmlformats.org/officeDocument/2006/relationships/hyperlink" Target="https://login.consultant.ru/link/?req=doc&amp;base=MOB&amp;n=419747&amp;dst=104909" TargetMode = "External"/>
	<Relationship Id="rId549" Type="http://schemas.openxmlformats.org/officeDocument/2006/relationships/hyperlink" Target="https://login.consultant.ru/link/?req=doc&amp;base=MOB&amp;n=421727&amp;dst=102735" TargetMode = "External"/>
	<Relationship Id="rId550" Type="http://schemas.openxmlformats.org/officeDocument/2006/relationships/hyperlink" Target="https://login.consultant.ru/link/?req=doc&amp;base=MOB&amp;n=421727&amp;dst=102735" TargetMode = "External"/>
	<Relationship Id="rId551" Type="http://schemas.openxmlformats.org/officeDocument/2006/relationships/hyperlink" Target="https://login.consultant.ru/link/?req=doc&amp;base=MOB&amp;n=421727&amp;dst=102735" TargetMode = "External"/>
	<Relationship Id="rId552" Type="http://schemas.openxmlformats.org/officeDocument/2006/relationships/hyperlink" Target="https://login.consultant.ru/link/?req=doc&amp;base=MOB&amp;n=419747&amp;dst=105276" TargetMode = "External"/>
	<Relationship Id="rId553" Type="http://schemas.openxmlformats.org/officeDocument/2006/relationships/hyperlink" Target="https://login.consultant.ru/link/?req=doc&amp;base=MOB&amp;n=421727&amp;dst=103230" TargetMode = "External"/>
	<Relationship Id="rId554" Type="http://schemas.openxmlformats.org/officeDocument/2006/relationships/hyperlink" Target="https://login.consultant.ru/link/?req=doc&amp;base=MOB&amp;n=421727&amp;dst=103230" TargetMode = "External"/>
	<Relationship Id="rId555" Type="http://schemas.openxmlformats.org/officeDocument/2006/relationships/hyperlink" Target="https://login.consultant.ru/link/?req=doc&amp;base=MOB&amp;n=421727&amp;dst=103230" TargetMode = "External"/>
	<Relationship Id="rId556" Type="http://schemas.openxmlformats.org/officeDocument/2006/relationships/hyperlink" Target="https://login.consultant.ru/link/?req=doc&amp;base=MOB&amp;n=419747&amp;dst=106762" TargetMode = "External"/>
	<Relationship Id="rId557" Type="http://schemas.openxmlformats.org/officeDocument/2006/relationships/hyperlink" Target="https://login.consultant.ru/link/?req=doc&amp;base=MOB&amp;n=421727&amp;dst=104798" TargetMode = "External"/>
	<Relationship Id="rId558" Type="http://schemas.openxmlformats.org/officeDocument/2006/relationships/hyperlink" Target="https://login.consultant.ru/link/?req=doc&amp;base=MOB&amp;n=421727&amp;dst=104798" TargetMode = "External"/>
	<Relationship Id="rId559" Type="http://schemas.openxmlformats.org/officeDocument/2006/relationships/hyperlink" Target="https://login.consultant.ru/link/?req=doc&amp;base=MOB&amp;n=421727&amp;dst=104798" TargetMode = "External"/>
	<Relationship Id="rId560" Type="http://schemas.openxmlformats.org/officeDocument/2006/relationships/hyperlink" Target="https://login.consultant.ru/link/?req=doc&amp;base=MOB&amp;n=419747&amp;dst=107829" TargetMode = "External"/>
	<Relationship Id="rId561" Type="http://schemas.openxmlformats.org/officeDocument/2006/relationships/hyperlink" Target="https://login.consultant.ru/link/?req=doc&amp;base=MOB&amp;n=419747&amp;dst=108079" TargetMode = "External"/>
	<Relationship Id="rId562" Type="http://schemas.openxmlformats.org/officeDocument/2006/relationships/hyperlink" Target="https://login.consultant.ru/link/?req=doc&amp;base=MOB&amp;n=421727&amp;dst=106142" TargetMode = "External"/>
	<Relationship Id="rId563" Type="http://schemas.openxmlformats.org/officeDocument/2006/relationships/hyperlink" Target="https://login.consultant.ru/link/?req=doc&amp;base=MOB&amp;n=421727&amp;dst=106162" TargetMode = "External"/>
	<Relationship Id="rId564" Type="http://schemas.openxmlformats.org/officeDocument/2006/relationships/hyperlink" Target="https://login.consultant.ru/link/?req=doc&amp;base=MOB&amp;n=421727&amp;dst=106206" TargetMode = "External"/>
	<Relationship Id="rId565" Type="http://schemas.openxmlformats.org/officeDocument/2006/relationships/hyperlink" Target="https://login.consultant.ru/link/?req=doc&amp;base=MOB&amp;n=419747&amp;dst=108524" TargetMode = "External"/>
	<Relationship Id="rId566" Type="http://schemas.openxmlformats.org/officeDocument/2006/relationships/hyperlink" Target="https://login.consultant.ru/link/?req=doc&amp;base=MOB&amp;n=421727&amp;dst=106227" TargetMode = "External"/>
	<Relationship Id="rId567" Type="http://schemas.openxmlformats.org/officeDocument/2006/relationships/hyperlink" Target="https://login.consultant.ru/link/?req=doc&amp;base=MOB&amp;n=421727&amp;dst=106247" TargetMode = "External"/>
	<Relationship Id="rId568" Type="http://schemas.openxmlformats.org/officeDocument/2006/relationships/hyperlink" Target="https://login.consultant.ru/link/?req=doc&amp;base=MOB&amp;n=421727&amp;dst=106315" TargetMode = "External"/>
	<Relationship Id="rId569" Type="http://schemas.openxmlformats.org/officeDocument/2006/relationships/hyperlink" Target="https://login.consultant.ru/link/?req=doc&amp;base=MOB&amp;n=421727&amp;dst=106383" TargetMode = "External"/>
	<Relationship Id="rId570" Type="http://schemas.openxmlformats.org/officeDocument/2006/relationships/hyperlink" Target="https://login.consultant.ru/link/?req=doc&amp;base=MOB&amp;n=421727&amp;dst=106451" TargetMode = "External"/>
	<Relationship Id="rId571" Type="http://schemas.openxmlformats.org/officeDocument/2006/relationships/hyperlink" Target="https://login.consultant.ru/link/?req=doc&amp;base=MOB&amp;n=421727&amp;dst=106519" TargetMode = "External"/>
	<Relationship Id="rId572" Type="http://schemas.openxmlformats.org/officeDocument/2006/relationships/hyperlink" Target="https://login.consultant.ru/link/?req=doc&amp;base=MOB&amp;n=421727&amp;dst=106562" TargetMode = "External"/>
	<Relationship Id="rId573" Type="http://schemas.openxmlformats.org/officeDocument/2006/relationships/hyperlink" Target="https://login.consultant.ru/link/?req=doc&amp;base=MOB&amp;n=421727&amp;dst=106631" TargetMode = "External"/>
	<Relationship Id="rId574" Type="http://schemas.openxmlformats.org/officeDocument/2006/relationships/hyperlink" Target="https://login.consultant.ru/link/?req=doc&amp;base=MOB&amp;n=421727&amp;dst=106679" TargetMode = "External"/>
	<Relationship Id="rId575" Type="http://schemas.openxmlformats.org/officeDocument/2006/relationships/hyperlink" Target="https://login.consultant.ru/link/?req=doc&amp;base=MOB&amp;n=421727&amp;dst=106725" TargetMode = "External"/>
	<Relationship Id="rId576" Type="http://schemas.openxmlformats.org/officeDocument/2006/relationships/hyperlink" Target="https://login.consultant.ru/link/?req=doc&amp;base=MOB&amp;n=421727&amp;dst=106778" TargetMode = "External"/>
	<Relationship Id="rId577" Type="http://schemas.openxmlformats.org/officeDocument/2006/relationships/hyperlink" Target="https://login.consultant.ru/link/?req=doc&amp;base=MOB&amp;n=421727&amp;dst=106227" TargetMode = "External"/>
	<Relationship Id="rId578" Type="http://schemas.openxmlformats.org/officeDocument/2006/relationships/hyperlink" Target="https://login.consultant.ru/link/?req=doc&amp;base=MOB&amp;n=421727&amp;dst=106805" TargetMode = "External"/>
	<Relationship Id="rId579" Type="http://schemas.openxmlformats.org/officeDocument/2006/relationships/hyperlink" Target="https://login.consultant.ru/link/?req=doc&amp;base=LAW&amp;n=466790&amp;dst=103395" TargetMode = "External"/>
	<Relationship Id="rId580" Type="http://schemas.openxmlformats.org/officeDocument/2006/relationships/hyperlink" Target="https://login.consultant.ru/link/?req=doc&amp;base=LAW&amp;n=490805" TargetMode = "External"/>
	<Relationship Id="rId581" Type="http://schemas.openxmlformats.org/officeDocument/2006/relationships/hyperlink" Target="https://login.consultant.ru/link/?req=doc&amp;base=LAW&amp;n=483354" TargetMode = "External"/>
	<Relationship Id="rId582" Type="http://schemas.openxmlformats.org/officeDocument/2006/relationships/hyperlink" Target="https://login.consultant.ru/link/?req=doc&amp;base=LAW&amp;n=481359" TargetMode = "External"/>
	<Relationship Id="rId583" Type="http://schemas.openxmlformats.org/officeDocument/2006/relationships/hyperlink" Target="https://login.consultant.ru/link/?req=doc&amp;base=LAW&amp;n=481359&amp;dst=351" TargetMode = "External"/>
	<Relationship Id="rId584" Type="http://schemas.openxmlformats.org/officeDocument/2006/relationships/hyperlink" Target="https://mii.mosreg.ru" TargetMode = "External"/>
	<Relationship Id="rId585" Type="http://schemas.openxmlformats.org/officeDocument/2006/relationships/hyperlink" Target="https://login.consultant.ru/link/?req=doc&amp;base=LAW&amp;n=121087&amp;dst=100142" TargetMode = "External"/>
	<Relationship Id="rId586" Type="http://schemas.openxmlformats.org/officeDocument/2006/relationships/hyperlink" Target="https://login.consultant.ru/link/?req=doc&amp;base=LAW&amp;n=493204" TargetMode = "External"/>
	<Relationship Id="rId587" Type="http://schemas.openxmlformats.org/officeDocument/2006/relationships/hyperlink" Target="https://login.consultant.ru/link/?req=doc&amp;base=LAW&amp;n=466838&amp;dst=5769" TargetMode = "External"/>
	<Relationship Id="rId588" Type="http://schemas.openxmlformats.org/officeDocument/2006/relationships/hyperlink" Target="https://login.consultant.ru/link/?req=doc&amp;base=LAW&amp;n=495920" TargetMode = "External"/>
	<Relationship Id="rId589" Type="http://schemas.openxmlformats.org/officeDocument/2006/relationships/hyperlink" Target="https://mii.mosreg.ru" TargetMode = "External"/>
	<Relationship Id="rId590" Type="http://schemas.openxmlformats.org/officeDocument/2006/relationships/hyperlink" Target="https://mii.mosreg.ru" TargetMode = "External"/>
	<Relationship Id="rId591" Type="http://schemas.openxmlformats.org/officeDocument/2006/relationships/hyperlink" Target="https://login.consultant.ru/link/?req=doc&amp;base=LAW&amp;n=495920" TargetMode = "External"/>
	<Relationship Id="rId592" Type="http://schemas.openxmlformats.org/officeDocument/2006/relationships/hyperlink" Target="https://login.consultant.ru/link/?req=doc&amp;base=LAW&amp;n=466790&amp;dst=3704" TargetMode = "External"/>
	<Relationship Id="rId593" Type="http://schemas.openxmlformats.org/officeDocument/2006/relationships/hyperlink" Target="https://login.consultant.ru/link/?req=doc&amp;base=LAW&amp;n=466790&amp;dst=3722" TargetMode = "External"/>
	<Relationship Id="rId594" Type="http://schemas.openxmlformats.org/officeDocument/2006/relationships/hyperlink" Target="https://login.consultant.ru/link/?req=doc&amp;base=LAW&amp;n=482692&amp;dst=217" TargetMode = "External"/>
	<Relationship Id="rId595" Type="http://schemas.openxmlformats.org/officeDocument/2006/relationships/hyperlink" Target="https://login.consultant.ru/link/?req=doc&amp;base=LAW&amp;n=482692&amp;dst=217" TargetMode = "External"/>
	<Relationship Id="rId596" Type="http://schemas.openxmlformats.org/officeDocument/2006/relationships/hyperlink" Target="https://login.consultant.ru/link/?req=doc&amp;base=LAW&amp;n=479333&amp;dst=100104" TargetMode = "External"/>
	<Relationship Id="rId597" Type="http://schemas.openxmlformats.org/officeDocument/2006/relationships/hyperlink" Target="https://login.consultant.ru/link/?req=doc&amp;base=LAW&amp;n=466790&amp;dst=3704" TargetMode = "External"/>
	<Relationship Id="rId598" Type="http://schemas.openxmlformats.org/officeDocument/2006/relationships/hyperlink" Target="https://login.consultant.ru/link/?req=doc&amp;base=LAW&amp;n=466790&amp;dst=3722" TargetMode = "External"/>
	<Relationship Id="rId599" Type="http://schemas.openxmlformats.org/officeDocument/2006/relationships/hyperlink" Target="https://login.consultant.ru/link/?req=doc&amp;base=LAW&amp;n=426999" TargetMode = "External"/>
	<Relationship Id="rId600" Type="http://schemas.openxmlformats.org/officeDocument/2006/relationships/hyperlink" Target="https://login.consultant.ru/link/?req=doc&amp;base=LAW&amp;n=495920" TargetMode = "External"/>
	<Relationship Id="rId601" Type="http://schemas.openxmlformats.org/officeDocument/2006/relationships/hyperlink" Target="https://login.consultant.ru/link/?req=doc&amp;base=LAW&amp;n=495920" TargetMode = "External"/>
	<Relationship Id="rId602" Type="http://schemas.openxmlformats.org/officeDocument/2006/relationships/hyperlink" Target="https://login.consultant.ru/link/?req=doc&amp;base=MOB&amp;n=389335&amp;dst=100175" TargetMode = "External"/>
	<Relationship Id="rId603" Type="http://schemas.openxmlformats.org/officeDocument/2006/relationships/hyperlink" Target="https://login.consultant.ru/link/?req=doc&amp;base=MOB&amp;n=389335&amp;dst=100175" TargetMode = "External"/>
	<Relationship Id="rId604" Type="http://schemas.openxmlformats.org/officeDocument/2006/relationships/hyperlink" Target="https://login.consultant.ru/link/?req=doc&amp;base=MOB&amp;n=406345&amp;dst=100011" TargetMode = "External"/>
	<Relationship Id="rId605" Type="http://schemas.openxmlformats.org/officeDocument/2006/relationships/hyperlink" Target="https://login.consultant.ru/link/?req=doc&amp;base=LAW&amp;n=482692&amp;dst=102275" TargetMode = "External"/>
	<Relationship Id="rId606" Type="http://schemas.openxmlformats.org/officeDocument/2006/relationships/hyperlink" Target="https://login.consultant.ru/link/?req=doc&amp;base=LAW&amp;n=23886&amp;dst=101670" TargetMode = "External"/>
	<Relationship Id="rId607" Type="http://schemas.openxmlformats.org/officeDocument/2006/relationships/hyperlink" Target="https://login.consultant.ru/link/?req=doc&amp;base=LAW&amp;n=368472&amp;dst=7" TargetMode = "External"/>
	<Relationship Id="rId608" Type="http://schemas.openxmlformats.org/officeDocument/2006/relationships/hyperlink" Target="https://login.consultant.ru/link/?req=doc&amp;base=LAW&amp;n=280141" TargetMode = "External"/>
	<Relationship Id="rId609" Type="http://schemas.openxmlformats.org/officeDocument/2006/relationships/hyperlink" Target="https://login.consultant.ru/link/?req=doc&amp;base=LAW&amp;n=368472&amp;dst=79" TargetMode = "External"/>
	<Relationship Id="rId610" Type="http://schemas.openxmlformats.org/officeDocument/2006/relationships/hyperlink" Target="https://login.consultant.ru/link/?req=doc&amp;base=MOB&amp;n=421727&amp;dst=107259" TargetMode = "External"/>
	<Relationship Id="rId611" Type="http://schemas.openxmlformats.org/officeDocument/2006/relationships/hyperlink" Target="https://login.consultant.ru/link/?req=doc&amp;base=LAW&amp;n=466790&amp;dst=103395" TargetMode = "External"/>
	<Relationship Id="rId612" Type="http://schemas.openxmlformats.org/officeDocument/2006/relationships/hyperlink" Target="https://login.consultant.ru/link/?req=doc&amp;base=LAW&amp;n=490805" TargetMode = "External"/>
	<Relationship Id="rId613" Type="http://schemas.openxmlformats.org/officeDocument/2006/relationships/hyperlink" Target="https://login.consultant.ru/link/?req=doc&amp;base=LAW&amp;n=481359" TargetMode = "External"/>
	<Relationship Id="rId614" Type="http://schemas.openxmlformats.org/officeDocument/2006/relationships/hyperlink" Target="https://login.consultant.ru/link/?req=doc&amp;base=LAW&amp;n=481359&amp;dst=351" TargetMode = "External"/>
	<Relationship Id="rId615" Type="http://schemas.openxmlformats.org/officeDocument/2006/relationships/hyperlink" Target="https://mii.mosreg.ru" TargetMode = "External"/>
	<Relationship Id="rId616" Type="http://schemas.openxmlformats.org/officeDocument/2006/relationships/hyperlink" Target="https://login.consultant.ru/link/?req=doc&amp;base=LAW&amp;n=121087&amp;dst=100142" TargetMode = "External"/>
	<Relationship Id="rId617" Type="http://schemas.openxmlformats.org/officeDocument/2006/relationships/hyperlink" Target="https://login.consultant.ru/link/?req=doc&amp;base=LAW&amp;n=493204" TargetMode = "External"/>
	<Relationship Id="rId618" Type="http://schemas.openxmlformats.org/officeDocument/2006/relationships/hyperlink" Target="https://login.consultant.ru/link/?req=doc&amp;base=LAW&amp;n=466838&amp;dst=5769" TargetMode = "External"/>
	<Relationship Id="rId619" Type="http://schemas.openxmlformats.org/officeDocument/2006/relationships/hyperlink" Target="https://mii.mosreg.ru" TargetMode = "External"/>
	<Relationship Id="rId620" Type="http://schemas.openxmlformats.org/officeDocument/2006/relationships/hyperlink" Target="https://mii.mosreg.ru" TargetMode = "External"/>
	<Relationship Id="rId621" Type="http://schemas.openxmlformats.org/officeDocument/2006/relationships/hyperlink" Target="https://login.consultant.ru/link/?req=doc&amp;base=LAW&amp;n=495920" TargetMode = "External"/>
	<Relationship Id="rId622" Type="http://schemas.openxmlformats.org/officeDocument/2006/relationships/hyperlink" Target="https://login.consultant.ru/link/?req=doc&amp;base=MOB&amp;n=419952&amp;dst=103383" TargetMode = "External"/>
	<Relationship Id="rId623" Type="http://schemas.openxmlformats.org/officeDocument/2006/relationships/hyperlink" Target="https://login.consultant.ru/link/?req=doc&amp;base=LAW&amp;n=466790&amp;dst=3704" TargetMode = "External"/>
	<Relationship Id="rId624" Type="http://schemas.openxmlformats.org/officeDocument/2006/relationships/hyperlink" Target="https://login.consultant.ru/link/?req=doc&amp;base=LAW&amp;n=466790&amp;dst=3722" TargetMode = "External"/>
	<Relationship Id="rId625" Type="http://schemas.openxmlformats.org/officeDocument/2006/relationships/hyperlink" Target="https://login.consultant.ru/link/?req=doc&amp;base=LAW&amp;n=482692&amp;dst=217" TargetMode = "External"/>
	<Relationship Id="rId626" Type="http://schemas.openxmlformats.org/officeDocument/2006/relationships/hyperlink" Target="https://login.consultant.ru/link/?req=doc&amp;base=LAW&amp;n=482692&amp;dst=217" TargetMode = "External"/>
	<Relationship Id="rId627" Type="http://schemas.openxmlformats.org/officeDocument/2006/relationships/hyperlink" Target="https://login.consultant.ru/link/?req=doc&amp;base=LAW&amp;n=479333&amp;dst=100104" TargetMode = "External"/>
	<Relationship Id="rId628" Type="http://schemas.openxmlformats.org/officeDocument/2006/relationships/hyperlink" Target="https://login.consultant.ru/link/?req=doc&amp;base=LAW&amp;n=466790&amp;dst=3704" TargetMode = "External"/>
	<Relationship Id="rId629" Type="http://schemas.openxmlformats.org/officeDocument/2006/relationships/hyperlink" Target="https://login.consultant.ru/link/?req=doc&amp;base=LAW&amp;n=466790&amp;dst=3722" TargetMode = "External"/>
	<Relationship Id="rId630" Type="http://schemas.openxmlformats.org/officeDocument/2006/relationships/hyperlink" Target="https://login.consultant.ru/link/?req=doc&amp;base=LAW&amp;n=426999" TargetMode = "External"/>
	<Relationship Id="rId631" Type="http://schemas.openxmlformats.org/officeDocument/2006/relationships/hyperlink" Target="https://login.consultant.ru/link/?req=doc&amp;base=LAW&amp;n=481359&amp;dst=407" TargetMode = "External"/>
	<Relationship Id="rId632" Type="http://schemas.openxmlformats.org/officeDocument/2006/relationships/hyperlink" Target="https://login.consultant.ru/link/?req=doc&amp;base=LAW&amp;n=481359&amp;dst=210" TargetMode = "External"/>
	<Relationship Id="rId633" Type="http://schemas.openxmlformats.org/officeDocument/2006/relationships/hyperlink" Target="https://login.consultant.ru/link/?req=doc&amp;base=LAW&amp;n=481359&amp;dst=407" TargetMode = "External"/>
	<Relationship Id="rId634" Type="http://schemas.openxmlformats.org/officeDocument/2006/relationships/hyperlink" Target="https://login.consultant.ru/link/?req=doc&amp;base=LAW&amp;n=481359&amp;dst=210" TargetMode = "External"/>
	<Relationship Id="rId635" Type="http://schemas.openxmlformats.org/officeDocument/2006/relationships/hyperlink" Target="https://login.consultant.ru/link/?req=doc&amp;base=MOB&amp;n=406345&amp;dst=100011" TargetMode = "External"/>
	<Relationship Id="rId636" Type="http://schemas.openxmlformats.org/officeDocument/2006/relationships/hyperlink" Target="https://login.consultant.ru/link/?req=doc&amp;base=LAW&amp;n=482692&amp;dst=102275" TargetMode = "External"/>
	<Relationship Id="rId637" Type="http://schemas.openxmlformats.org/officeDocument/2006/relationships/hyperlink" Target="https://login.consultant.ru/link/?req=doc&amp;base=LAW&amp;n=23886&amp;dst=101670" TargetMode = "External"/>
	<Relationship Id="rId638" Type="http://schemas.openxmlformats.org/officeDocument/2006/relationships/hyperlink" Target="https://login.consultant.ru/link/?req=doc&amp;base=LAW&amp;n=54127" TargetMode = "External"/>
	<Relationship Id="rId639" Type="http://schemas.openxmlformats.org/officeDocument/2006/relationships/hyperlink" Target="https://login.consultant.ru/link/?req=doc&amp;base=LAW&amp;n=54127" TargetMode = "External"/>
	<Relationship Id="rId640" Type="http://schemas.openxmlformats.org/officeDocument/2006/relationships/hyperlink" Target="https://login.consultant.ru/link/?req=doc&amp;base=LAW&amp;n=368472&amp;dst=79" TargetMode = "External"/>
	<Relationship Id="rId641" Type="http://schemas.openxmlformats.org/officeDocument/2006/relationships/hyperlink" Target="https://login.consultant.ru/link/?req=doc&amp;base=MOB&amp;n=419747&amp;dst=109431" TargetMode = "External"/>
	<Relationship Id="rId642" Type="http://schemas.openxmlformats.org/officeDocument/2006/relationships/hyperlink" Target="https://login.consultant.ru/link/?req=doc&amp;base=LAW&amp;n=466790&amp;dst=103395" TargetMode = "External"/>
	<Relationship Id="rId643" Type="http://schemas.openxmlformats.org/officeDocument/2006/relationships/hyperlink" Target="https://login.consultant.ru/link/?req=doc&amp;base=LAW&amp;n=490805" TargetMode = "External"/>
	<Relationship Id="rId644" Type="http://schemas.openxmlformats.org/officeDocument/2006/relationships/hyperlink" Target="https://login.consultant.ru/link/?req=doc&amp;base=LAW&amp;n=481359" TargetMode = "External"/>
	<Relationship Id="rId645" Type="http://schemas.openxmlformats.org/officeDocument/2006/relationships/hyperlink" Target="https://login.consultant.ru/link/?req=doc&amp;base=LAW&amp;n=481359&amp;dst=100138" TargetMode = "External"/>
	<Relationship Id="rId646" Type="http://schemas.openxmlformats.org/officeDocument/2006/relationships/hyperlink" Target="https://login.consultant.ru/link/?req=doc&amp;base=LAW&amp;n=481359&amp;dst=433" TargetMode = "External"/>
	<Relationship Id="rId647" Type="http://schemas.openxmlformats.org/officeDocument/2006/relationships/hyperlink" Target="https://login.consultant.ru/link/?req=doc&amp;base=LAW&amp;n=495920&amp;dst=104925" TargetMode = "External"/>
	<Relationship Id="rId648" Type="http://schemas.openxmlformats.org/officeDocument/2006/relationships/hyperlink" Target="https://login.consultant.ru/link/?req=doc&amp;base=LAW&amp;n=121087&amp;dst=100142" TargetMode = "External"/>
	<Relationship Id="rId649" Type="http://schemas.openxmlformats.org/officeDocument/2006/relationships/hyperlink" Target="https://login.consultant.ru/link/?req=doc&amp;base=LAW&amp;n=493204" TargetMode = "External"/>
	<Relationship Id="rId650" Type="http://schemas.openxmlformats.org/officeDocument/2006/relationships/hyperlink" Target="https://login.consultant.ru/link/?req=doc&amp;base=LAW&amp;n=466838&amp;dst=5769" TargetMode = "External"/>
	<Relationship Id="rId651" Type="http://schemas.openxmlformats.org/officeDocument/2006/relationships/hyperlink" Target="https://login.consultant.ru/link/?req=doc&amp;base=LAW&amp;n=466790&amp;dst=3704" TargetMode = "External"/>
	<Relationship Id="rId652" Type="http://schemas.openxmlformats.org/officeDocument/2006/relationships/hyperlink" Target="https://login.consultant.ru/link/?req=doc&amp;base=LAW&amp;n=466790&amp;dst=3722" TargetMode = "External"/>
	<Relationship Id="rId653" Type="http://schemas.openxmlformats.org/officeDocument/2006/relationships/image" Target="media/image9.wmf"/>
	<Relationship Id="rId654" Type="http://schemas.openxmlformats.org/officeDocument/2006/relationships/hyperlink" Target="https://login.consultant.ru/link/?req=doc&amp;base=LAW&amp;n=466790&amp;dst=3704" TargetMode = "External"/>
	<Relationship Id="rId655" Type="http://schemas.openxmlformats.org/officeDocument/2006/relationships/hyperlink" Target="https://login.consultant.ru/link/?req=doc&amp;base=LAW&amp;n=466790&amp;dst=3722" TargetMode = "External"/>
	<Relationship Id="rId656" Type="http://schemas.openxmlformats.org/officeDocument/2006/relationships/hyperlink" Target="https://login.consultant.ru/link/?req=doc&amp;base=LAW&amp;n=466790&amp;dst=3704" TargetMode = "External"/>
	<Relationship Id="rId657" Type="http://schemas.openxmlformats.org/officeDocument/2006/relationships/hyperlink" Target="https://login.consultant.ru/link/?req=doc&amp;base=LAW&amp;n=466790&amp;dst=3722" TargetMode = "External"/>
	<Relationship Id="rId658" Type="http://schemas.openxmlformats.org/officeDocument/2006/relationships/hyperlink" Target="https://login.consultant.ru/link/?req=doc&amp;base=LAW&amp;n=466790&amp;dst=3704" TargetMode = "External"/>
	<Relationship Id="rId659" Type="http://schemas.openxmlformats.org/officeDocument/2006/relationships/hyperlink" Target="https://login.consultant.ru/link/?req=doc&amp;base=LAW&amp;n=466790&amp;dst=3722" TargetMode = "External"/>
	<Relationship Id="rId660" Type="http://schemas.openxmlformats.org/officeDocument/2006/relationships/hyperlink" Target="https://login.consultant.ru/link/?req=doc&amp;base=MOB&amp;n=421727&amp;dst=107796" TargetMode = "External"/>
	<Relationship Id="rId661" Type="http://schemas.openxmlformats.org/officeDocument/2006/relationships/hyperlink" Target="https://login.consultant.ru/link/?req=doc&amp;base=LAW&amp;n=466790&amp;dst=103395" TargetMode = "External"/>
	<Relationship Id="rId662" Type="http://schemas.openxmlformats.org/officeDocument/2006/relationships/hyperlink" Target="https://login.consultant.ru/link/?req=doc&amp;base=LAW&amp;n=490805" TargetMode = "External"/>
	<Relationship Id="rId663" Type="http://schemas.openxmlformats.org/officeDocument/2006/relationships/hyperlink" Target="https://login.consultant.ru/link/?req=doc&amp;base=LAW&amp;n=481359" TargetMode = "External"/>
	<Relationship Id="rId664" Type="http://schemas.openxmlformats.org/officeDocument/2006/relationships/hyperlink" Target="https://login.consultant.ru/link/?req=doc&amp;base=LAW&amp;n=481359&amp;dst=351" TargetMode = "External"/>
	<Relationship Id="rId665" Type="http://schemas.openxmlformats.org/officeDocument/2006/relationships/hyperlink" Target="https://login.consultant.ru/link/?req=doc&amp;base=LAW&amp;n=495920" TargetMode = "External"/>
	<Relationship Id="rId666" Type="http://schemas.openxmlformats.org/officeDocument/2006/relationships/hyperlink" Target="https://mii.mosreg.ru" TargetMode = "External"/>
	<Relationship Id="rId667" Type="http://schemas.openxmlformats.org/officeDocument/2006/relationships/hyperlink" Target="https://login.consultant.ru/link/?req=doc&amp;base=LAW&amp;n=121087&amp;dst=100142" TargetMode = "External"/>
	<Relationship Id="rId668" Type="http://schemas.openxmlformats.org/officeDocument/2006/relationships/hyperlink" Target="https://login.consultant.ru/link/?req=doc&amp;base=LAW&amp;n=493204" TargetMode = "External"/>
	<Relationship Id="rId669" Type="http://schemas.openxmlformats.org/officeDocument/2006/relationships/hyperlink" Target="https://login.consultant.ru/link/?req=doc&amp;base=LAW&amp;n=466838&amp;dst=5769" TargetMode = "External"/>
	<Relationship Id="rId670" Type="http://schemas.openxmlformats.org/officeDocument/2006/relationships/hyperlink" Target="https://login.consultant.ru/link/?req=doc&amp;base=LAW&amp;n=466790&amp;dst=3704" TargetMode = "External"/>
	<Relationship Id="rId671" Type="http://schemas.openxmlformats.org/officeDocument/2006/relationships/hyperlink" Target="https://login.consultant.ru/link/?req=doc&amp;base=LAW&amp;n=466790&amp;dst=3722" TargetMode = "External"/>
	<Relationship Id="rId672" Type="http://schemas.openxmlformats.org/officeDocument/2006/relationships/hyperlink" Target="https://mii.mosreg.ru" TargetMode = "External"/>
	<Relationship Id="rId673" Type="http://schemas.openxmlformats.org/officeDocument/2006/relationships/hyperlink" Target="https://mii.mosreg.ru" TargetMode = "External"/>
	<Relationship Id="rId674" Type="http://schemas.openxmlformats.org/officeDocument/2006/relationships/hyperlink" Target="https://login.consultant.ru/link/?req=doc&amp;base=MOB&amp;n=373618&amp;dst=133451" TargetMode = "External"/>
	<Relationship Id="rId675" Type="http://schemas.openxmlformats.org/officeDocument/2006/relationships/hyperlink" Target="https://login.consultant.ru/link/?req=doc&amp;base=MOB&amp;n=419952&amp;dst=103383" TargetMode = "External"/>
	<Relationship Id="rId676" Type="http://schemas.openxmlformats.org/officeDocument/2006/relationships/hyperlink" Target="https://login.consultant.ru/link/?req=doc&amp;base=LAW&amp;n=466790&amp;dst=3704" TargetMode = "External"/>
	<Relationship Id="rId677" Type="http://schemas.openxmlformats.org/officeDocument/2006/relationships/hyperlink" Target="https://login.consultant.ru/link/?req=doc&amp;base=LAW&amp;n=466790&amp;dst=3722" TargetMode = "External"/>
	<Relationship Id="rId678" Type="http://schemas.openxmlformats.org/officeDocument/2006/relationships/hyperlink" Target="https://login.consultant.ru/link/?req=doc&amp;base=LAW&amp;n=482692&amp;dst=217" TargetMode = "External"/>
	<Relationship Id="rId679" Type="http://schemas.openxmlformats.org/officeDocument/2006/relationships/hyperlink" Target="https://login.consultant.ru/link/?req=doc&amp;base=LAW&amp;n=482692&amp;dst=217" TargetMode = "External"/>
	<Relationship Id="rId680" Type="http://schemas.openxmlformats.org/officeDocument/2006/relationships/hyperlink" Target="https://login.consultant.ru/link/?req=doc&amp;base=LAW&amp;n=479333&amp;dst=100104" TargetMode = "External"/>
	<Relationship Id="rId681" Type="http://schemas.openxmlformats.org/officeDocument/2006/relationships/hyperlink" Target="https://login.consultant.ru/link/?req=doc&amp;base=LAW&amp;n=466790&amp;dst=3704" TargetMode = "External"/>
	<Relationship Id="rId682" Type="http://schemas.openxmlformats.org/officeDocument/2006/relationships/hyperlink" Target="https://login.consultant.ru/link/?req=doc&amp;base=LAW&amp;n=466790&amp;dst=3722" TargetMode = "External"/>
	<Relationship Id="rId683" Type="http://schemas.openxmlformats.org/officeDocument/2006/relationships/hyperlink" Target="https://login.consultant.ru/link/?req=doc&amp;base=LAW&amp;n=482692&amp;dst=102275" TargetMode = "External"/>
	<Relationship Id="rId684" Type="http://schemas.openxmlformats.org/officeDocument/2006/relationships/hyperlink" Target="https://login.consultant.ru/link/?req=doc&amp;base=LAW&amp;n=495920" TargetMode = "External"/>
	<Relationship Id="rId685" Type="http://schemas.openxmlformats.org/officeDocument/2006/relationships/hyperlink" Target="https://login.consultant.ru/link/?req=doc&amp;base=MOB&amp;n=421727&amp;dst=108103" TargetMode = "External"/>
	<Relationship Id="rId686" Type="http://schemas.openxmlformats.org/officeDocument/2006/relationships/hyperlink" Target="https://login.consultant.ru/link/?req=doc&amp;base=LAW&amp;n=466790&amp;dst=103395" TargetMode = "External"/>
	<Relationship Id="rId687" Type="http://schemas.openxmlformats.org/officeDocument/2006/relationships/hyperlink" Target="https://login.consultant.ru/link/?req=doc&amp;base=LAW&amp;n=490805" TargetMode = "External"/>
	<Relationship Id="rId688" Type="http://schemas.openxmlformats.org/officeDocument/2006/relationships/hyperlink" Target="https://login.consultant.ru/link/?req=doc&amp;base=LAW&amp;n=494982" TargetMode = "External"/>
	<Relationship Id="rId689" Type="http://schemas.openxmlformats.org/officeDocument/2006/relationships/hyperlink" Target="https://login.consultant.ru/link/?req=doc&amp;base=LAW&amp;n=452576" TargetMode = "External"/>
	<Relationship Id="rId690" Type="http://schemas.openxmlformats.org/officeDocument/2006/relationships/hyperlink" Target="https://mii.mosreg.ru" TargetMode = "External"/>
	<Relationship Id="rId691" Type="http://schemas.openxmlformats.org/officeDocument/2006/relationships/hyperlink" Target="https://login.consultant.ru/link/?req=doc&amp;base=LAW&amp;n=121087&amp;dst=100142" TargetMode = "External"/>
	<Relationship Id="rId692" Type="http://schemas.openxmlformats.org/officeDocument/2006/relationships/hyperlink" Target="https://login.consultant.ru/link/?req=doc&amp;base=LAW&amp;n=493204" TargetMode = "External"/>
	<Relationship Id="rId693" Type="http://schemas.openxmlformats.org/officeDocument/2006/relationships/hyperlink" Target="https://login.consultant.ru/link/?req=doc&amp;base=LAW&amp;n=466838&amp;dst=5769" TargetMode = "External"/>
	<Relationship Id="rId694" Type="http://schemas.openxmlformats.org/officeDocument/2006/relationships/hyperlink" Target="https://mii.mosreg.ru" TargetMode = "External"/>
	<Relationship Id="rId695" Type="http://schemas.openxmlformats.org/officeDocument/2006/relationships/hyperlink" Target="https://mii.mosreg.ru" TargetMode = "External"/>
	<Relationship Id="rId696" Type="http://schemas.openxmlformats.org/officeDocument/2006/relationships/hyperlink" Target="https://mii.mosreg.ru" TargetMode = "External"/>
	<Relationship Id="rId697" Type="http://schemas.openxmlformats.org/officeDocument/2006/relationships/hyperlink" Target="https://mii.mosreg.ru" TargetMode = "External"/>
	<Relationship Id="rId698" Type="http://schemas.openxmlformats.org/officeDocument/2006/relationships/hyperlink" Target="https://login.consultant.ru/link/?req=doc&amp;base=LAW&amp;n=466790&amp;dst=3704" TargetMode = "External"/>
	<Relationship Id="rId699" Type="http://schemas.openxmlformats.org/officeDocument/2006/relationships/hyperlink" Target="https://login.consultant.ru/link/?req=doc&amp;base=LAW&amp;n=466790&amp;dst=3722" TargetMode = "External"/>
	<Relationship Id="rId700" Type="http://schemas.openxmlformats.org/officeDocument/2006/relationships/hyperlink" Target="https://login.consultant.ru/link/?req=doc&amp;base=LAW&amp;n=494637&amp;dst=100058" TargetMode = "External"/>
	<Relationship Id="rId701" Type="http://schemas.openxmlformats.org/officeDocument/2006/relationships/image" Target="media/image10.wmf"/>
	<Relationship Id="rId702" Type="http://schemas.openxmlformats.org/officeDocument/2006/relationships/hyperlink" Target="https://login.consultant.ru/link/?req=doc&amp;base=LAW&amp;n=466790&amp;dst=6924" TargetMode = "External"/>
	<Relationship Id="rId703" Type="http://schemas.openxmlformats.org/officeDocument/2006/relationships/image" Target="media/image11.wmf"/>
	<Relationship Id="rId704" Type="http://schemas.openxmlformats.org/officeDocument/2006/relationships/image" Target="media/image12.wmf"/>
	<Relationship Id="rId705" Type="http://schemas.openxmlformats.org/officeDocument/2006/relationships/image" Target="media/image13.wmf"/>
	<Relationship Id="rId706" Type="http://schemas.openxmlformats.org/officeDocument/2006/relationships/image" Target="media/image14.wmf"/>
	<Relationship Id="rId707" Type="http://schemas.openxmlformats.org/officeDocument/2006/relationships/hyperlink" Target="https://login.consultant.ru/link/?req=doc&amp;base=LAW&amp;n=466790&amp;dst=3704" TargetMode = "External"/>
	<Relationship Id="rId708" Type="http://schemas.openxmlformats.org/officeDocument/2006/relationships/hyperlink" Target="https://login.consultant.ru/link/?req=doc&amp;base=LAW&amp;n=466790&amp;dst=3722" TargetMode = "External"/>
	<Relationship Id="rId709" Type="http://schemas.openxmlformats.org/officeDocument/2006/relationships/hyperlink" Target="https://login.consultant.ru/link/?req=doc&amp;base=MOB&amp;n=389335&amp;dst=100175" TargetMode = "External"/>
	<Relationship Id="rId710" Type="http://schemas.openxmlformats.org/officeDocument/2006/relationships/hyperlink" Target="https://login.consultant.ru/link/?req=doc&amp;base=LAW&amp;n=452575" TargetMode = "External"/>
	<Relationship Id="rId711" Type="http://schemas.openxmlformats.org/officeDocument/2006/relationships/hyperlink" Target="https://login.consultant.ru/link/?req=doc&amp;base=LAW&amp;n=481359" TargetMode = "External"/>
	<Relationship Id="rId712" Type="http://schemas.openxmlformats.org/officeDocument/2006/relationships/hyperlink" Target="https://login.consultant.ru/link/?req=doc&amp;base=LAW&amp;n=495920" TargetMode = "External"/>
	<Relationship Id="rId713" Type="http://schemas.openxmlformats.org/officeDocument/2006/relationships/hyperlink" Target="https://login.consultant.ru/link/?req=doc&amp;base=MOB&amp;n=389335&amp;dst=100175" TargetMode = "External"/>
	<Relationship Id="rId714" Type="http://schemas.openxmlformats.org/officeDocument/2006/relationships/hyperlink" Target="https://login.consultant.ru/link/?req=doc&amp;base=LAW&amp;n=481359&amp;dst=100138" TargetMode = "External"/>
	<Relationship Id="rId715" Type="http://schemas.openxmlformats.org/officeDocument/2006/relationships/hyperlink" Target="https://login.consultant.ru/link/?req=doc&amp;base=LAW&amp;n=481359&amp;dst=433" TargetMode = "External"/>
	<Relationship Id="rId716" Type="http://schemas.openxmlformats.org/officeDocument/2006/relationships/hyperlink" Target="https://login.consultant.ru/link/?req=doc&amp;base=LAW&amp;n=495920" TargetMode = "External"/>
	<Relationship Id="rId717" Type="http://schemas.openxmlformats.org/officeDocument/2006/relationships/hyperlink" Target="https://login.consultant.ru/link/?req=doc&amp;base=MOB&amp;n=421727&amp;dst=108514" TargetMode = "External"/>
	<Relationship Id="rId718" Type="http://schemas.openxmlformats.org/officeDocument/2006/relationships/hyperlink" Target="https://login.consultant.ru/link/?req=doc&amp;base=LAW&amp;n=466790&amp;dst=103395" TargetMode = "External"/>
	<Relationship Id="rId719" Type="http://schemas.openxmlformats.org/officeDocument/2006/relationships/hyperlink" Target="https://login.consultant.ru/link/?req=doc&amp;base=LAW&amp;n=490805" TargetMode = "External"/>
	<Relationship Id="rId720" Type="http://schemas.openxmlformats.org/officeDocument/2006/relationships/hyperlink" Target="https://login.consultant.ru/link/?req=doc&amp;base=LAW&amp;n=481359" TargetMode = "External"/>
	<Relationship Id="rId721" Type="http://schemas.openxmlformats.org/officeDocument/2006/relationships/hyperlink" Target="https://login.consultant.ru/link/?req=doc&amp;base=LAW&amp;n=481359&amp;dst=351" TargetMode = "External"/>
	<Relationship Id="rId722" Type="http://schemas.openxmlformats.org/officeDocument/2006/relationships/hyperlink" Target="https://mii.mosreg.ru" TargetMode = "External"/>
	<Relationship Id="rId723" Type="http://schemas.openxmlformats.org/officeDocument/2006/relationships/hyperlink" Target="https://login.consultant.ru/link/?req=doc&amp;base=LAW&amp;n=121087&amp;dst=100142" TargetMode = "External"/>
	<Relationship Id="rId724" Type="http://schemas.openxmlformats.org/officeDocument/2006/relationships/hyperlink" Target="https://login.consultant.ru/link/?req=doc&amp;base=LAW&amp;n=493204" TargetMode = "External"/>
	<Relationship Id="rId725" Type="http://schemas.openxmlformats.org/officeDocument/2006/relationships/hyperlink" Target="https://login.consultant.ru/link/?req=doc&amp;base=LAW&amp;n=466838&amp;dst=5769" TargetMode = "External"/>
	<Relationship Id="rId726" Type="http://schemas.openxmlformats.org/officeDocument/2006/relationships/hyperlink" Target="https://login.consultant.ru/link/?req=doc&amp;base=LAW&amp;n=466790&amp;dst=3704" TargetMode = "External"/>
	<Relationship Id="rId727" Type="http://schemas.openxmlformats.org/officeDocument/2006/relationships/hyperlink" Target="https://login.consultant.ru/link/?req=doc&amp;base=LAW&amp;n=466790&amp;dst=3722" TargetMode = "External"/>
	<Relationship Id="rId728" Type="http://schemas.openxmlformats.org/officeDocument/2006/relationships/hyperlink" Target="https://mii.mosreg.ru" TargetMode = "External"/>
	<Relationship Id="rId729" Type="http://schemas.openxmlformats.org/officeDocument/2006/relationships/hyperlink" Target="https://mii.mosreg.ru" TargetMode = "External"/>
	<Relationship Id="rId730" Type="http://schemas.openxmlformats.org/officeDocument/2006/relationships/hyperlink" Target="https://login.consultant.ru/link/?req=doc&amp;base=MOB&amp;n=419952&amp;dst=103383" TargetMode = "External"/>
	<Relationship Id="rId731" Type="http://schemas.openxmlformats.org/officeDocument/2006/relationships/hyperlink" Target="https://login.consultant.ru/link/?req=doc&amp;base=LAW&amp;n=466790&amp;dst=3704" TargetMode = "External"/>
	<Relationship Id="rId732" Type="http://schemas.openxmlformats.org/officeDocument/2006/relationships/hyperlink" Target="https://login.consultant.ru/link/?req=doc&amp;base=LAW&amp;n=466790&amp;dst=3722" TargetMode = "External"/>
	<Relationship Id="rId733" Type="http://schemas.openxmlformats.org/officeDocument/2006/relationships/hyperlink" Target="https://login.consultant.ru/link/?req=doc&amp;base=LAW&amp;n=482692&amp;dst=217" TargetMode = "External"/>
	<Relationship Id="rId734" Type="http://schemas.openxmlformats.org/officeDocument/2006/relationships/hyperlink" Target="https://login.consultant.ru/link/?req=doc&amp;base=LAW&amp;n=482692&amp;dst=217" TargetMode = "External"/>
	<Relationship Id="rId735" Type="http://schemas.openxmlformats.org/officeDocument/2006/relationships/hyperlink" Target="https://login.consultant.ru/link/?req=doc&amp;base=LAW&amp;n=479333&amp;dst=100104" TargetMode = "External"/>
	<Relationship Id="rId736" Type="http://schemas.openxmlformats.org/officeDocument/2006/relationships/hyperlink" Target="https://login.consultant.ru/link/?req=doc&amp;base=LAW&amp;n=466790&amp;dst=3704" TargetMode = "External"/>
	<Relationship Id="rId737" Type="http://schemas.openxmlformats.org/officeDocument/2006/relationships/hyperlink" Target="https://login.consultant.ru/link/?req=doc&amp;base=LAW&amp;n=466790&amp;dst=3722" TargetMode = "External"/>
	<Relationship Id="rId738" Type="http://schemas.openxmlformats.org/officeDocument/2006/relationships/hyperlink" Target="https://login.consultant.ru/link/?req=doc&amp;base=LAW&amp;n=482692&amp;dst=102275" TargetMode = "External"/>
	<Relationship Id="rId739" Type="http://schemas.openxmlformats.org/officeDocument/2006/relationships/hyperlink" Target="https://login.consultant.ru/link/?req=doc&amp;base=LAW&amp;n=23886&amp;dst=101670" TargetMode = "External"/>
	<Relationship Id="rId740" Type="http://schemas.openxmlformats.org/officeDocument/2006/relationships/hyperlink" Target="https://login.consultant.ru/link/?req=doc&amp;base=LAW&amp;n=368472&amp;dst=79" TargetMode = "External"/>
	<Relationship Id="rId741" Type="http://schemas.openxmlformats.org/officeDocument/2006/relationships/hyperlink" Target="https://login.consultant.ru/link/?req=doc&amp;base=MOB&amp;n=419747&amp;dst=109675" TargetMode = "External"/>
	<Relationship Id="rId742" Type="http://schemas.openxmlformats.org/officeDocument/2006/relationships/hyperlink" Target="https://login.consultant.ru/link/?req=doc&amp;base=MOB&amp;n=421727&amp;dst=108915" TargetMode = "External"/>
	<Relationship Id="rId743" Type="http://schemas.openxmlformats.org/officeDocument/2006/relationships/hyperlink" Target="https://login.consultant.ru/link/?req=doc&amp;base=LAW&amp;n=466790&amp;dst=103395" TargetMode = "External"/>
	<Relationship Id="rId744" Type="http://schemas.openxmlformats.org/officeDocument/2006/relationships/hyperlink" Target="https://login.consultant.ru/link/?req=doc&amp;base=LAW&amp;n=490805" TargetMode = "External"/>
	<Relationship Id="rId745" Type="http://schemas.openxmlformats.org/officeDocument/2006/relationships/hyperlink" Target="https://login.consultant.ru/link/?req=doc&amp;base=LAW&amp;n=483354" TargetMode = "External"/>
	<Relationship Id="rId746" Type="http://schemas.openxmlformats.org/officeDocument/2006/relationships/hyperlink" Target="https://login.consultant.ru/link/?req=doc&amp;base=LAW&amp;n=481359" TargetMode = "External"/>
	<Relationship Id="rId747" Type="http://schemas.openxmlformats.org/officeDocument/2006/relationships/hyperlink" Target="https://login.consultant.ru/link/?req=doc&amp;base=LAW&amp;n=481359&amp;dst=351" TargetMode = "External"/>
	<Relationship Id="rId748" Type="http://schemas.openxmlformats.org/officeDocument/2006/relationships/hyperlink" Target="https://mii.mosreg.ru" TargetMode = "External"/>
	<Relationship Id="rId749" Type="http://schemas.openxmlformats.org/officeDocument/2006/relationships/hyperlink" Target="https://login.consultant.ru/link/?req=doc&amp;base=LAW&amp;n=121087&amp;dst=100142" TargetMode = "External"/>
	<Relationship Id="rId750" Type="http://schemas.openxmlformats.org/officeDocument/2006/relationships/hyperlink" Target="https://login.consultant.ru/link/?req=doc&amp;base=LAW&amp;n=493204" TargetMode = "External"/>
	<Relationship Id="rId751" Type="http://schemas.openxmlformats.org/officeDocument/2006/relationships/hyperlink" Target="https://login.consultant.ru/link/?req=doc&amp;base=LAW&amp;n=466838&amp;dst=5769" TargetMode = "External"/>
	<Relationship Id="rId752" Type="http://schemas.openxmlformats.org/officeDocument/2006/relationships/hyperlink" Target="https://login.consultant.ru/link/?req=doc&amp;base=LAW&amp;n=495920" TargetMode = "External"/>
	<Relationship Id="rId753" Type="http://schemas.openxmlformats.org/officeDocument/2006/relationships/hyperlink" Target="https://mii.mosreg.ru" TargetMode = "External"/>
	<Relationship Id="rId754" Type="http://schemas.openxmlformats.org/officeDocument/2006/relationships/hyperlink" Target="https://mii.mosreg.ru" TargetMode = "External"/>
	<Relationship Id="rId755" Type="http://schemas.openxmlformats.org/officeDocument/2006/relationships/hyperlink" Target="https://login.consultant.ru/link/?req=doc&amp;base=LAW&amp;n=495920" TargetMode = "External"/>
	<Relationship Id="rId756" Type="http://schemas.openxmlformats.org/officeDocument/2006/relationships/hyperlink" Target="https://login.consultant.ru/link/?req=doc&amp;base=MOB&amp;n=419952&amp;dst=103383" TargetMode = "External"/>
	<Relationship Id="rId757" Type="http://schemas.openxmlformats.org/officeDocument/2006/relationships/hyperlink" Target="https://login.consultant.ru/link/?req=doc&amp;base=LAW&amp;n=466790&amp;dst=3704" TargetMode = "External"/>
	<Relationship Id="rId758" Type="http://schemas.openxmlformats.org/officeDocument/2006/relationships/hyperlink" Target="https://login.consultant.ru/link/?req=doc&amp;base=LAW&amp;n=466790&amp;dst=3722" TargetMode = "External"/>
	<Relationship Id="rId759" Type="http://schemas.openxmlformats.org/officeDocument/2006/relationships/hyperlink" Target="https://login.consultant.ru/link/?req=doc&amp;base=LAW&amp;n=482692&amp;dst=217" TargetMode = "External"/>
	<Relationship Id="rId760" Type="http://schemas.openxmlformats.org/officeDocument/2006/relationships/hyperlink" Target="https://login.consultant.ru/link/?req=doc&amp;base=LAW&amp;n=482692&amp;dst=217" TargetMode = "External"/>
	<Relationship Id="rId761" Type="http://schemas.openxmlformats.org/officeDocument/2006/relationships/hyperlink" Target="https://login.consultant.ru/link/?req=doc&amp;base=LAW&amp;n=479333&amp;dst=100104" TargetMode = "External"/>
	<Relationship Id="rId762" Type="http://schemas.openxmlformats.org/officeDocument/2006/relationships/hyperlink" Target="https://login.consultant.ru/link/?req=doc&amp;base=LAW&amp;n=466790&amp;dst=3704" TargetMode = "External"/>
	<Relationship Id="rId763" Type="http://schemas.openxmlformats.org/officeDocument/2006/relationships/hyperlink" Target="https://login.consultant.ru/link/?req=doc&amp;base=LAW&amp;n=466790&amp;dst=3722" TargetMode = "External"/>
	<Relationship Id="rId764" Type="http://schemas.openxmlformats.org/officeDocument/2006/relationships/hyperlink" Target="https://login.consultant.ru/link/?req=doc&amp;base=LAW&amp;n=426999" TargetMode = "External"/>
	<Relationship Id="rId765" Type="http://schemas.openxmlformats.org/officeDocument/2006/relationships/hyperlink" Target="https://login.consultant.ru/link/?req=doc&amp;base=LAW&amp;n=495920" TargetMode = "External"/>
	<Relationship Id="rId766" Type="http://schemas.openxmlformats.org/officeDocument/2006/relationships/hyperlink" Target="https://login.consultant.ru/link/?req=doc&amp;base=LAW&amp;n=495920" TargetMode = "External"/>
	<Relationship Id="rId767" Type="http://schemas.openxmlformats.org/officeDocument/2006/relationships/hyperlink" Target="https://login.consultant.ru/link/?req=doc&amp;base=MOB&amp;n=389335&amp;dst=100175" TargetMode = "External"/>
	<Relationship Id="rId768" Type="http://schemas.openxmlformats.org/officeDocument/2006/relationships/hyperlink" Target="https://login.consultant.ru/link/?req=doc&amp;base=MOB&amp;n=389335&amp;dst=100175" TargetMode = "External"/>
	<Relationship Id="rId769" Type="http://schemas.openxmlformats.org/officeDocument/2006/relationships/hyperlink" Target="https://login.consultant.ru/link/?req=doc&amp;base=MOB&amp;n=406345&amp;dst=100011" TargetMode = "External"/>
	<Relationship Id="rId770" Type="http://schemas.openxmlformats.org/officeDocument/2006/relationships/hyperlink" Target="https://login.consultant.ru/link/?req=doc&amp;base=LAW&amp;n=482692&amp;dst=102275" TargetMode = "External"/>
	<Relationship Id="rId771" Type="http://schemas.openxmlformats.org/officeDocument/2006/relationships/hyperlink" Target="https://login.consultant.ru/link/?req=doc&amp;base=LAW&amp;n=368472&amp;dst=7" TargetMode = "External"/>
	<Relationship Id="rId772" Type="http://schemas.openxmlformats.org/officeDocument/2006/relationships/hyperlink" Target="https://login.consultant.ru/link/?req=doc&amp;base=LAW&amp;n=280141" TargetMode = "External"/>
	<Relationship Id="rId773" Type="http://schemas.openxmlformats.org/officeDocument/2006/relationships/hyperlink" Target="https://login.consultant.ru/link/?req=doc&amp;base=LAW&amp;n=368472&amp;dst=79" TargetMode = "External"/>
	<Relationship Id="rId774" Type="http://schemas.openxmlformats.org/officeDocument/2006/relationships/hyperlink" Target="https://login.consultant.ru/link/?req=doc&amp;base=MOB&amp;n=419747&amp;dst=109677" TargetMode = "External"/>
	<Relationship Id="rId775" Type="http://schemas.openxmlformats.org/officeDocument/2006/relationships/hyperlink" Target="https://login.consultant.ru/link/?req=doc&amp;base=MOB&amp;n=419747&amp;dst=109678" TargetMode = "External"/>
	<Relationship Id="rId776" Type="http://schemas.openxmlformats.org/officeDocument/2006/relationships/hyperlink" Target="https://login.consultant.ru/link/?req=doc&amp;base=MOB&amp;n=419747&amp;dst=109679" TargetMode = "External"/>
	<Relationship Id="rId777" Type="http://schemas.openxmlformats.org/officeDocument/2006/relationships/hyperlink" Target="https://login.consultant.ru/link/?req=doc&amp;base=MOB&amp;n=419747&amp;dst=109680" TargetMode = "External"/>
	<Relationship Id="rId778" Type="http://schemas.openxmlformats.org/officeDocument/2006/relationships/hyperlink" Target="https://login.consultant.ru/link/?req=doc&amp;base=MOB&amp;n=419747&amp;dst=109681" TargetMode = "External"/>
	<Relationship Id="rId779" Type="http://schemas.openxmlformats.org/officeDocument/2006/relationships/hyperlink" Target="https://login.consultant.ru/link/?req=doc&amp;base=MOB&amp;n=397579&amp;dst=104558" TargetMode = "External"/>
	<Relationship Id="rId780" Type="http://schemas.openxmlformats.org/officeDocument/2006/relationships/hyperlink" Target="https://login.consultant.ru/link/?req=doc&amp;base=MOB&amp;n=393028&amp;dst=102643" TargetMode = "External"/>
	<Relationship Id="rId781" Type="http://schemas.openxmlformats.org/officeDocument/2006/relationships/hyperlink" Target="https://login.consultant.ru/link/?req=doc&amp;base=LAW&amp;n=466790&amp;dst=103431" TargetMode = "External"/>
	<Relationship Id="rId782" Type="http://schemas.openxmlformats.org/officeDocument/2006/relationships/hyperlink" Target="https://login.consultant.ru/link/?req=doc&amp;base=LAW&amp;n=490805&amp;dst=100026" TargetMode = "External"/>
	<Relationship Id="rId783" Type="http://schemas.openxmlformats.org/officeDocument/2006/relationships/hyperlink" Target="https://login.consultant.ru/link/?req=doc&amp;base=MOB&amp;n=397579&amp;dst=104560" TargetMode = "External"/>
	<Relationship Id="rId784" Type="http://schemas.openxmlformats.org/officeDocument/2006/relationships/hyperlink" Target="https://login.consultant.ru/link/?req=doc&amp;base=MOB&amp;n=397579&amp;dst=104562" TargetMode = "External"/>
	<Relationship Id="rId785" Type="http://schemas.openxmlformats.org/officeDocument/2006/relationships/hyperlink" Target="https://login.consultant.ru/link/?req=doc&amp;base=MOB&amp;n=397579&amp;dst=104564" TargetMode = "External"/>
	<Relationship Id="rId786" Type="http://schemas.openxmlformats.org/officeDocument/2006/relationships/hyperlink" Target="https://login.consultant.ru/link/?req=doc&amp;base=LAW&amp;n=121087&amp;dst=100142" TargetMode = "External"/>
	<Relationship Id="rId787" Type="http://schemas.openxmlformats.org/officeDocument/2006/relationships/hyperlink" Target="https://login.consultant.ru/link/?req=doc&amp;base=LAW&amp;n=493204" TargetMode = "External"/>
	<Relationship Id="rId788" Type="http://schemas.openxmlformats.org/officeDocument/2006/relationships/hyperlink" Target="https://login.consultant.ru/link/?req=doc&amp;base=LAW&amp;n=466838&amp;dst=5769" TargetMode = "External"/>
	<Relationship Id="rId789" Type="http://schemas.openxmlformats.org/officeDocument/2006/relationships/hyperlink" Target="https://login.consultant.ru/link/?req=doc&amp;base=MOB&amp;n=397579&amp;dst=104567" TargetMode = "External"/>
	<Relationship Id="rId790" Type="http://schemas.openxmlformats.org/officeDocument/2006/relationships/hyperlink" Target="https://login.consultant.ru/link/?req=doc&amp;base=MOB&amp;n=397579&amp;dst=104579" TargetMode = "External"/>
	<Relationship Id="rId791" Type="http://schemas.openxmlformats.org/officeDocument/2006/relationships/hyperlink" Target="https://login.consultant.ru/link/?req=doc&amp;base=MOB&amp;n=397579&amp;dst=104580" TargetMode = "External"/>
	<Relationship Id="rId792" Type="http://schemas.openxmlformats.org/officeDocument/2006/relationships/hyperlink" Target="https://login.consultant.ru/link/?req=doc&amp;base=MOB&amp;n=397579&amp;dst=104582" TargetMode = "External"/>
	<Relationship Id="rId793" Type="http://schemas.openxmlformats.org/officeDocument/2006/relationships/hyperlink" Target="https://login.consultant.ru/link/?req=doc&amp;base=MOB&amp;n=397579&amp;dst=104584" TargetMode = "External"/>
	<Relationship Id="rId794" Type="http://schemas.openxmlformats.org/officeDocument/2006/relationships/hyperlink" Target="https://login.consultant.ru/link/?req=doc&amp;base=MOB&amp;n=397579&amp;dst=104589" TargetMode = "External"/>
	<Relationship Id="rId795" Type="http://schemas.openxmlformats.org/officeDocument/2006/relationships/hyperlink" Target="https://login.consultant.ru/link/?req=doc&amp;base=MOB&amp;n=397579&amp;dst=104590" TargetMode = "External"/>
	<Relationship Id="rId796" Type="http://schemas.openxmlformats.org/officeDocument/2006/relationships/hyperlink" Target="https://login.consultant.ru/link/?req=doc&amp;base=LAW&amp;n=466790&amp;dst=3704" TargetMode = "External"/>
	<Relationship Id="rId797" Type="http://schemas.openxmlformats.org/officeDocument/2006/relationships/hyperlink" Target="https://login.consultant.ru/link/?req=doc&amp;base=LAW&amp;n=466790&amp;dst=3722" TargetMode = "External"/>
	<Relationship Id="rId798" Type="http://schemas.openxmlformats.org/officeDocument/2006/relationships/hyperlink" Target="https://login.consultant.ru/link/?req=doc&amp;base=MOB&amp;n=397579&amp;dst=104592" TargetMode = "External"/>
	<Relationship Id="rId799" Type="http://schemas.openxmlformats.org/officeDocument/2006/relationships/hyperlink" Target="https://login.consultant.ru/link/?req=doc&amp;base=MOB&amp;n=397579&amp;dst=104602" TargetMode = "External"/>
	<Relationship Id="rId800" Type="http://schemas.openxmlformats.org/officeDocument/2006/relationships/hyperlink" Target="https://login.consultant.ru/link/?req=doc&amp;base=MOB&amp;n=397579&amp;dst=104606" TargetMode = "External"/>
	<Relationship Id="rId801" Type="http://schemas.openxmlformats.org/officeDocument/2006/relationships/hyperlink" Target="https://login.consultant.ru/link/?req=doc&amp;base=MOB&amp;n=397579&amp;dst=104609" TargetMode = "External"/>
	<Relationship Id="rId802" Type="http://schemas.openxmlformats.org/officeDocument/2006/relationships/hyperlink" Target="https://login.consultant.ru/link/?req=doc&amp;base=LAW&amp;n=466790&amp;dst=3704" TargetMode = "External"/>
	<Relationship Id="rId803" Type="http://schemas.openxmlformats.org/officeDocument/2006/relationships/hyperlink" Target="https://login.consultant.ru/link/?req=doc&amp;base=LAW&amp;n=466790&amp;dst=3722" TargetMode = "External"/>
	<Relationship Id="rId804" Type="http://schemas.openxmlformats.org/officeDocument/2006/relationships/hyperlink" Target="https://login.consultant.ru/link/?req=doc&amp;base=LAW&amp;n=400478&amp;dst=100013" TargetMode = "External"/>
	<Relationship Id="rId805" Type="http://schemas.openxmlformats.org/officeDocument/2006/relationships/hyperlink" Target="https://login.consultant.ru/link/?req=doc&amp;base=MOB&amp;n=397579&amp;dst=104639" TargetMode = "External"/>
	<Relationship Id="rId806" Type="http://schemas.openxmlformats.org/officeDocument/2006/relationships/hyperlink" Target="https://login.consultant.ru/link/?req=doc&amp;base=MOB&amp;n=419747&amp;dst=109682" TargetMode = "External"/>
	<Relationship Id="rId807" Type="http://schemas.openxmlformats.org/officeDocument/2006/relationships/hyperlink" Target="https://login.consultant.ru/link/?req=doc&amp;base=LAW&amp;n=466790&amp;dst=103431" TargetMode = "External"/>
	<Relationship Id="rId808" Type="http://schemas.openxmlformats.org/officeDocument/2006/relationships/hyperlink" Target="https://login.consultant.ru/link/?req=doc&amp;base=LAW&amp;n=490805" TargetMode = "External"/>
	<Relationship Id="rId809" Type="http://schemas.openxmlformats.org/officeDocument/2006/relationships/hyperlink" Target="https://login.consultant.ru/link/?req=doc&amp;base=LAW&amp;n=481359" TargetMode = "External"/>
	<Relationship Id="rId810" Type="http://schemas.openxmlformats.org/officeDocument/2006/relationships/hyperlink" Target="https://login.consultant.ru/link/?req=doc&amp;base=LAW&amp;n=481359" TargetMode = "External"/>
	<Relationship Id="rId811" Type="http://schemas.openxmlformats.org/officeDocument/2006/relationships/hyperlink" Target="https://login.consultant.ru/link/?req=doc&amp;base=LAW&amp;n=466838&amp;dst=5769" TargetMode = "External"/>
	<Relationship Id="rId812" Type="http://schemas.openxmlformats.org/officeDocument/2006/relationships/hyperlink" Target="https://login.consultant.ru/link/?req=doc&amp;base=LAW&amp;n=121087&amp;dst=100142" TargetMode = "External"/>
	<Relationship Id="rId813" Type="http://schemas.openxmlformats.org/officeDocument/2006/relationships/hyperlink" Target="https://login.consultant.ru/link/?req=doc&amp;base=LAW&amp;n=493204" TargetMode = "External"/>
	<Relationship Id="rId814" Type="http://schemas.openxmlformats.org/officeDocument/2006/relationships/hyperlink" Target="https://login.consultant.ru/link/?req=doc&amp;base=LAW&amp;n=466790&amp;dst=3704" TargetMode = "External"/>
	<Relationship Id="rId815" Type="http://schemas.openxmlformats.org/officeDocument/2006/relationships/hyperlink" Target="https://login.consultant.ru/link/?req=doc&amp;base=LAW&amp;n=466790&amp;dst=3722" TargetMode = "External"/>
	<Relationship Id="rId816" Type="http://schemas.openxmlformats.org/officeDocument/2006/relationships/hyperlink" Target="https://login.consultant.ru/link/?req=doc&amp;base=LAW&amp;n=466790&amp;dst=3704" TargetMode = "External"/>
	<Relationship Id="rId817" Type="http://schemas.openxmlformats.org/officeDocument/2006/relationships/hyperlink" Target="https://login.consultant.ru/link/?req=doc&amp;base=LAW&amp;n=466790&amp;dst=3722" TargetMode = "External"/>
	<Relationship Id="rId818" Type="http://schemas.openxmlformats.org/officeDocument/2006/relationships/hyperlink" Target="https://login.consultant.ru/link/?req=doc&amp;base=LAW&amp;n=466790&amp;dst=3704" TargetMode = "External"/>
	<Relationship Id="rId819" Type="http://schemas.openxmlformats.org/officeDocument/2006/relationships/hyperlink" Target="https://login.consultant.ru/link/?req=doc&amp;base=LAW&amp;n=466790&amp;dst=3722" TargetMode = "External"/>
	<Relationship Id="rId820" Type="http://schemas.openxmlformats.org/officeDocument/2006/relationships/hyperlink" Target="https://login.consultant.ru/link/?req=doc&amp;base=LAW&amp;n=481359&amp;dst=100150" TargetMode = "External"/>
	<Relationship Id="rId821" Type="http://schemas.openxmlformats.org/officeDocument/2006/relationships/hyperlink" Target="https://login.consultant.ru/link/?req=doc&amp;base=MOB&amp;n=420845&amp;dst=100195" TargetMode = "External"/>
	<Relationship Id="rId822" Type="http://schemas.openxmlformats.org/officeDocument/2006/relationships/hyperlink" Target="https://login.consultant.ru/link/?req=doc&amp;base=MOB&amp;n=391567&amp;dst=102710" TargetMode = "External"/>
	<Relationship Id="rId823" Type="http://schemas.openxmlformats.org/officeDocument/2006/relationships/hyperlink" Target="https://login.consultant.ru/link/?req=doc&amp;base=MOB&amp;n=400121&amp;dst=100093" TargetMode = "External"/>
	<Relationship Id="rId824" Type="http://schemas.openxmlformats.org/officeDocument/2006/relationships/hyperlink" Target="https://login.consultant.ru/link/?req=doc&amp;base=LAW&amp;n=466790&amp;dst=7484" TargetMode = "External"/>
	<Relationship Id="rId825" Type="http://schemas.openxmlformats.org/officeDocument/2006/relationships/hyperlink" Target="https://login.consultant.ru/link/?req=doc&amp;base=LAW&amp;n=466790&amp;dst=7171" TargetMode = "External"/>
	<Relationship Id="rId826" Type="http://schemas.openxmlformats.org/officeDocument/2006/relationships/hyperlink" Target="https://login.consultant.ru/link/?req=doc&amp;base=LAW&amp;n=466790&amp;dst=103575" TargetMode = "External"/>
	<Relationship Id="rId827" Type="http://schemas.openxmlformats.org/officeDocument/2006/relationships/hyperlink" Target="https://login.consultant.ru/link/?req=doc&amp;base=LAW&amp;n=466790&amp;dst=7461" TargetMode = "External"/>
	<Relationship Id="rId828" Type="http://schemas.openxmlformats.org/officeDocument/2006/relationships/hyperlink" Target="https://login.consultant.ru/link/?req=doc&amp;base=MOB&amp;n=419747&amp;dst=109790" TargetMode = "External"/>
	<Relationship Id="rId829" Type="http://schemas.openxmlformats.org/officeDocument/2006/relationships/hyperlink" Target="https://login.consultant.ru/link/?req=doc&amp;base=MOB&amp;n=421727&amp;dst=109353" TargetMode = "External"/>
	<Relationship Id="rId830" Type="http://schemas.openxmlformats.org/officeDocument/2006/relationships/hyperlink" Target="https://login.consultant.ru/link/?req=doc&amp;base=MOB&amp;n=421727&amp;dst=109740" TargetMode = "External"/>
	<Relationship Id="rId831" Type="http://schemas.openxmlformats.org/officeDocument/2006/relationships/hyperlink" Target="https://login.consultant.ru/link/?req=doc&amp;base=MOB&amp;n=373618" TargetMode = "External"/>
	<Relationship Id="rId832" Type="http://schemas.openxmlformats.org/officeDocument/2006/relationships/hyperlink" Target="https://login.consultant.ru/link/?req=doc&amp;base=MOB&amp;n=244191" TargetMode = "External"/>
	<Relationship Id="rId833" Type="http://schemas.openxmlformats.org/officeDocument/2006/relationships/hyperlink" Target="https://login.consultant.ru/link/?req=doc&amp;base=MOB&amp;n=246909" TargetMode = "External"/>
	<Relationship Id="rId834" Type="http://schemas.openxmlformats.org/officeDocument/2006/relationships/hyperlink" Target="https://login.consultant.ru/link/?req=doc&amp;base=MOB&amp;n=251918" TargetMode = "External"/>
	<Relationship Id="rId835" Type="http://schemas.openxmlformats.org/officeDocument/2006/relationships/hyperlink" Target="https://login.consultant.ru/link/?req=doc&amp;base=MOB&amp;n=253714" TargetMode = "External"/>
	<Relationship Id="rId836" Type="http://schemas.openxmlformats.org/officeDocument/2006/relationships/hyperlink" Target="https://login.consultant.ru/link/?req=doc&amp;base=MOB&amp;n=254985" TargetMode = "External"/>
	<Relationship Id="rId837" Type="http://schemas.openxmlformats.org/officeDocument/2006/relationships/hyperlink" Target="https://login.consultant.ru/link/?req=doc&amp;base=MOB&amp;n=258951" TargetMode = "External"/>
	<Relationship Id="rId838" Type="http://schemas.openxmlformats.org/officeDocument/2006/relationships/hyperlink" Target="https://login.consultant.ru/link/?req=doc&amp;base=MOB&amp;n=265082" TargetMode = "External"/>
	<Relationship Id="rId839" Type="http://schemas.openxmlformats.org/officeDocument/2006/relationships/hyperlink" Target="https://login.consultant.ru/link/?req=doc&amp;base=MOB&amp;n=263040" TargetMode = "External"/>
	<Relationship Id="rId840" Type="http://schemas.openxmlformats.org/officeDocument/2006/relationships/hyperlink" Target="https://login.consultant.ru/link/?req=doc&amp;base=MOB&amp;n=262879" TargetMode = "External"/>
	<Relationship Id="rId841" Type="http://schemas.openxmlformats.org/officeDocument/2006/relationships/hyperlink" Target="https://login.consultant.ru/link/?req=doc&amp;base=MOB&amp;n=265734" TargetMode = "External"/>
	<Relationship Id="rId842" Type="http://schemas.openxmlformats.org/officeDocument/2006/relationships/hyperlink" Target="https://login.consultant.ru/link/?req=doc&amp;base=MOB&amp;n=268668" TargetMode = "External"/>
	<Relationship Id="rId843" Type="http://schemas.openxmlformats.org/officeDocument/2006/relationships/hyperlink" Target="https://login.consultant.ru/link/?req=doc&amp;base=MOB&amp;n=270842" TargetMode = "External"/>
	<Relationship Id="rId844" Type="http://schemas.openxmlformats.org/officeDocument/2006/relationships/hyperlink" Target="https://login.consultant.ru/link/?req=doc&amp;base=MOB&amp;n=273866" TargetMode = "External"/>
	<Relationship Id="rId845" Type="http://schemas.openxmlformats.org/officeDocument/2006/relationships/hyperlink" Target="https://login.consultant.ru/link/?req=doc&amp;base=MOB&amp;n=277264" TargetMode = "External"/>
	<Relationship Id="rId846" Type="http://schemas.openxmlformats.org/officeDocument/2006/relationships/hyperlink" Target="https://login.consultant.ru/link/?req=doc&amp;base=MOB&amp;n=278816" TargetMode = "External"/>
	<Relationship Id="rId847" Type="http://schemas.openxmlformats.org/officeDocument/2006/relationships/hyperlink" Target="https://login.consultant.ru/link/?req=doc&amp;base=MOB&amp;n=281923" TargetMode = "External"/>
	<Relationship Id="rId848" Type="http://schemas.openxmlformats.org/officeDocument/2006/relationships/hyperlink" Target="https://login.consultant.ru/link/?req=doc&amp;base=MOB&amp;n=282078" TargetMode = "External"/>
	<Relationship Id="rId849" Type="http://schemas.openxmlformats.org/officeDocument/2006/relationships/hyperlink" Target="https://login.consultant.ru/link/?req=doc&amp;base=MOB&amp;n=282922" TargetMode = "External"/>
	<Relationship Id="rId850" Type="http://schemas.openxmlformats.org/officeDocument/2006/relationships/hyperlink" Target="https://login.consultant.ru/link/?req=doc&amp;base=MOB&amp;n=284798" TargetMode = "External"/>
	<Relationship Id="rId851" Type="http://schemas.openxmlformats.org/officeDocument/2006/relationships/hyperlink" Target="https://login.consultant.ru/link/?req=doc&amp;base=MOB&amp;n=286256" TargetMode = "External"/>
	<Relationship Id="rId852" Type="http://schemas.openxmlformats.org/officeDocument/2006/relationships/hyperlink" Target="https://login.consultant.ru/link/?req=doc&amp;base=MOB&amp;n=297254" TargetMode = "External"/>
	<Relationship Id="rId853" Type="http://schemas.openxmlformats.org/officeDocument/2006/relationships/hyperlink" Target="https://login.consultant.ru/link/?req=doc&amp;base=MOB&amp;n=298459" TargetMode = "External"/>
	<Relationship Id="rId854" Type="http://schemas.openxmlformats.org/officeDocument/2006/relationships/hyperlink" Target="https://login.consultant.ru/link/?req=doc&amp;base=MOB&amp;n=303153" TargetMode = "External"/>
	<Relationship Id="rId855" Type="http://schemas.openxmlformats.org/officeDocument/2006/relationships/hyperlink" Target="https://login.consultant.ru/link/?req=doc&amp;base=MOB&amp;n=305854" TargetMode = "External"/>
	<Relationship Id="rId856" Type="http://schemas.openxmlformats.org/officeDocument/2006/relationships/hyperlink" Target="https://login.consultant.ru/link/?req=doc&amp;base=MOB&amp;n=305073" TargetMode = "External"/>
	<Relationship Id="rId857" Type="http://schemas.openxmlformats.org/officeDocument/2006/relationships/hyperlink" Target="https://login.consultant.ru/link/?req=doc&amp;base=MOB&amp;n=305000" TargetMode = "External"/>
	<Relationship Id="rId858" Type="http://schemas.openxmlformats.org/officeDocument/2006/relationships/hyperlink" Target="https://login.consultant.ru/link/?req=doc&amp;base=MOB&amp;n=305449" TargetMode = "External"/>
	<Relationship Id="rId859" Type="http://schemas.openxmlformats.org/officeDocument/2006/relationships/hyperlink" Target="https://login.consultant.ru/link/?req=doc&amp;base=MOB&amp;n=312694" TargetMode = "External"/>
	<Relationship Id="rId860" Type="http://schemas.openxmlformats.org/officeDocument/2006/relationships/hyperlink" Target="https://login.consultant.ru/link/?req=doc&amp;base=MOB&amp;n=314352" TargetMode = "External"/>
	<Relationship Id="rId861" Type="http://schemas.openxmlformats.org/officeDocument/2006/relationships/hyperlink" Target="https://login.consultant.ru/link/?req=doc&amp;base=MOB&amp;n=316661" TargetMode = "External"/>
	<Relationship Id="rId862" Type="http://schemas.openxmlformats.org/officeDocument/2006/relationships/hyperlink" Target="https://login.consultant.ru/link/?req=doc&amp;base=MOB&amp;n=321115" TargetMode = "External"/>
	<Relationship Id="rId863" Type="http://schemas.openxmlformats.org/officeDocument/2006/relationships/hyperlink" Target="https://login.consultant.ru/link/?req=doc&amp;base=MOB&amp;n=321662" TargetMode = "External"/>
	<Relationship Id="rId864" Type="http://schemas.openxmlformats.org/officeDocument/2006/relationships/hyperlink" Target="https://login.consultant.ru/link/?req=doc&amp;base=MOB&amp;n=325246" TargetMode = "External"/>
	<Relationship Id="rId865" Type="http://schemas.openxmlformats.org/officeDocument/2006/relationships/hyperlink" Target="https://login.consultant.ru/link/?req=doc&amp;base=MOB&amp;n=325813" TargetMode = "External"/>
	<Relationship Id="rId866" Type="http://schemas.openxmlformats.org/officeDocument/2006/relationships/hyperlink" Target="https://login.consultant.ru/link/?req=doc&amp;base=MOB&amp;n=325295" TargetMode = "External"/>
	<Relationship Id="rId867" Type="http://schemas.openxmlformats.org/officeDocument/2006/relationships/hyperlink" Target="https://login.consultant.ru/link/?req=doc&amp;base=MOB&amp;n=325889" TargetMode = "External"/>
	<Relationship Id="rId868" Type="http://schemas.openxmlformats.org/officeDocument/2006/relationships/hyperlink" Target="https://login.consultant.ru/link/?req=doc&amp;base=MOB&amp;n=327142" TargetMode = "External"/>
	<Relationship Id="rId869" Type="http://schemas.openxmlformats.org/officeDocument/2006/relationships/hyperlink" Target="https://login.consultant.ru/link/?req=doc&amp;base=MOB&amp;n=328807" TargetMode = "External"/>
	<Relationship Id="rId870" Type="http://schemas.openxmlformats.org/officeDocument/2006/relationships/hyperlink" Target="https://login.consultant.ru/link/?req=doc&amp;base=MOB&amp;n=335270" TargetMode = "External"/>
	<Relationship Id="rId871" Type="http://schemas.openxmlformats.org/officeDocument/2006/relationships/hyperlink" Target="https://login.consultant.ru/link/?req=doc&amp;base=MOB&amp;n=338306" TargetMode = "External"/>
	<Relationship Id="rId872" Type="http://schemas.openxmlformats.org/officeDocument/2006/relationships/hyperlink" Target="https://login.consultant.ru/link/?req=doc&amp;base=MOB&amp;n=337850" TargetMode = "External"/>
	<Relationship Id="rId873" Type="http://schemas.openxmlformats.org/officeDocument/2006/relationships/hyperlink" Target="https://login.consultant.ru/link/?req=doc&amp;base=MOB&amp;n=338330" TargetMode = "External"/>
	<Relationship Id="rId874" Type="http://schemas.openxmlformats.org/officeDocument/2006/relationships/hyperlink" Target="https://login.consultant.ru/link/?req=doc&amp;base=MOB&amp;n=339545" TargetMode = "External"/>
	<Relationship Id="rId875" Type="http://schemas.openxmlformats.org/officeDocument/2006/relationships/hyperlink" Target="https://login.consultant.ru/link/?req=doc&amp;base=MOB&amp;n=340280" TargetMode = "External"/>
	<Relationship Id="rId876" Type="http://schemas.openxmlformats.org/officeDocument/2006/relationships/hyperlink" Target="https://login.consultant.ru/link/?req=doc&amp;base=MOB&amp;n=344758" TargetMode = "External"/>
	<Relationship Id="rId877" Type="http://schemas.openxmlformats.org/officeDocument/2006/relationships/hyperlink" Target="https://login.consultant.ru/link/?req=doc&amp;base=MOB&amp;n=344807" TargetMode = "External"/>
	<Relationship Id="rId878" Type="http://schemas.openxmlformats.org/officeDocument/2006/relationships/hyperlink" Target="https://login.consultant.ru/link/?req=doc&amp;base=MOB&amp;n=345097" TargetMode = "External"/>
	<Relationship Id="rId879" Type="http://schemas.openxmlformats.org/officeDocument/2006/relationships/hyperlink" Target="https://login.consultant.ru/link/?req=doc&amp;base=MOB&amp;n=347562" TargetMode = "External"/>
	<Relationship Id="rId880" Type="http://schemas.openxmlformats.org/officeDocument/2006/relationships/hyperlink" Target="https://login.consultant.ru/link/?req=doc&amp;base=MOB&amp;n=349220" TargetMode = "External"/>
	<Relationship Id="rId881" Type="http://schemas.openxmlformats.org/officeDocument/2006/relationships/hyperlink" Target="https://login.consultant.ru/link/?req=doc&amp;base=MOB&amp;n=350685" TargetMode = "External"/>
	<Relationship Id="rId882" Type="http://schemas.openxmlformats.org/officeDocument/2006/relationships/hyperlink" Target="https://login.consultant.ru/link/?req=doc&amp;base=MOB&amp;n=350960" TargetMode = "External"/>
	<Relationship Id="rId883" Type="http://schemas.openxmlformats.org/officeDocument/2006/relationships/hyperlink" Target="https://login.consultant.ru/link/?req=doc&amp;base=MOB&amp;n=354202" TargetMode = "External"/>
	<Relationship Id="rId884" Type="http://schemas.openxmlformats.org/officeDocument/2006/relationships/hyperlink" Target="https://login.consultant.ru/link/?req=doc&amp;base=MOB&amp;n=354902" TargetMode = "External"/>
	<Relationship Id="rId885" Type="http://schemas.openxmlformats.org/officeDocument/2006/relationships/hyperlink" Target="https://login.consultant.ru/link/?req=doc&amp;base=MOB&amp;n=358597" TargetMode = "External"/>
	<Relationship Id="rId886" Type="http://schemas.openxmlformats.org/officeDocument/2006/relationships/hyperlink" Target="https://login.consultant.ru/link/?req=doc&amp;base=MOB&amp;n=358632" TargetMode = "External"/>
	<Relationship Id="rId887" Type="http://schemas.openxmlformats.org/officeDocument/2006/relationships/hyperlink" Target="https://login.consultant.ru/link/?req=doc&amp;base=MOB&amp;n=361732" TargetMode = "External"/>
	<Relationship Id="rId888" Type="http://schemas.openxmlformats.org/officeDocument/2006/relationships/hyperlink" Target="https://login.consultant.ru/link/?req=doc&amp;base=MOB&amp;n=361971" TargetMode = "External"/>
	<Relationship Id="rId889" Type="http://schemas.openxmlformats.org/officeDocument/2006/relationships/hyperlink" Target="https://login.consultant.ru/link/?req=doc&amp;base=MOB&amp;n=364416" TargetMode = "External"/>
	<Relationship Id="rId890" Type="http://schemas.openxmlformats.org/officeDocument/2006/relationships/hyperlink" Target="https://login.consultant.ru/link/?req=doc&amp;base=MOB&amp;n=365160" TargetMode = "External"/>
	<Relationship Id="rId891" Type="http://schemas.openxmlformats.org/officeDocument/2006/relationships/hyperlink" Target="https://login.consultant.ru/link/?req=doc&amp;base=MOB&amp;n=3670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04.10.2022 N 1074/35
(ред. от 25.12.2024)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
(вместе с "Перечнем признаваемых утратившими силу постановлений Правительства Московской области")
(с изм. и доп., вступающими в силу с 01.01.2025)</dc:title>
  <dcterms:created xsi:type="dcterms:W3CDTF">2025-01-29T07:09:01Z</dcterms:created>
</cp:coreProperties>
</file>